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44127E">
      <w:pPr>
        <w:rPr>
          <w:rFonts w:eastAsia="仿宋_GB2312"/>
          <w:color w:val="auto"/>
          <w:sz w:val="36"/>
          <w:szCs w:val="36"/>
          <w:highlight w:val="none"/>
        </w:rPr>
      </w:pPr>
    </w:p>
    <w:p w14:paraId="1B862C11">
      <w:pPr>
        <w:rPr>
          <w:rFonts w:eastAsia="仿宋_GB2312"/>
          <w:color w:val="auto"/>
          <w:sz w:val="36"/>
          <w:szCs w:val="36"/>
          <w:highlight w:val="none"/>
        </w:rPr>
      </w:pPr>
    </w:p>
    <w:p w14:paraId="05554150">
      <w:pPr>
        <w:rPr>
          <w:rFonts w:eastAsia="仿宋_GB2312"/>
          <w:color w:val="auto"/>
          <w:sz w:val="36"/>
          <w:szCs w:val="36"/>
          <w:highlight w:val="none"/>
        </w:rPr>
      </w:pPr>
    </w:p>
    <w:p w14:paraId="32B74D94">
      <w:pPr>
        <w:rPr>
          <w:rFonts w:eastAsia="仿宋_GB2312"/>
          <w:color w:val="auto"/>
          <w:sz w:val="36"/>
          <w:szCs w:val="36"/>
          <w:highlight w:val="none"/>
        </w:rPr>
      </w:pPr>
    </w:p>
    <w:p w14:paraId="3D27E8BE">
      <w:pPr>
        <w:adjustRightInd w:val="0"/>
        <w:snapToGrid w:val="0"/>
        <w:jc w:val="center"/>
        <w:rPr>
          <w:rFonts w:eastAsia="方正小标宋_GBK"/>
          <w:bCs/>
          <w:color w:val="auto"/>
          <w:sz w:val="60"/>
          <w:szCs w:val="60"/>
          <w:highlight w:val="none"/>
        </w:rPr>
      </w:pPr>
      <w:bookmarkStart w:id="0" w:name="_Toc19157"/>
      <w:r>
        <w:rPr>
          <w:rFonts w:hint="eastAsia" w:eastAsia="方正小标宋_GBK"/>
          <w:bCs/>
          <w:color w:val="auto"/>
          <w:sz w:val="60"/>
          <w:szCs w:val="60"/>
          <w:highlight w:val="none"/>
          <w:lang w:val="en-US" w:eastAsia="zh-CN"/>
        </w:rPr>
        <w:t>建设项目</w:t>
      </w:r>
      <w:r>
        <w:rPr>
          <w:rFonts w:eastAsia="方正小标宋_GBK"/>
          <w:bCs/>
          <w:color w:val="auto"/>
          <w:sz w:val="60"/>
          <w:szCs w:val="60"/>
          <w:highlight w:val="none"/>
        </w:rPr>
        <w:t>生态环境影响报告表</w:t>
      </w:r>
      <w:bookmarkEnd w:id="0"/>
    </w:p>
    <w:p w14:paraId="3F18852C">
      <w:pPr>
        <w:adjustRightInd w:val="0"/>
        <w:snapToGrid w:val="0"/>
        <w:spacing w:before="192" w:beforeLines="80"/>
        <w:jc w:val="center"/>
        <w:rPr>
          <w:rFonts w:eastAsia="楷体_GB2312"/>
          <w:bCs/>
          <w:color w:val="auto"/>
          <w:sz w:val="48"/>
          <w:szCs w:val="48"/>
          <w:highlight w:val="none"/>
        </w:rPr>
      </w:pPr>
      <w:r>
        <w:rPr>
          <w:rFonts w:eastAsia="楷体_GB2312"/>
          <w:bCs/>
          <w:color w:val="auto"/>
          <w:sz w:val="48"/>
          <w:szCs w:val="48"/>
          <w:highlight w:val="none"/>
        </w:rPr>
        <w:t>（污染影响类）</w:t>
      </w:r>
    </w:p>
    <w:p w14:paraId="2AB9B75C">
      <w:pPr>
        <w:adjustRightInd w:val="0"/>
        <w:snapToGrid w:val="0"/>
        <w:spacing w:line="288" w:lineRule="auto"/>
        <w:jc w:val="center"/>
        <w:rPr>
          <w:rFonts w:eastAsia="华文仿宋"/>
          <w:color w:val="auto"/>
          <w:kern w:val="44"/>
          <w:sz w:val="44"/>
          <w:szCs w:val="44"/>
          <w:highlight w:val="none"/>
        </w:rPr>
      </w:pPr>
    </w:p>
    <w:p w14:paraId="31BC1E1D">
      <w:pPr>
        <w:jc w:val="center"/>
        <w:rPr>
          <w:rFonts w:eastAsia="仿宋"/>
          <w:color w:val="auto"/>
          <w:sz w:val="52"/>
          <w:szCs w:val="52"/>
          <w:highlight w:val="none"/>
        </w:rPr>
      </w:pPr>
    </w:p>
    <w:p w14:paraId="18DC0246">
      <w:pPr>
        <w:ind w:firstLine="1040"/>
        <w:rPr>
          <w:rFonts w:eastAsia="仿宋"/>
          <w:color w:val="auto"/>
          <w:sz w:val="44"/>
          <w:szCs w:val="44"/>
          <w:highlight w:val="none"/>
        </w:rPr>
      </w:pPr>
    </w:p>
    <w:p w14:paraId="4B4FF2B3">
      <w:pPr>
        <w:ind w:firstLine="1040"/>
        <w:rPr>
          <w:rFonts w:eastAsia="仿宋"/>
          <w:color w:val="auto"/>
          <w:sz w:val="44"/>
          <w:szCs w:val="44"/>
          <w:highlight w:val="none"/>
        </w:rPr>
      </w:pPr>
    </w:p>
    <w:p w14:paraId="551E8A81">
      <w:pPr>
        <w:ind w:firstLine="1040"/>
        <w:rPr>
          <w:rFonts w:eastAsia="仿宋"/>
          <w:color w:val="auto"/>
          <w:sz w:val="44"/>
          <w:szCs w:val="44"/>
          <w:highlight w:val="none"/>
        </w:rPr>
      </w:pPr>
    </w:p>
    <w:p w14:paraId="0FB449AA">
      <w:pPr>
        <w:ind w:firstLine="1040"/>
        <w:rPr>
          <w:rFonts w:eastAsia="仿宋"/>
          <w:color w:val="auto"/>
          <w:sz w:val="44"/>
          <w:szCs w:val="44"/>
          <w:highlight w:val="none"/>
        </w:rPr>
      </w:pPr>
    </w:p>
    <w:p w14:paraId="127AA739">
      <w:pPr>
        <w:adjustRightInd w:val="0"/>
        <w:snapToGrid w:val="0"/>
        <w:spacing w:line="288" w:lineRule="auto"/>
        <w:ind w:left="2646" w:leftChars="304" w:hanging="2008" w:hangingChars="558"/>
        <w:rPr>
          <w:rFonts w:eastAsia="仿宋_GB2312"/>
          <w:color w:val="auto"/>
          <w:sz w:val="36"/>
          <w:szCs w:val="36"/>
          <w:highlight w:val="none"/>
          <w:u w:val="single"/>
        </w:rPr>
      </w:pPr>
      <w:r>
        <w:rPr>
          <w:rFonts w:eastAsia="仿宋_GB2312"/>
          <w:color w:val="auto"/>
          <w:sz w:val="36"/>
          <w:szCs w:val="36"/>
          <w:highlight w:val="none"/>
        </w:rPr>
        <w:t>项目名称：</w:t>
      </w:r>
      <w:r>
        <w:rPr>
          <w:rFonts w:hint="default" w:eastAsia="仿宋_GB2312"/>
          <w:color w:val="auto"/>
          <w:sz w:val="36"/>
          <w:szCs w:val="36"/>
          <w:highlight w:val="none"/>
          <w:u w:val="single"/>
        </w:rPr>
        <w:t>聚思创能钠离子电池NaSICON结构聚阴离子正极材料研发</w:t>
      </w:r>
    </w:p>
    <w:p w14:paraId="469AAF7B">
      <w:pPr>
        <w:adjustRightInd w:val="0"/>
        <w:snapToGrid w:val="0"/>
        <w:spacing w:line="288" w:lineRule="auto"/>
        <w:ind w:left="2646" w:leftChars="304" w:hanging="2008" w:hangingChars="558"/>
        <w:rPr>
          <w:rFonts w:eastAsia="仿宋_GB2312"/>
          <w:color w:val="auto"/>
          <w:sz w:val="36"/>
          <w:szCs w:val="36"/>
          <w:highlight w:val="none"/>
          <w:u w:val="single"/>
        </w:rPr>
      </w:pPr>
      <w:r>
        <w:rPr>
          <w:rFonts w:eastAsia="仿宋_GB2312"/>
          <w:color w:val="auto"/>
          <w:sz w:val="36"/>
          <w:szCs w:val="36"/>
          <w:highlight w:val="none"/>
        </w:rPr>
        <w:t>建设单位（盖章）：</w:t>
      </w:r>
      <w:r>
        <w:rPr>
          <w:rFonts w:hint="default" w:eastAsia="仿宋_GB2312"/>
          <w:color w:val="auto"/>
          <w:sz w:val="36"/>
          <w:szCs w:val="36"/>
          <w:highlight w:val="none"/>
          <w:u w:val="single"/>
        </w:rPr>
        <w:t>浙江聚思创能新材料有限公司</w:t>
      </w:r>
    </w:p>
    <w:p w14:paraId="57182FEF">
      <w:pPr>
        <w:adjustRightInd w:val="0"/>
        <w:snapToGrid w:val="0"/>
        <w:spacing w:line="288" w:lineRule="auto"/>
        <w:ind w:left="2646" w:leftChars="304" w:hanging="2008" w:hangingChars="558"/>
        <w:rPr>
          <w:rFonts w:eastAsia="仿宋_GB2312"/>
          <w:color w:val="auto"/>
          <w:sz w:val="36"/>
          <w:szCs w:val="36"/>
          <w:highlight w:val="none"/>
          <w:u w:val="single"/>
        </w:rPr>
      </w:pPr>
    </w:p>
    <w:p w14:paraId="4215FC0E">
      <w:pPr>
        <w:adjustRightInd w:val="0"/>
        <w:snapToGrid w:val="0"/>
        <w:spacing w:line="288" w:lineRule="auto"/>
        <w:ind w:left="2646" w:leftChars="304" w:hanging="2008" w:hangingChars="558"/>
        <w:rPr>
          <w:rFonts w:eastAsia="仿宋_GB2312"/>
          <w:color w:val="auto"/>
          <w:sz w:val="36"/>
          <w:szCs w:val="36"/>
          <w:highlight w:val="none"/>
          <w:u w:val="single"/>
        </w:rPr>
      </w:pPr>
      <w:r>
        <w:rPr>
          <w:rFonts w:eastAsia="仿宋_GB2312"/>
          <w:color w:val="auto"/>
          <w:sz w:val="36"/>
          <w:szCs w:val="36"/>
          <w:highlight w:val="none"/>
        </w:rPr>
        <w:t>编制日期：</w:t>
      </w:r>
      <w:r>
        <w:rPr>
          <w:rFonts w:eastAsia="仿宋_GB2312"/>
          <w:color w:val="auto"/>
          <w:sz w:val="36"/>
          <w:szCs w:val="36"/>
          <w:highlight w:val="none"/>
          <w:u w:val="single"/>
        </w:rPr>
        <w:t xml:space="preserve">                      </w:t>
      </w:r>
      <w:r>
        <w:rPr>
          <w:rFonts w:hint="default" w:eastAsia="仿宋_GB2312"/>
          <w:color w:val="auto"/>
          <w:sz w:val="36"/>
          <w:szCs w:val="36"/>
          <w:highlight w:val="none"/>
          <w:u w:val="single"/>
        </w:rPr>
        <w:t xml:space="preserve"> </w:t>
      </w:r>
      <w:r>
        <w:rPr>
          <w:rFonts w:eastAsia="仿宋_GB2312"/>
          <w:color w:val="auto"/>
          <w:sz w:val="36"/>
          <w:szCs w:val="36"/>
          <w:highlight w:val="none"/>
          <w:u w:val="single"/>
        </w:rPr>
        <w:t xml:space="preserve"> 20</w:t>
      </w:r>
      <w:r>
        <w:rPr>
          <w:rFonts w:hint="default" w:eastAsia="仿宋_GB2312"/>
          <w:color w:val="auto"/>
          <w:sz w:val="36"/>
          <w:szCs w:val="36"/>
          <w:highlight w:val="none"/>
          <w:u w:val="single"/>
        </w:rPr>
        <w:t>26</w:t>
      </w:r>
      <w:r>
        <w:rPr>
          <w:rFonts w:eastAsia="仿宋_GB2312"/>
          <w:color w:val="auto"/>
          <w:sz w:val="36"/>
          <w:szCs w:val="36"/>
          <w:highlight w:val="none"/>
          <w:u w:val="single"/>
        </w:rPr>
        <w:t>年</w:t>
      </w:r>
      <w:r>
        <w:rPr>
          <w:rFonts w:hint="eastAsia" w:eastAsia="仿宋_GB2312"/>
          <w:color w:val="auto"/>
          <w:sz w:val="36"/>
          <w:szCs w:val="36"/>
          <w:highlight w:val="none"/>
          <w:u w:val="single"/>
          <w:lang w:val="en-US" w:eastAsia="zh-CN"/>
        </w:rPr>
        <w:t>10</w:t>
      </w:r>
      <w:r>
        <w:rPr>
          <w:rFonts w:eastAsia="仿宋_GB2312"/>
          <w:color w:val="auto"/>
          <w:sz w:val="36"/>
          <w:szCs w:val="36"/>
          <w:highlight w:val="none"/>
          <w:u w:val="single"/>
        </w:rPr>
        <w:t xml:space="preserve">月  </w:t>
      </w:r>
      <w:r>
        <w:rPr>
          <w:rFonts w:hint="default" w:eastAsia="仿宋_GB2312"/>
          <w:color w:val="auto"/>
          <w:sz w:val="36"/>
          <w:szCs w:val="36"/>
          <w:highlight w:val="none"/>
          <w:u w:val="single"/>
        </w:rPr>
        <w:t xml:space="preserve">    </w:t>
      </w:r>
      <w:r>
        <w:rPr>
          <w:rFonts w:eastAsia="仿宋_GB2312"/>
          <w:color w:val="auto"/>
          <w:sz w:val="36"/>
          <w:szCs w:val="36"/>
          <w:highlight w:val="none"/>
          <w:u w:val="single"/>
        </w:rPr>
        <w:t xml:space="preserve">    </w:t>
      </w:r>
      <w:r>
        <w:rPr>
          <w:rFonts w:eastAsia="仿宋_GB2312"/>
          <w:color w:val="auto"/>
          <w:sz w:val="36"/>
          <w:szCs w:val="36"/>
          <w:highlight w:val="none"/>
          <w:u w:val="single"/>
        </w:rPr>
        <w:tab/>
      </w:r>
      <w:r>
        <w:rPr>
          <w:rFonts w:hint="default" w:eastAsia="仿宋_GB2312"/>
          <w:color w:val="auto"/>
          <w:sz w:val="36"/>
          <w:szCs w:val="36"/>
          <w:highlight w:val="none"/>
          <w:u w:val="single"/>
        </w:rPr>
        <w:tab/>
      </w:r>
      <w:r>
        <w:rPr>
          <w:rFonts w:eastAsia="仿宋_GB2312"/>
          <w:color w:val="auto"/>
          <w:sz w:val="36"/>
          <w:szCs w:val="36"/>
          <w:highlight w:val="none"/>
          <w:u w:val="single"/>
        </w:rPr>
        <w:t xml:space="preserve"> </w:t>
      </w:r>
    </w:p>
    <w:p w14:paraId="61E69B4E">
      <w:pPr>
        <w:adjustRightInd w:val="0"/>
        <w:snapToGrid w:val="0"/>
        <w:spacing w:line="288" w:lineRule="auto"/>
        <w:ind w:firstLine="1040"/>
        <w:rPr>
          <w:rFonts w:eastAsia="仿宋_GB2312"/>
          <w:color w:val="auto"/>
          <w:sz w:val="36"/>
          <w:szCs w:val="36"/>
          <w:highlight w:val="none"/>
          <w:u w:val="single"/>
        </w:rPr>
      </w:pPr>
      <w:bookmarkStart w:id="1" w:name="_Hlk57884087"/>
    </w:p>
    <w:p w14:paraId="66E0D966">
      <w:pPr>
        <w:adjustRightInd w:val="0"/>
        <w:snapToGrid w:val="0"/>
        <w:spacing w:line="288" w:lineRule="auto"/>
        <w:ind w:firstLine="1040"/>
        <w:rPr>
          <w:rFonts w:eastAsia="仿宋_GB2312"/>
          <w:color w:val="auto"/>
          <w:sz w:val="36"/>
          <w:szCs w:val="36"/>
          <w:highlight w:val="none"/>
        </w:rPr>
      </w:pPr>
    </w:p>
    <w:p w14:paraId="5B0104A1">
      <w:pPr>
        <w:adjustRightInd w:val="0"/>
        <w:snapToGrid w:val="0"/>
        <w:spacing w:line="288" w:lineRule="auto"/>
        <w:ind w:firstLine="1040"/>
        <w:rPr>
          <w:rFonts w:eastAsia="仿宋_GB2312"/>
          <w:color w:val="auto"/>
          <w:sz w:val="36"/>
          <w:szCs w:val="36"/>
          <w:highlight w:val="none"/>
        </w:rPr>
      </w:pPr>
    </w:p>
    <w:bookmarkEnd w:id="1"/>
    <w:p w14:paraId="2B924981">
      <w:pPr>
        <w:adjustRightInd w:val="0"/>
        <w:snapToGrid w:val="0"/>
        <w:spacing w:line="288" w:lineRule="auto"/>
        <w:jc w:val="center"/>
        <w:rPr>
          <w:rFonts w:ascii="Times New Roman" w:hAnsi="Times New Roman" w:eastAsia="楷体_GB2312" w:cs="Times New Roman"/>
          <w:color w:val="auto"/>
          <w:sz w:val="36"/>
          <w:szCs w:val="36"/>
          <w:highlight w:val="none"/>
        </w:rPr>
        <w:sectPr>
          <w:footerReference r:id="rId3" w:type="default"/>
          <w:footerReference r:id="rId4" w:type="even"/>
          <w:pgSz w:w="11906" w:h="16838"/>
          <w:pgMar w:top="1701" w:right="1531" w:bottom="1701" w:left="1531" w:header="851" w:footer="1077" w:gutter="0"/>
          <w:pgBorders>
            <w:top w:val="none" w:sz="0" w:space="0"/>
            <w:left w:val="none" w:sz="0" w:space="0"/>
            <w:bottom w:val="none" w:sz="0" w:space="0"/>
            <w:right w:val="none" w:sz="0" w:space="0"/>
          </w:pgBorders>
          <w:pgNumType w:start="3"/>
          <w:cols w:space="720" w:num="1"/>
          <w:docGrid w:linePitch="312" w:charSpace="0"/>
        </w:sectPr>
      </w:pPr>
      <w:r>
        <w:rPr>
          <w:rFonts w:eastAsia="楷体_GB2312"/>
          <w:color w:val="auto"/>
          <w:sz w:val="36"/>
          <w:szCs w:val="36"/>
          <w:highlight w:val="none"/>
        </w:rPr>
        <w:t>中华人民共和国生态环境部制</w:t>
      </w:r>
    </w:p>
    <w:sdt>
      <w:sdtPr>
        <w:rPr>
          <w:rFonts w:ascii="Times New Roman" w:hAnsi="Times New Roman" w:cs="Times New Roman"/>
          <w:b/>
          <w:bCs/>
          <w:color w:val="auto"/>
          <w:highlight w:val="none"/>
        </w:rPr>
        <w:id w:val="147460222"/>
        <w15:color w:val="DBDBDB"/>
        <w:docPartObj>
          <w:docPartGallery w:val="Table of Contents"/>
          <w:docPartUnique/>
        </w:docPartObj>
      </w:sdtPr>
      <w:sdtEndPr>
        <w:rPr>
          <w:rFonts w:ascii="Times New Roman" w:hAnsi="Times New Roman" w:cs="Times New Roman"/>
          <w:b/>
          <w:bCs/>
          <w:color w:val="auto"/>
          <w:highlight w:val="none"/>
        </w:rPr>
      </w:sdtEndPr>
      <w:sdtContent>
        <w:p w14:paraId="5A20CEA5">
          <w:pPr>
            <w:spacing w:line="360" w:lineRule="auto"/>
            <w:jc w:val="center"/>
            <w:rPr>
              <w:b/>
              <w:bCs/>
              <w:color w:val="auto"/>
              <w:sz w:val="28"/>
              <w:szCs w:val="28"/>
              <w:highlight w:val="none"/>
            </w:rPr>
          </w:pPr>
          <w:bookmarkStart w:id="2" w:name="_Toc25675"/>
          <w:bookmarkStart w:id="3" w:name="_Toc2649"/>
          <w:bookmarkStart w:id="4" w:name="_Toc4325"/>
          <w:bookmarkStart w:id="5" w:name="_Toc25354"/>
          <w:r>
            <w:rPr>
              <w:rFonts w:ascii="Times New Roman" w:hAnsi="Times New Roman"/>
              <w:b/>
              <w:bCs/>
              <w:color w:val="auto"/>
              <w:sz w:val="28"/>
              <w:szCs w:val="28"/>
              <w:highlight w:val="none"/>
            </w:rPr>
            <w:t>目</w:t>
          </w:r>
          <w:r>
            <w:rPr>
              <w:rFonts w:hint="default" w:ascii="Times New Roman" w:hAnsi="Times New Roman"/>
              <w:b/>
              <w:bCs/>
              <w:color w:val="auto"/>
              <w:sz w:val="28"/>
              <w:szCs w:val="28"/>
              <w:highlight w:val="none"/>
            </w:rPr>
            <w:t xml:space="preserve"> </w:t>
          </w:r>
          <w:r>
            <w:rPr>
              <w:rFonts w:ascii="Times New Roman" w:hAnsi="Times New Roman"/>
              <w:b/>
              <w:bCs/>
              <w:color w:val="auto"/>
              <w:sz w:val="28"/>
              <w:szCs w:val="28"/>
              <w:highlight w:val="none"/>
            </w:rPr>
            <w:t>录</w:t>
          </w:r>
        </w:p>
        <w:p w14:paraId="2B742691">
          <w:pPr>
            <w:pStyle w:val="19"/>
            <w:tabs>
              <w:tab w:val="right" w:leader="dot" w:pos="8844"/>
            </w:tabs>
            <w:spacing w:line="360" w:lineRule="auto"/>
            <w:rPr>
              <w:color w:val="auto"/>
              <w:sz w:val="24"/>
              <w:highlight w:val="none"/>
            </w:rPr>
          </w:pPr>
          <w:r>
            <w:rPr>
              <w:color w:val="auto"/>
              <w:sz w:val="24"/>
              <w:highlight w:val="none"/>
            </w:rPr>
            <w:fldChar w:fldCharType="begin"/>
          </w:r>
          <w:r>
            <w:rPr>
              <w:color w:val="auto"/>
              <w:sz w:val="24"/>
              <w:highlight w:val="none"/>
            </w:rPr>
            <w:instrText xml:space="preserve">TOC \o "1-3" \h \u </w:instrText>
          </w:r>
          <w:r>
            <w:rPr>
              <w:color w:val="auto"/>
              <w:sz w:val="24"/>
              <w:highlight w:val="none"/>
            </w:rPr>
            <w:fldChar w:fldCharType="separate"/>
          </w:r>
          <w:r>
            <w:rPr>
              <w:color w:val="auto"/>
              <w:highlight w:val="none"/>
            </w:rPr>
            <w:fldChar w:fldCharType="begin"/>
          </w:r>
          <w:r>
            <w:rPr>
              <w:color w:val="auto"/>
              <w:highlight w:val="none"/>
            </w:rPr>
            <w:instrText xml:space="preserve"> HYPERLINK \l "_Toc5408" </w:instrText>
          </w:r>
          <w:r>
            <w:rPr>
              <w:color w:val="auto"/>
              <w:highlight w:val="none"/>
            </w:rPr>
            <w:fldChar w:fldCharType="separate"/>
          </w:r>
          <w:r>
            <w:rPr>
              <w:snapToGrid w:val="0"/>
              <w:color w:val="auto"/>
              <w:sz w:val="24"/>
              <w:highlight w:val="none"/>
            </w:rPr>
            <w:t>一、建设项目基本情况</w:t>
          </w:r>
          <w:r>
            <w:rPr>
              <w:color w:val="auto"/>
              <w:sz w:val="24"/>
              <w:highlight w:val="none"/>
            </w:rPr>
            <w:tab/>
          </w:r>
          <w:r>
            <w:rPr>
              <w:color w:val="auto"/>
              <w:sz w:val="24"/>
              <w:highlight w:val="none"/>
            </w:rPr>
            <w:fldChar w:fldCharType="begin"/>
          </w:r>
          <w:r>
            <w:rPr>
              <w:color w:val="auto"/>
              <w:sz w:val="24"/>
              <w:highlight w:val="none"/>
            </w:rPr>
            <w:instrText xml:space="preserve"> PAGEREF _Toc5408 \h </w:instrText>
          </w:r>
          <w:r>
            <w:rPr>
              <w:color w:val="auto"/>
              <w:sz w:val="24"/>
              <w:highlight w:val="none"/>
            </w:rPr>
            <w:fldChar w:fldCharType="separate"/>
          </w:r>
          <w:r>
            <w:rPr>
              <w:color w:val="auto"/>
              <w:sz w:val="24"/>
              <w:highlight w:val="none"/>
            </w:rPr>
            <w:t>1</w:t>
          </w:r>
          <w:r>
            <w:rPr>
              <w:color w:val="auto"/>
              <w:sz w:val="24"/>
              <w:highlight w:val="none"/>
            </w:rPr>
            <w:fldChar w:fldCharType="end"/>
          </w:r>
          <w:r>
            <w:rPr>
              <w:color w:val="auto"/>
              <w:sz w:val="24"/>
              <w:highlight w:val="none"/>
            </w:rPr>
            <w:fldChar w:fldCharType="end"/>
          </w:r>
        </w:p>
        <w:p w14:paraId="4F593CEF">
          <w:pPr>
            <w:pStyle w:val="19"/>
            <w:tabs>
              <w:tab w:val="right" w:leader="dot" w:pos="8844"/>
            </w:tabs>
            <w:spacing w:line="360" w:lineRule="auto"/>
            <w:rPr>
              <w:color w:val="auto"/>
              <w:sz w:val="24"/>
              <w:highlight w:val="none"/>
            </w:rPr>
          </w:pPr>
          <w:r>
            <w:rPr>
              <w:color w:val="auto"/>
              <w:highlight w:val="none"/>
            </w:rPr>
            <w:fldChar w:fldCharType="begin"/>
          </w:r>
          <w:r>
            <w:rPr>
              <w:color w:val="auto"/>
              <w:highlight w:val="none"/>
            </w:rPr>
            <w:instrText xml:space="preserve"> HYPERLINK \l "_Toc21212" </w:instrText>
          </w:r>
          <w:r>
            <w:rPr>
              <w:color w:val="auto"/>
              <w:highlight w:val="none"/>
            </w:rPr>
            <w:fldChar w:fldCharType="separate"/>
          </w:r>
          <w:r>
            <w:rPr>
              <w:snapToGrid w:val="0"/>
              <w:color w:val="auto"/>
              <w:sz w:val="24"/>
              <w:highlight w:val="none"/>
            </w:rPr>
            <w:t>二、建设项目工程分析</w:t>
          </w:r>
          <w:r>
            <w:rPr>
              <w:color w:val="auto"/>
              <w:sz w:val="24"/>
              <w:highlight w:val="none"/>
            </w:rPr>
            <w:tab/>
          </w:r>
          <w:r>
            <w:rPr>
              <w:color w:val="auto"/>
              <w:sz w:val="24"/>
              <w:highlight w:val="none"/>
            </w:rPr>
            <w:fldChar w:fldCharType="begin"/>
          </w:r>
          <w:r>
            <w:rPr>
              <w:color w:val="auto"/>
              <w:sz w:val="24"/>
              <w:highlight w:val="none"/>
            </w:rPr>
            <w:instrText xml:space="preserve"> PAGEREF _Toc21212 \h </w:instrText>
          </w:r>
          <w:r>
            <w:rPr>
              <w:color w:val="auto"/>
              <w:sz w:val="24"/>
              <w:highlight w:val="none"/>
            </w:rPr>
            <w:fldChar w:fldCharType="separate"/>
          </w:r>
          <w:r>
            <w:rPr>
              <w:color w:val="auto"/>
              <w:sz w:val="24"/>
              <w:highlight w:val="none"/>
            </w:rPr>
            <w:t>18</w:t>
          </w:r>
          <w:r>
            <w:rPr>
              <w:color w:val="auto"/>
              <w:sz w:val="24"/>
              <w:highlight w:val="none"/>
            </w:rPr>
            <w:fldChar w:fldCharType="end"/>
          </w:r>
          <w:r>
            <w:rPr>
              <w:color w:val="auto"/>
              <w:sz w:val="24"/>
              <w:highlight w:val="none"/>
            </w:rPr>
            <w:fldChar w:fldCharType="end"/>
          </w:r>
        </w:p>
        <w:p w14:paraId="02C920DA">
          <w:pPr>
            <w:pStyle w:val="19"/>
            <w:tabs>
              <w:tab w:val="right" w:leader="dot" w:pos="8844"/>
            </w:tabs>
            <w:spacing w:line="360" w:lineRule="auto"/>
            <w:rPr>
              <w:color w:val="auto"/>
              <w:sz w:val="24"/>
              <w:highlight w:val="none"/>
            </w:rPr>
          </w:pPr>
          <w:r>
            <w:rPr>
              <w:color w:val="auto"/>
              <w:highlight w:val="none"/>
            </w:rPr>
            <w:fldChar w:fldCharType="begin"/>
          </w:r>
          <w:r>
            <w:rPr>
              <w:color w:val="auto"/>
              <w:highlight w:val="none"/>
            </w:rPr>
            <w:instrText xml:space="preserve"> HYPERLINK \l "_Toc4997" </w:instrText>
          </w:r>
          <w:r>
            <w:rPr>
              <w:color w:val="auto"/>
              <w:highlight w:val="none"/>
            </w:rPr>
            <w:fldChar w:fldCharType="separate"/>
          </w:r>
          <w:r>
            <w:rPr>
              <w:snapToGrid w:val="0"/>
              <w:color w:val="auto"/>
              <w:sz w:val="24"/>
              <w:highlight w:val="none"/>
            </w:rPr>
            <w:t>三、区域环境质量现状、环境保护目标及评价标准</w:t>
          </w:r>
          <w:r>
            <w:rPr>
              <w:color w:val="auto"/>
              <w:sz w:val="24"/>
              <w:highlight w:val="none"/>
            </w:rPr>
            <w:tab/>
          </w:r>
          <w:r>
            <w:rPr>
              <w:color w:val="auto"/>
              <w:sz w:val="24"/>
              <w:highlight w:val="none"/>
            </w:rPr>
            <w:fldChar w:fldCharType="begin"/>
          </w:r>
          <w:r>
            <w:rPr>
              <w:color w:val="auto"/>
              <w:sz w:val="24"/>
              <w:highlight w:val="none"/>
            </w:rPr>
            <w:instrText xml:space="preserve"> PAGEREF _Toc4997 \h </w:instrText>
          </w:r>
          <w:r>
            <w:rPr>
              <w:color w:val="auto"/>
              <w:sz w:val="24"/>
              <w:highlight w:val="none"/>
            </w:rPr>
            <w:fldChar w:fldCharType="separate"/>
          </w:r>
          <w:r>
            <w:rPr>
              <w:color w:val="auto"/>
              <w:sz w:val="24"/>
              <w:highlight w:val="none"/>
            </w:rPr>
            <w:t>29</w:t>
          </w:r>
          <w:r>
            <w:rPr>
              <w:color w:val="auto"/>
              <w:sz w:val="24"/>
              <w:highlight w:val="none"/>
            </w:rPr>
            <w:fldChar w:fldCharType="end"/>
          </w:r>
          <w:r>
            <w:rPr>
              <w:color w:val="auto"/>
              <w:sz w:val="24"/>
              <w:highlight w:val="none"/>
            </w:rPr>
            <w:fldChar w:fldCharType="end"/>
          </w:r>
        </w:p>
        <w:p w14:paraId="5ADF640B">
          <w:pPr>
            <w:pStyle w:val="19"/>
            <w:tabs>
              <w:tab w:val="right" w:leader="dot" w:pos="8844"/>
            </w:tabs>
            <w:spacing w:line="360" w:lineRule="auto"/>
            <w:rPr>
              <w:color w:val="auto"/>
              <w:sz w:val="24"/>
              <w:highlight w:val="none"/>
            </w:rPr>
          </w:pPr>
          <w:r>
            <w:rPr>
              <w:color w:val="auto"/>
              <w:highlight w:val="none"/>
            </w:rPr>
            <w:fldChar w:fldCharType="begin"/>
          </w:r>
          <w:r>
            <w:rPr>
              <w:color w:val="auto"/>
              <w:highlight w:val="none"/>
            </w:rPr>
            <w:instrText xml:space="preserve"> HYPERLINK \l "_Toc16161" </w:instrText>
          </w:r>
          <w:r>
            <w:rPr>
              <w:color w:val="auto"/>
              <w:highlight w:val="none"/>
            </w:rPr>
            <w:fldChar w:fldCharType="separate"/>
          </w:r>
          <w:r>
            <w:rPr>
              <w:snapToGrid w:val="0"/>
              <w:color w:val="auto"/>
              <w:sz w:val="24"/>
              <w:highlight w:val="none"/>
            </w:rPr>
            <w:t>四、主要环境影响和保护措施</w:t>
          </w:r>
          <w:r>
            <w:rPr>
              <w:color w:val="auto"/>
              <w:sz w:val="24"/>
              <w:highlight w:val="none"/>
            </w:rPr>
            <w:tab/>
          </w:r>
          <w:r>
            <w:rPr>
              <w:color w:val="auto"/>
              <w:sz w:val="24"/>
              <w:highlight w:val="none"/>
            </w:rPr>
            <w:fldChar w:fldCharType="begin"/>
          </w:r>
          <w:r>
            <w:rPr>
              <w:color w:val="auto"/>
              <w:sz w:val="24"/>
              <w:highlight w:val="none"/>
            </w:rPr>
            <w:instrText xml:space="preserve"> PAGEREF _Toc16161 \h </w:instrText>
          </w:r>
          <w:r>
            <w:rPr>
              <w:color w:val="auto"/>
              <w:sz w:val="24"/>
              <w:highlight w:val="none"/>
            </w:rPr>
            <w:fldChar w:fldCharType="separate"/>
          </w:r>
          <w:r>
            <w:rPr>
              <w:color w:val="auto"/>
              <w:sz w:val="24"/>
              <w:highlight w:val="none"/>
            </w:rPr>
            <w:t>38</w:t>
          </w:r>
          <w:r>
            <w:rPr>
              <w:color w:val="auto"/>
              <w:sz w:val="24"/>
              <w:highlight w:val="none"/>
            </w:rPr>
            <w:fldChar w:fldCharType="end"/>
          </w:r>
          <w:r>
            <w:rPr>
              <w:color w:val="auto"/>
              <w:sz w:val="24"/>
              <w:highlight w:val="none"/>
            </w:rPr>
            <w:fldChar w:fldCharType="end"/>
          </w:r>
        </w:p>
        <w:p w14:paraId="090EA08B">
          <w:pPr>
            <w:pStyle w:val="19"/>
            <w:tabs>
              <w:tab w:val="right" w:leader="dot" w:pos="8844"/>
            </w:tabs>
            <w:spacing w:line="360" w:lineRule="auto"/>
            <w:rPr>
              <w:color w:val="auto"/>
              <w:sz w:val="24"/>
              <w:highlight w:val="none"/>
            </w:rPr>
          </w:pPr>
          <w:r>
            <w:rPr>
              <w:color w:val="auto"/>
              <w:highlight w:val="none"/>
            </w:rPr>
            <w:fldChar w:fldCharType="begin"/>
          </w:r>
          <w:r>
            <w:rPr>
              <w:color w:val="auto"/>
              <w:highlight w:val="none"/>
            </w:rPr>
            <w:instrText xml:space="preserve"> HYPERLINK \l "_Toc8690" </w:instrText>
          </w:r>
          <w:r>
            <w:rPr>
              <w:color w:val="auto"/>
              <w:highlight w:val="none"/>
            </w:rPr>
            <w:fldChar w:fldCharType="separate"/>
          </w:r>
          <w:r>
            <w:rPr>
              <w:snapToGrid w:val="0"/>
              <w:color w:val="auto"/>
              <w:sz w:val="24"/>
              <w:highlight w:val="none"/>
            </w:rPr>
            <w:t>五、环境保护措施监督检查清单</w:t>
          </w:r>
          <w:r>
            <w:rPr>
              <w:color w:val="auto"/>
              <w:sz w:val="24"/>
              <w:highlight w:val="none"/>
            </w:rPr>
            <w:tab/>
          </w:r>
          <w:r>
            <w:rPr>
              <w:color w:val="auto"/>
              <w:sz w:val="24"/>
              <w:highlight w:val="none"/>
            </w:rPr>
            <w:fldChar w:fldCharType="begin"/>
          </w:r>
          <w:r>
            <w:rPr>
              <w:color w:val="auto"/>
              <w:sz w:val="24"/>
              <w:highlight w:val="none"/>
            </w:rPr>
            <w:instrText xml:space="preserve"> PAGEREF _Toc8690 \h </w:instrText>
          </w:r>
          <w:r>
            <w:rPr>
              <w:color w:val="auto"/>
              <w:sz w:val="24"/>
              <w:highlight w:val="none"/>
            </w:rPr>
            <w:fldChar w:fldCharType="separate"/>
          </w:r>
          <w:r>
            <w:rPr>
              <w:color w:val="auto"/>
              <w:sz w:val="24"/>
              <w:highlight w:val="none"/>
            </w:rPr>
            <w:t>50</w:t>
          </w:r>
          <w:r>
            <w:rPr>
              <w:color w:val="auto"/>
              <w:sz w:val="24"/>
              <w:highlight w:val="none"/>
            </w:rPr>
            <w:fldChar w:fldCharType="end"/>
          </w:r>
          <w:r>
            <w:rPr>
              <w:color w:val="auto"/>
              <w:sz w:val="24"/>
              <w:highlight w:val="none"/>
            </w:rPr>
            <w:fldChar w:fldCharType="end"/>
          </w:r>
        </w:p>
        <w:p w14:paraId="5A435DC9">
          <w:pPr>
            <w:pStyle w:val="19"/>
            <w:tabs>
              <w:tab w:val="right" w:leader="dot" w:pos="8844"/>
            </w:tabs>
            <w:spacing w:line="360" w:lineRule="auto"/>
            <w:rPr>
              <w:color w:val="auto"/>
              <w:sz w:val="24"/>
              <w:highlight w:val="none"/>
            </w:rPr>
          </w:pPr>
          <w:r>
            <w:rPr>
              <w:color w:val="auto"/>
              <w:highlight w:val="none"/>
            </w:rPr>
            <w:fldChar w:fldCharType="begin"/>
          </w:r>
          <w:r>
            <w:rPr>
              <w:color w:val="auto"/>
              <w:highlight w:val="none"/>
            </w:rPr>
            <w:instrText xml:space="preserve"> HYPERLINK \l "_Toc32065" </w:instrText>
          </w:r>
          <w:r>
            <w:rPr>
              <w:color w:val="auto"/>
              <w:highlight w:val="none"/>
            </w:rPr>
            <w:fldChar w:fldCharType="separate"/>
          </w:r>
          <w:r>
            <w:rPr>
              <w:snapToGrid w:val="0"/>
              <w:color w:val="auto"/>
              <w:sz w:val="24"/>
              <w:highlight w:val="none"/>
            </w:rPr>
            <w:t>六、结论</w:t>
          </w:r>
          <w:r>
            <w:rPr>
              <w:color w:val="auto"/>
              <w:sz w:val="24"/>
              <w:highlight w:val="none"/>
            </w:rPr>
            <w:tab/>
          </w:r>
          <w:r>
            <w:rPr>
              <w:color w:val="auto"/>
              <w:sz w:val="24"/>
              <w:highlight w:val="none"/>
            </w:rPr>
            <w:fldChar w:fldCharType="begin"/>
          </w:r>
          <w:r>
            <w:rPr>
              <w:color w:val="auto"/>
              <w:sz w:val="24"/>
              <w:highlight w:val="none"/>
            </w:rPr>
            <w:instrText xml:space="preserve"> PAGEREF _Toc32065 \h </w:instrText>
          </w:r>
          <w:r>
            <w:rPr>
              <w:color w:val="auto"/>
              <w:sz w:val="24"/>
              <w:highlight w:val="none"/>
            </w:rPr>
            <w:fldChar w:fldCharType="separate"/>
          </w:r>
          <w:r>
            <w:rPr>
              <w:color w:val="auto"/>
              <w:sz w:val="24"/>
              <w:highlight w:val="none"/>
            </w:rPr>
            <w:t>70</w:t>
          </w:r>
          <w:r>
            <w:rPr>
              <w:color w:val="auto"/>
              <w:sz w:val="24"/>
              <w:highlight w:val="none"/>
            </w:rPr>
            <w:fldChar w:fldCharType="end"/>
          </w:r>
          <w:r>
            <w:rPr>
              <w:color w:val="auto"/>
              <w:sz w:val="24"/>
              <w:highlight w:val="none"/>
            </w:rPr>
            <w:fldChar w:fldCharType="end"/>
          </w:r>
        </w:p>
        <w:p w14:paraId="3C05CEC0">
          <w:pPr>
            <w:pStyle w:val="19"/>
            <w:tabs>
              <w:tab w:val="right" w:leader="dot" w:pos="8844"/>
            </w:tabs>
            <w:spacing w:line="360" w:lineRule="auto"/>
            <w:rPr>
              <w:color w:val="auto"/>
              <w:sz w:val="24"/>
              <w:highlight w:val="none"/>
            </w:rPr>
          </w:pPr>
          <w:r>
            <w:rPr>
              <w:color w:val="auto"/>
              <w:highlight w:val="none"/>
            </w:rPr>
            <w:fldChar w:fldCharType="begin"/>
          </w:r>
          <w:r>
            <w:rPr>
              <w:color w:val="auto"/>
              <w:highlight w:val="none"/>
            </w:rPr>
            <w:instrText xml:space="preserve"> HYPERLINK \l "_Toc515" </w:instrText>
          </w:r>
          <w:r>
            <w:rPr>
              <w:color w:val="auto"/>
              <w:highlight w:val="none"/>
            </w:rPr>
            <w:fldChar w:fldCharType="separate"/>
          </w:r>
          <w:r>
            <w:rPr>
              <w:snapToGrid w:val="0"/>
              <w:color w:val="auto"/>
              <w:sz w:val="24"/>
              <w:highlight w:val="none"/>
            </w:rPr>
            <w:t>附表</w:t>
          </w:r>
          <w:r>
            <w:rPr>
              <w:color w:val="auto"/>
              <w:sz w:val="24"/>
              <w:highlight w:val="none"/>
            </w:rPr>
            <w:tab/>
          </w:r>
          <w:r>
            <w:rPr>
              <w:color w:val="auto"/>
              <w:sz w:val="24"/>
              <w:highlight w:val="none"/>
            </w:rPr>
            <w:fldChar w:fldCharType="begin"/>
          </w:r>
          <w:r>
            <w:rPr>
              <w:color w:val="auto"/>
              <w:sz w:val="24"/>
              <w:highlight w:val="none"/>
            </w:rPr>
            <w:instrText xml:space="preserve"> PAGEREF _Toc515 \h </w:instrText>
          </w:r>
          <w:r>
            <w:rPr>
              <w:color w:val="auto"/>
              <w:sz w:val="24"/>
              <w:highlight w:val="none"/>
            </w:rPr>
            <w:fldChar w:fldCharType="separate"/>
          </w:r>
          <w:r>
            <w:rPr>
              <w:color w:val="auto"/>
              <w:sz w:val="24"/>
              <w:highlight w:val="none"/>
            </w:rPr>
            <w:t>71</w:t>
          </w:r>
          <w:r>
            <w:rPr>
              <w:color w:val="auto"/>
              <w:sz w:val="24"/>
              <w:highlight w:val="none"/>
            </w:rPr>
            <w:fldChar w:fldCharType="end"/>
          </w:r>
          <w:r>
            <w:rPr>
              <w:color w:val="auto"/>
              <w:sz w:val="24"/>
              <w:highlight w:val="none"/>
            </w:rPr>
            <w:fldChar w:fldCharType="end"/>
          </w:r>
        </w:p>
        <w:p w14:paraId="51B5159B">
          <w:pPr>
            <w:pStyle w:val="19"/>
            <w:tabs>
              <w:tab w:val="right" w:leader="dot" w:pos="8844"/>
            </w:tabs>
            <w:spacing w:line="360" w:lineRule="auto"/>
            <w:rPr>
              <w:color w:val="auto"/>
              <w:sz w:val="24"/>
              <w:highlight w:val="none"/>
            </w:rPr>
          </w:pPr>
          <w:r>
            <w:rPr>
              <w:color w:val="auto"/>
              <w:highlight w:val="none"/>
            </w:rPr>
            <w:fldChar w:fldCharType="begin"/>
          </w:r>
          <w:r>
            <w:rPr>
              <w:color w:val="auto"/>
              <w:highlight w:val="none"/>
            </w:rPr>
            <w:instrText xml:space="preserve"> HYPERLINK \l "_Toc2522" </w:instrText>
          </w:r>
          <w:r>
            <w:rPr>
              <w:color w:val="auto"/>
              <w:highlight w:val="none"/>
            </w:rPr>
            <w:fldChar w:fldCharType="separate"/>
          </w:r>
          <w:r>
            <w:rPr>
              <w:snapToGrid w:val="0"/>
              <w:color w:val="auto"/>
              <w:sz w:val="24"/>
              <w:highlight w:val="none"/>
            </w:rPr>
            <w:t>建设项目污染物排放量汇总表</w:t>
          </w:r>
          <w:r>
            <w:rPr>
              <w:color w:val="auto"/>
              <w:sz w:val="24"/>
              <w:highlight w:val="none"/>
            </w:rPr>
            <w:tab/>
          </w:r>
          <w:r>
            <w:rPr>
              <w:color w:val="auto"/>
              <w:sz w:val="24"/>
              <w:highlight w:val="none"/>
            </w:rPr>
            <w:fldChar w:fldCharType="begin"/>
          </w:r>
          <w:r>
            <w:rPr>
              <w:color w:val="auto"/>
              <w:sz w:val="24"/>
              <w:highlight w:val="none"/>
            </w:rPr>
            <w:instrText xml:space="preserve"> PAGEREF _Toc2522 \h </w:instrText>
          </w:r>
          <w:r>
            <w:rPr>
              <w:color w:val="auto"/>
              <w:sz w:val="24"/>
              <w:highlight w:val="none"/>
            </w:rPr>
            <w:fldChar w:fldCharType="separate"/>
          </w:r>
          <w:r>
            <w:rPr>
              <w:color w:val="auto"/>
              <w:sz w:val="24"/>
              <w:highlight w:val="none"/>
            </w:rPr>
            <w:t>71</w:t>
          </w:r>
          <w:r>
            <w:rPr>
              <w:color w:val="auto"/>
              <w:sz w:val="24"/>
              <w:highlight w:val="none"/>
            </w:rPr>
            <w:fldChar w:fldCharType="end"/>
          </w:r>
          <w:r>
            <w:rPr>
              <w:color w:val="auto"/>
              <w:sz w:val="24"/>
              <w:highlight w:val="none"/>
            </w:rPr>
            <w:fldChar w:fldCharType="end"/>
          </w:r>
        </w:p>
        <w:p w14:paraId="59C6E943">
          <w:pPr>
            <w:spacing w:line="360" w:lineRule="auto"/>
            <w:rPr>
              <w:color w:val="auto"/>
              <w:highlight w:val="none"/>
            </w:rPr>
          </w:pPr>
          <w:r>
            <w:rPr>
              <w:color w:val="auto"/>
              <w:sz w:val="24"/>
              <w:highlight w:val="none"/>
            </w:rPr>
            <w:fldChar w:fldCharType="end"/>
          </w:r>
        </w:p>
      </w:sdtContent>
    </w:sdt>
    <w:p w14:paraId="670EC6EB">
      <w:pPr>
        <w:adjustRightInd w:val="0"/>
        <w:snapToGrid w:val="0"/>
        <w:spacing w:line="360" w:lineRule="auto"/>
        <w:jc w:val="left"/>
        <w:rPr>
          <w:b/>
          <w:color w:val="auto"/>
          <w:szCs w:val="21"/>
          <w:highlight w:val="none"/>
        </w:rPr>
      </w:pPr>
      <w:r>
        <w:rPr>
          <w:b/>
          <w:color w:val="auto"/>
          <w:szCs w:val="21"/>
          <w:highlight w:val="none"/>
        </w:rPr>
        <w:t>附图：</w:t>
      </w:r>
    </w:p>
    <w:p w14:paraId="6A1ECF3C">
      <w:pPr>
        <w:adjustRightInd w:val="0"/>
        <w:snapToGrid w:val="0"/>
        <w:spacing w:line="360" w:lineRule="auto"/>
        <w:ind w:firstLine="105" w:firstLineChars="50"/>
        <w:jc w:val="left"/>
        <w:rPr>
          <w:color w:val="auto"/>
          <w:szCs w:val="21"/>
          <w:highlight w:val="none"/>
        </w:rPr>
      </w:pPr>
      <w:r>
        <w:rPr>
          <w:color w:val="auto"/>
          <w:szCs w:val="21"/>
          <w:highlight w:val="none"/>
        </w:rPr>
        <w:t>附图1：项目地理位置图</w:t>
      </w:r>
    </w:p>
    <w:p w14:paraId="5E13F4B4">
      <w:pPr>
        <w:adjustRightInd w:val="0"/>
        <w:snapToGrid w:val="0"/>
        <w:spacing w:line="360" w:lineRule="auto"/>
        <w:ind w:firstLine="105" w:firstLineChars="50"/>
        <w:jc w:val="left"/>
        <w:rPr>
          <w:color w:val="auto"/>
          <w:szCs w:val="21"/>
          <w:highlight w:val="none"/>
        </w:rPr>
      </w:pPr>
      <w:r>
        <w:rPr>
          <w:color w:val="auto"/>
          <w:szCs w:val="21"/>
          <w:highlight w:val="none"/>
        </w:rPr>
        <w:t>附图2：</w:t>
      </w:r>
      <w:r>
        <w:rPr>
          <w:rFonts w:hint="default"/>
          <w:color w:val="auto"/>
          <w:szCs w:val="21"/>
          <w:highlight w:val="none"/>
        </w:rPr>
        <w:t>建设项目周边环境图</w:t>
      </w:r>
    </w:p>
    <w:p w14:paraId="2BD1F0A5">
      <w:pPr>
        <w:adjustRightInd w:val="0"/>
        <w:snapToGrid w:val="0"/>
        <w:spacing w:line="360" w:lineRule="auto"/>
        <w:ind w:firstLine="105" w:firstLineChars="50"/>
        <w:jc w:val="left"/>
        <w:rPr>
          <w:color w:val="auto"/>
          <w:szCs w:val="21"/>
          <w:highlight w:val="none"/>
        </w:rPr>
      </w:pPr>
      <w:r>
        <w:rPr>
          <w:color w:val="auto"/>
          <w:szCs w:val="21"/>
          <w:highlight w:val="none"/>
        </w:rPr>
        <w:t>附图3：项目平面布置图</w:t>
      </w:r>
    </w:p>
    <w:p w14:paraId="716B3E94">
      <w:pPr>
        <w:adjustRightInd w:val="0"/>
        <w:snapToGrid w:val="0"/>
        <w:spacing w:line="360" w:lineRule="auto"/>
        <w:ind w:firstLine="105" w:firstLineChars="50"/>
        <w:jc w:val="left"/>
        <w:rPr>
          <w:color w:val="auto"/>
          <w:szCs w:val="21"/>
          <w:highlight w:val="none"/>
        </w:rPr>
      </w:pPr>
      <w:r>
        <w:rPr>
          <w:color w:val="auto"/>
          <w:szCs w:val="21"/>
          <w:highlight w:val="none"/>
        </w:rPr>
        <w:t>附图4：</w:t>
      </w:r>
      <w:r>
        <w:rPr>
          <w:rFonts w:hint="default"/>
          <w:color w:val="auto"/>
          <w:szCs w:val="21"/>
          <w:highlight w:val="none"/>
        </w:rPr>
        <w:t>杭州市余杭区环境管控单元分类图</w:t>
      </w:r>
    </w:p>
    <w:p w14:paraId="335A5ED4">
      <w:pPr>
        <w:adjustRightInd w:val="0"/>
        <w:snapToGrid w:val="0"/>
        <w:spacing w:line="360" w:lineRule="auto"/>
        <w:ind w:firstLine="105" w:firstLineChars="50"/>
        <w:jc w:val="left"/>
        <w:rPr>
          <w:rFonts w:hint="default"/>
          <w:color w:val="auto"/>
          <w:szCs w:val="21"/>
          <w:highlight w:val="none"/>
        </w:rPr>
      </w:pPr>
      <w:r>
        <w:rPr>
          <w:color w:val="auto"/>
          <w:szCs w:val="21"/>
          <w:highlight w:val="none"/>
        </w:rPr>
        <w:t>附图5：</w:t>
      </w:r>
      <w:r>
        <w:rPr>
          <w:rFonts w:hint="default"/>
          <w:color w:val="auto"/>
          <w:szCs w:val="21"/>
          <w:highlight w:val="none"/>
          <w:lang w:val="en-US" w:eastAsia="zh-CN"/>
        </w:rPr>
        <w:t>余杭区国土空间总体规划(2021-2035年)三条控制线图</w:t>
      </w:r>
    </w:p>
    <w:p w14:paraId="03878403">
      <w:pPr>
        <w:adjustRightInd w:val="0"/>
        <w:snapToGrid w:val="0"/>
        <w:spacing w:line="360" w:lineRule="auto"/>
        <w:ind w:firstLine="105" w:firstLineChars="50"/>
        <w:jc w:val="left"/>
        <w:rPr>
          <w:color w:val="auto"/>
          <w:szCs w:val="21"/>
          <w:highlight w:val="none"/>
        </w:rPr>
      </w:pPr>
      <w:r>
        <w:rPr>
          <w:color w:val="auto"/>
          <w:szCs w:val="21"/>
          <w:highlight w:val="none"/>
        </w:rPr>
        <w:t>附图6：</w:t>
      </w:r>
      <w:r>
        <w:rPr>
          <w:rFonts w:hint="default"/>
          <w:color w:val="auto"/>
          <w:szCs w:val="21"/>
          <w:highlight w:val="none"/>
        </w:rPr>
        <w:t>杭州市余杭区水环境功能区划图</w:t>
      </w:r>
    </w:p>
    <w:p w14:paraId="48947B25">
      <w:pPr>
        <w:adjustRightInd w:val="0"/>
        <w:snapToGrid w:val="0"/>
        <w:spacing w:line="360" w:lineRule="auto"/>
        <w:ind w:firstLine="105" w:firstLineChars="50"/>
        <w:jc w:val="left"/>
        <w:rPr>
          <w:color w:val="auto"/>
          <w:szCs w:val="21"/>
          <w:highlight w:val="none"/>
        </w:rPr>
      </w:pPr>
      <w:r>
        <w:rPr>
          <w:color w:val="auto"/>
          <w:szCs w:val="21"/>
          <w:highlight w:val="none"/>
        </w:rPr>
        <w:t>附图7：</w:t>
      </w:r>
      <w:r>
        <w:rPr>
          <w:rFonts w:hint="default"/>
          <w:color w:val="auto"/>
          <w:szCs w:val="21"/>
          <w:highlight w:val="none"/>
        </w:rPr>
        <w:t>杭州市</w:t>
      </w:r>
      <w:r>
        <w:rPr>
          <w:color w:val="auto"/>
          <w:szCs w:val="21"/>
          <w:highlight w:val="none"/>
        </w:rPr>
        <w:t>环境空气质量功能区划图</w:t>
      </w:r>
    </w:p>
    <w:p w14:paraId="275EC74A">
      <w:pPr>
        <w:adjustRightInd w:val="0"/>
        <w:snapToGrid w:val="0"/>
        <w:spacing w:line="360" w:lineRule="auto"/>
        <w:ind w:firstLine="105" w:firstLineChars="50"/>
        <w:jc w:val="left"/>
        <w:rPr>
          <w:color w:val="auto"/>
          <w:szCs w:val="21"/>
          <w:highlight w:val="none"/>
        </w:rPr>
      </w:pPr>
      <w:r>
        <w:rPr>
          <w:color w:val="auto"/>
          <w:szCs w:val="21"/>
          <w:highlight w:val="none"/>
        </w:rPr>
        <w:t>附图8：</w:t>
      </w:r>
      <w:r>
        <w:rPr>
          <w:rFonts w:hint="default"/>
          <w:color w:val="auto"/>
          <w:szCs w:val="21"/>
          <w:highlight w:val="none"/>
        </w:rPr>
        <w:t>余杭</w:t>
      </w:r>
      <w:r>
        <w:rPr>
          <w:color w:val="auto"/>
          <w:szCs w:val="21"/>
          <w:highlight w:val="none"/>
        </w:rPr>
        <w:t>街道声环境功能区划图（</w:t>
      </w:r>
      <w:r>
        <w:rPr>
          <w:rFonts w:hint="default"/>
          <w:color w:val="auto"/>
          <w:szCs w:val="21"/>
          <w:highlight w:val="none"/>
        </w:rPr>
        <w:t>修订版</w:t>
      </w:r>
      <w:r>
        <w:rPr>
          <w:color w:val="auto"/>
          <w:szCs w:val="21"/>
          <w:highlight w:val="none"/>
        </w:rPr>
        <w:t>）</w:t>
      </w:r>
    </w:p>
    <w:p w14:paraId="5331E076">
      <w:pPr>
        <w:adjustRightInd w:val="0"/>
        <w:snapToGrid w:val="0"/>
        <w:spacing w:line="360" w:lineRule="auto"/>
        <w:ind w:firstLine="105" w:firstLineChars="50"/>
        <w:jc w:val="left"/>
        <w:rPr>
          <w:rFonts w:hint="default"/>
          <w:color w:val="auto"/>
          <w:szCs w:val="21"/>
          <w:highlight w:val="none"/>
        </w:rPr>
      </w:pPr>
      <w:r>
        <w:rPr>
          <w:rFonts w:hint="default"/>
          <w:color w:val="auto"/>
          <w:szCs w:val="21"/>
          <w:highlight w:val="none"/>
        </w:rPr>
        <w:t>附图9：</w:t>
      </w:r>
      <w:r>
        <w:rPr>
          <w:rFonts w:hint="default"/>
          <w:color w:val="auto"/>
          <w:szCs w:val="21"/>
          <w:highlight w:val="none"/>
          <w:lang w:val="en-US" w:eastAsia="zh-CN"/>
        </w:rPr>
        <w:t>杭州市余杭区钱开区单元（YH02）详细规划</w:t>
      </w:r>
      <w:r>
        <w:rPr>
          <w:rFonts w:hint="default"/>
          <w:color w:val="auto"/>
          <w:szCs w:val="21"/>
          <w:highlight w:val="none"/>
        </w:rPr>
        <w:t>——用地规划图</w:t>
      </w:r>
    </w:p>
    <w:p w14:paraId="4DF415E7">
      <w:pPr>
        <w:adjustRightInd w:val="0"/>
        <w:snapToGrid w:val="0"/>
        <w:spacing w:line="360" w:lineRule="auto"/>
        <w:ind w:firstLine="105" w:firstLineChars="50"/>
        <w:jc w:val="left"/>
        <w:rPr>
          <w:rFonts w:hint="default"/>
          <w:color w:val="auto"/>
          <w:szCs w:val="21"/>
          <w:highlight w:val="none"/>
          <w:lang w:val="en-US" w:eastAsia="zh-CN"/>
        </w:rPr>
      </w:pPr>
      <w:r>
        <w:rPr>
          <w:rFonts w:hint="default"/>
          <w:color w:val="auto"/>
          <w:szCs w:val="21"/>
          <w:highlight w:val="none"/>
          <w:lang w:val="en-US" w:eastAsia="zh-CN"/>
        </w:rPr>
        <w:t>附图10：大气环境质量现状监测点位图</w:t>
      </w:r>
    </w:p>
    <w:p w14:paraId="220A9530">
      <w:pPr>
        <w:adjustRightInd w:val="0"/>
        <w:snapToGrid w:val="0"/>
        <w:spacing w:line="360" w:lineRule="auto"/>
        <w:ind w:firstLine="105" w:firstLineChars="50"/>
        <w:jc w:val="left"/>
        <w:rPr>
          <w:rFonts w:hint="default"/>
          <w:color w:val="auto"/>
          <w:szCs w:val="21"/>
          <w:highlight w:val="none"/>
          <w:lang w:val="en-US" w:eastAsia="zh-CN"/>
        </w:rPr>
      </w:pPr>
      <w:r>
        <w:rPr>
          <w:rFonts w:hint="default"/>
          <w:color w:val="auto"/>
          <w:szCs w:val="21"/>
          <w:highlight w:val="none"/>
          <w:lang w:val="en-US" w:eastAsia="zh-CN"/>
        </w:rPr>
        <w:t>附图11：噪声环境质量现状监测点位图</w:t>
      </w:r>
    </w:p>
    <w:p w14:paraId="19F8CD57">
      <w:pPr>
        <w:adjustRightInd w:val="0"/>
        <w:snapToGrid w:val="0"/>
        <w:spacing w:line="360" w:lineRule="auto"/>
        <w:jc w:val="left"/>
        <w:rPr>
          <w:b/>
          <w:color w:val="auto"/>
          <w:szCs w:val="21"/>
          <w:highlight w:val="none"/>
        </w:rPr>
      </w:pPr>
      <w:r>
        <w:rPr>
          <w:b/>
          <w:color w:val="auto"/>
          <w:szCs w:val="21"/>
          <w:highlight w:val="none"/>
        </w:rPr>
        <w:t>附件：</w:t>
      </w:r>
    </w:p>
    <w:p w14:paraId="3FE0DF98">
      <w:pPr>
        <w:adjustRightInd w:val="0"/>
        <w:snapToGrid w:val="0"/>
        <w:spacing w:line="360" w:lineRule="auto"/>
        <w:ind w:firstLine="105" w:firstLineChars="50"/>
        <w:jc w:val="left"/>
        <w:rPr>
          <w:color w:val="auto"/>
          <w:szCs w:val="21"/>
          <w:highlight w:val="none"/>
        </w:rPr>
      </w:pPr>
      <w:r>
        <w:rPr>
          <w:color w:val="auto"/>
          <w:szCs w:val="21"/>
          <w:highlight w:val="none"/>
        </w:rPr>
        <w:t>附件1：</w:t>
      </w:r>
      <w:r>
        <w:rPr>
          <w:rFonts w:hint="default"/>
          <w:color w:val="auto"/>
          <w:szCs w:val="21"/>
          <w:highlight w:val="none"/>
        </w:rPr>
        <w:t>浙江省企业投资项目备案（赋码）信息表</w:t>
      </w:r>
    </w:p>
    <w:p w14:paraId="13FF028C">
      <w:pPr>
        <w:adjustRightInd w:val="0"/>
        <w:snapToGrid w:val="0"/>
        <w:spacing w:line="360" w:lineRule="auto"/>
        <w:ind w:firstLine="105" w:firstLineChars="50"/>
        <w:jc w:val="left"/>
        <w:rPr>
          <w:color w:val="auto"/>
          <w:szCs w:val="21"/>
          <w:highlight w:val="none"/>
        </w:rPr>
      </w:pPr>
      <w:r>
        <w:rPr>
          <w:color w:val="auto"/>
          <w:szCs w:val="21"/>
          <w:highlight w:val="none"/>
        </w:rPr>
        <w:t>附件2：营业执照</w:t>
      </w:r>
    </w:p>
    <w:p w14:paraId="0D97A261">
      <w:pPr>
        <w:adjustRightInd w:val="0"/>
        <w:snapToGrid w:val="0"/>
        <w:spacing w:line="360" w:lineRule="auto"/>
        <w:ind w:firstLine="105" w:firstLineChars="50"/>
        <w:jc w:val="left"/>
        <w:rPr>
          <w:color w:val="auto"/>
          <w:szCs w:val="21"/>
          <w:highlight w:val="none"/>
        </w:rPr>
      </w:pPr>
      <w:r>
        <w:rPr>
          <w:color w:val="auto"/>
          <w:szCs w:val="21"/>
          <w:highlight w:val="none"/>
        </w:rPr>
        <w:t>附件3：</w:t>
      </w:r>
      <w:r>
        <w:rPr>
          <w:rFonts w:hint="default"/>
          <w:color w:val="auto"/>
          <w:szCs w:val="21"/>
          <w:highlight w:val="none"/>
        </w:rPr>
        <w:t>不动产权</w:t>
      </w:r>
      <w:r>
        <w:rPr>
          <w:color w:val="auto"/>
          <w:szCs w:val="21"/>
          <w:highlight w:val="none"/>
        </w:rPr>
        <w:t>证</w:t>
      </w:r>
    </w:p>
    <w:p w14:paraId="7A250556">
      <w:pPr>
        <w:adjustRightInd w:val="0"/>
        <w:snapToGrid w:val="0"/>
        <w:spacing w:line="360" w:lineRule="auto"/>
        <w:ind w:firstLine="105" w:firstLineChars="50"/>
        <w:jc w:val="left"/>
        <w:rPr>
          <w:rFonts w:hint="default"/>
          <w:color w:val="auto"/>
          <w:szCs w:val="21"/>
          <w:highlight w:val="none"/>
          <w:lang w:val="en-US" w:eastAsia="zh-CN"/>
        </w:rPr>
      </w:pPr>
      <w:r>
        <w:rPr>
          <w:rFonts w:hint="default"/>
          <w:color w:val="auto"/>
          <w:szCs w:val="21"/>
          <w:highlight w:val="none"/>
          <w:lang w:val="en-US" w:eastAsia="zh-CN"/>
        </w:rPr>
        <w:t>附件4：租赁合同</w:t>
      </w:r>
    </w:p>
    <w:p w14:paraId="38AFBA31">
      <w:pPr>
        <w:adjustRightInd w:val="0"/>
        <w:snapToGrid w:val="0"/>
        <w:spacing w:line="360" w:lineRule="auto"/>
        <w:ind w:firstLine="105" w:firstLineChars="50"/>
        <w:jc w:val="left"/>
        <w:rPr>
          <w:rFonts w:hint="default"/>
          <w:color w:val="auto"/>
          <w:szCs w:val="21"/>
          <w:highlight w:val="none"/>
          <w:lang w:val="en-US" w:eastAsia="zh-CN"/>
        </w:rPr>
      </w:pPr>
      <w:r>
        <w:rPr>
          <w:rFonts w:hint="default"/>
          <w:color w:val="auto"/>
          <w:szCs w:val="21"/>
          <w:highlight w:val="none"/>
          <w:lang w:val="en-US" w:eastAsia="zh-CN"/>
        </w:rPr>
        <w:t>附件5：城镇污水排入排水管网许可证</w:t>
      </w:r>
    </w:p>
    <w:p w14:paraId="1E14FE20">
      <w:pPr>
        <w:adjustRightInd w:val="0"/>
        <w:snapToGrid w:val="0"/>
        <w:spacing w:line="360" w:lineRule="auto"/>
        <w:ind w:firstLine="105" w:firstLineChars="50"/>
        <w:jc w:val="left"/>
        <w:rPr>
          <w:rFonts w:hint="default" w:eastAsia="宋体"/>
          <w:color w:val="auto"/>
          <w:szCs w:val="21"/>
          <w:highlight w:val="none"/>
          <w:lang w:eastAsia="zh-CN"/>
        </w:rPr>
      </w:pPr>
      <w:r>
        <w:rPr>
          <w:color w:val="auto"/>
          <w:szCs w:val="21"/>
          <w:highlight w:val="none"/>
        </w:rPr>
        <w:t>附件</w:t>
      </w:r>
      <w:r>
        <w:rPr>
          <w:rFonts w:hint="default"/>
          <w:color w:val="auto"/>
          <w:szCs w:val="21"/>
          <w:highlight w:val="none"/>
          <w:lang w:val="en-US" w:eastAsia="zh-CN"/>
        </w:rPr>
        <w:t>6</w:t>
      </w:r>
      <w:r>
        <w:rPr>
          <w:color w:val="auto"/>
          <w:szCs w:val="21"/>
          <w:highlight w:val="none"/>
        </w:rPr>
        <w:t>：</w:t>
      </w:r>
      <w:r>
        <w:rPr>
          <w:rFonts w:hint="default"/>
          <w:color w:val="auto"/>
          <w:szCs w:val="21"/>
          <w:highlight w:val="none"/>
        </w:rPr>
        <w:t>声环境现状监测报告</w:t>
      </w:r>
    </w:p>
    <w:p w14:paraId="6BA36867">
      <w:pPr>
        <w:adjustRightInd w:val="0"/>
        <w:snapToGrid w:val="0"/>
        <w:spacing w:line="360" w:lineRule="auto"/>
        <w:ind w:firstLine="105" w:firstLineChars="50"/>
        <w:jc w:val="left"/>
        <w:rPr>
          <w:rFonts w:hint="default" w:eastAsia="宋体"/>
          <w:color w:val="auto"/>
          <w:szCs w:val="21"/>
          <w:highlight w:val="none"/>
          <w:lang w:eastAsia="zh-CN"/>
        </w:rPr>
      </w:pPr>
      <w:r>
        <w:rPr>
          <w:color w:val="auto"/>
          <w:szCs w:val="21"/>
          <w:highlight w:val="none"/>
        </w:rPr>
        <w:t>附件</w:t>
      </w:r>
      <w:r>
        <w:rPr>
          <w:rFonts w:hint="default"/>
          <w:color w:val="auto"/>
          <w:szCs w:val="21"/>
          <w:highlight w:val="none"/>
          <w:lang w:val="en-US" w:eastAsia="zh-CN"/>
        </w:rPr>
        <w:t>7</w:t>
      </w:r>
      <w:r>
        <w:rPr>
          <w:color w:val="auto"/>
          <w:szCs w:val="21"/>
          <w:highlight w:val="none"/>
        </w:rPr>
        <w:t>：</w:t>
      </w:r>
      <w:r>
        <w:rPr>
          <w:rFonts w:hint="default"/>
          <w:color w:val="auto"/>
          <w:szCs w:val="21"/>
          <w:highlight w:val="none"/>
        </w:rPr>
        <w:t>申请报告</w:t>
      </w:r>
    </w:p>
    <w:p w14:paraId="2E20A0FE">
      <w:pPr>
        <w:adjustRightInd w:val="0"/>
        <w:snapToGrid w:val="0"/>
        <w:spacing w:line="360" w:lineRule="auto"/>
        <w:ind w:firstLine="105" w:firstLineChars="50"/>
        <w:jc w:val="left"/>
        <w:rPr>
          <w:color w:val="auto"/>
          <w:szCs w:val="21"/>
          <w:highlight w:val="none"/>
        </w:rPr>
      </w:pPr>
      <w:r>
        <w:rPr>
          <w:rFonts w:hint="default"/>
          <w:color w:val="auto"/>
          <w:szCs w:val="21"/>
          <w:highlight w:val="none"/>
        </w:rPr>
        <w:t>附件</w:t>
      </w:r>
      <w:r>
        <w:rPr>
          <w:rFonts w:hint="default"/>
          <w:color w:val="auto"/>
          <w:szCs w:val="21"/>
          <w:highlight w:val="none"/>
          <w:lang w:val="en-US" w:eastAsia="zh-CN"/>
        </w:rPr>
        <w:t>8</w:t>
      </w:r>
      <w:r>
        <w:rPr>
          <w:rFonts w:hint="default"/>
          <w:color w:val="auto"/>
          <w:szCs w:val="21"/>
          <w:highlight w:val="none"/>
        </w:rPr>
        <w:t>：</w:t>
      </w:r>
      <w:r>
        <w:rPr>
          <w:color w:val="auto"/>
          <w:szCs w:val="21"/>
          <w:highlight w:val="none"/>
        </w:rPr>
        <w:t>技术咨询合同</w:t>
      </w:r>
    </w:p>
    <w:p w14:paraId="4BBB0E13">
      <w:pPr>
        <w:adjustRightInd w:val="0"/>
        <w:snapToGrid w:val="0"/>
        <w:spacing w:line="360" w:lineRule="auto"/>
        <w:ind w:firstLine="105" w:firstLineChars="50"/>
        <w:jc w:val="left"/>
        <w:rPr>
          <w:rFonts w:hint="default"/>
          <w:color w:val="auto"/>
          <w:szCs w:val="21"/>
          <w:highlight w:val="none"/>
        </w:rPr>
        <w:sectPr>
          <w:footerReference r:id="rId5" w:type="default"/>
          <w:pgSz w:w="11906" w:h="16838"/>
          <w:pgMar w:top="1701" w:right="1531" w:bottom="1701" w:left="1531" w:header="851" w:footer="1077" w:gutter="0"/>
          <w:pgBorders>
            <w:top w:val="none" w:sz="0" w:space="0"/>
            <w:left w:val="none" w:sz="0" w:space="0"/>
            <w:bottom w:val="none" w:sz="0" w:space="0"/>
            <w:right w:val="none" w:sz="0" w:space="0"/>
          </w:pgBorders>
          <w:pgNumType w:start="1"/>
          <w:cols w:space="720" w:num="1"/>
          <w:docGrid w:linePitch="312" w:charSpace="0"/>
        </w:sectPr>
      </w:pPr>
    </w:p>
    <w:p w14:paraId="4B38A4EA">
      <w:pPr>
        <w:adjustRightInd w:val="0"/>
        <w:snapToGrid w:val="0"/>
        <w:spacing w:line="360" w:lineRule="auto"/>
        <w:ind w:firstLine="105" w:firstLineChars="50"/>
        <w:jc w:val="left"/>
        <w:rPr>
          <w:rFonts w:hint="default" w:eastAsia="宋体"/>
          <w:color w:val="auto"/>
          <w:szCs w:val="21"/>
          <w:highlight w:val="none"/>
          <w:lang w:eastAsia="zh-CN"/>
        </w:rPr>
      </w:pPr>
      <w:r>
        <w:rPr>
          <w:rFonts w:hint="default"/>
          <w:color w:val="auto"/>
          <w:szCs w:val="21"/>
          <w:highlight w:val="none"/>
        </w:rPr>
        <w:t>附件</w:t>
      </w:r>
      <w:r>
        <w:rPr>
          <w:rFonts w:hint="default"/>
          <w:color w:val="auto"/>
          <w:szCs w:val="21"/>
          <w:highlight w:val="none"/>
          <w:lang w:val="en-US" w:eastAsia="zh-CN"/>
        </w:rPr>
        <w:t>9</w:t>
      </w:r>
      <w:r>
        <w:rPr>
          <w:rFonts w:hint="default"/>
          <w:color w:val="auto"/>
          <w:szCs w:val="21"/>
          <w:highlight w:val="none"/>
        </w:rPr>
        <w:t>：</w:t>
      </w:r>
      <w:r>
        <w:rPr>
          <w:color w:val="auto"/>
          <w:szCs w:val="21"/>
          <w:highlight w:val="none"/>
        </w:rPr>
        <w:t>环评文件确认书</w:t>
      </w:r>
    </w:p>
    <w:p w14:paraId="44E85E94">
      <w:pPr>
        <w:adjustRightInd w:val="0"/>
        <w:snapToGrid w:val="0"/>
        <w:spacing w:line="360" w:lineRule="auto"/>
        <w:ind w:firstLine="105" w:firstLineChars="50"/>
        <w:jc w:val="left"/>
        <w:rPr>
          <w:rFonts w:hint="default" w:eastAsia="宋体"/>
          <w:color w:val="auto"/>
          <w:szCs w:val="21"/>
          <w:highlight w:val="none"/>
          <w:lang w:eastAsia="zh-CN"/>
        </w:rPr>
      </w:pPr>
      <w:r>
        <w:rPr>
          <w:color w:val="auto"/>
          <w:szCs w:val="21"/>
          <w:highlight w:val="none"/>
        </w:rPr>
        <w:t>附件</w:t>
      </w:r>
      <w:r>
        <w:rPr>
          <w:rFonts w:hint="default"/>
          <w:color w:val="auto"/>
          <w:szCs w:val="21"/>
          <w:highlight w:val="none"/>
          <w:lang w:val="en-US" w:eastAsia="zh-CN"/>
        </w:rPr>
        <w:t>10</w:t>
      </w:r>
      <w:r>
        <w:rPr>
          <w:color w:val="auto"/>
          <w:szCs w:val="21"/>
          <w:highlight w:val="none"/>
        </w:rPr>
        <w:t>：授权委托书</w:t>
      </w:r>
    </w:p>
    <w:p w14:paraId="2A21BA7B">
      <w:pPr>
        <w:adjustRightInd w:val="0"/>
        <w:snapToGrid w:val="0"/>
        <w:spacing w:line="360" w:lineRule="auto"/>
        <w:ind w:firstLine="105" w:firstLineChars="50"/>
        <w:jc w:val="left"/>
        <w:rPr>
          <w:rFonts w:hint="default" w:eastAsia="宋体"/>
          <w:color w:val="auto"/>
          <w:szCs w:val="21"/>
          <w:highlight w:val="none"/>
          <w:lang w:eastAsia="zh-CN"/>
        </w:rPr>
      </w:pPr>
      <w:r>
        <w:rPr>
          <w:color w:val="auto"/>
          <w:szCs w:val="21"/>
          <w:highlight w:val="none"/>
        </w:rPr>
        <w:t>附件</w:t>
      </w:r>
      <w:r>
        <w:rPr>
          <w:rFonts w:hint="default"/>
          <w:color w:val="auto"/>
          <w:szCs w:val="21"/>
          <w:highlight w:val="none"/>
          <w:lang w:val="en-US" w:eastAsia="zh-CN"/>
        </w:rPr>
        <w:t>11</w:t>
      </w:r>
      <w:r>
        <w:rPr>
          <w:color w:val="auto"/>
          <w:szCs w:val="21"/>
          <w:highlight w:val="none"/>
        </w:rPr>
        <w:t>：</w:t>
      </w:r>
      <w:r>
        <w:rPr>
          <w:rFonts w:hint="default"/>
          <w:color w:val="auto"/>
          <w:szCs w:val="21"/>
          <w:highlight w:val="none"/>
        </w:rPr>
        <w:t>委托人身份证扫描件、受托人身份证扫描件</w:t>
      </w:r>
    </w:p>
    <w:p w14:paraId="434980A8">
      <w:pPr>
        <w:adjustRightInd w:val="0"/>
        <w:snapToGrid w:val="0"/>
        <w:spacing w:line="360" w:lineRule="auto"/>
        <w:ind w:firstLine="105" w:firstLineChars="50"/>
        <w:jc w:val="left"/>
        <w:rPr>
          <w:rFonts w:hint="default" w:eastAsia="宋体"/>
          <w:color w:val="auto"/>
          <w:szCs w:val="21"/>
          <w:highlight w:val="none"/>
          <w:lang w:eastAsia="zh-CN"/>
        </w:rPr>
      </w:pPr>
      <w:r>
        <w:rPr>
          <w:rFonts w:hint="default"/>
          <w:color w:val="auto"/>
          <w:szCs w:val="21"/>
          <w:highlight w:val="none"/>
        </w:rPr>
        <w:t>附件</w:t>
      </w:r>
      <w:r>
        <w:rPr>
          <w:rFonts w:hint="default"/>
          <w:color w:val="auto"/>
          <w:szCs w:val="21"/>
          <w:highlight w:val="none"/>
          <w:lang w:val="en-US" w:eastAsia="zh-CN"/>
        </w:rPr>
        <w:t>12</w:t>
      </w:r>
      <w:r>
        <w:rPr>
          <w:rFonts w:hint="default"/>
          <w:color w:val="auto"/>
          <w:szCs w:val="21"/>
          <w:highlight w:val="none"/>
        </w:rPr>
        <w:t>：内审记录卡</w:t>
      </w:r>
    </w:p>
    <w:p w14:paraId="09D6A800">
      <w:pPr>
        <w:pStyle w:val="20"/>
        <w:jc w:val="both"/>
        <w:outlineLvl w:val="0"/>
        <w:rPr>
          <w:rFonts w:ascii="Times New Roman" w:hAnsi="Times New Roman" w:eastAsia="黑体"/>
          <w:snapToGrid w:val="0"/>
          <w:color w:val="auto"/>
          <w:sz w:val="30"/>
          <w:szCs w:val="30"/>
          <w:highlight w:val="none"/>
        </w:rPr>
      </w:pPr>
    </w:p>
    <w:p w14:paraId="178D33FA">
      <w:pPr>
        <w:pStyle w:val="20"/>
        <w:jc w:val="both"/>
        <w:outlineLvl w:val="0"/>
        <w:rPr>
          <w:rFonts w:ascii="Times New Roman" w:hAnsi="Times New Roman" w:eastAsia="黑体" w:cs="Times New Roman"/>
          <w:snapToGrid w:val="0"/>
          <w:color w:val="auto"/>
          <w:sz w:val="30"/>
          <w:szCs w:val="30"/>
          <w:highlight w:val="none"/>
        </w:rPr>
        <w:sectPr>
          <w:footerReference r:id="rId6" w:type="default"/>
          <w:pgSz w:w="11906" w:h="16838"/>
          <w:pgMar w:top="1701" w:right="1531" w:bottom="1701" w:left="1531" w:header="851" w:footer="1077" w:gutter="0"/>
          <w:pgBorders>
            <w:top w:val="none" w:sz="0" w:space="0"/>
            <w:left w:val="none" w:sz="0" w:space="0"/>
            <w:bottom w:val="none" w:sz="0" w:space="0"/>
            <w:right w:val="none" w:sz="0" w:space="0"/>
          </w:pgBorders>
          <w:pgNumType w:start="1"/>
          <w:cols w:space="720" w:num="1"/>
          <w:docGrid w:linePitch="312" w:charSpace="0"/>
        </w:sectPr>
      </w:pPr>
    </w:p>
    <w:p w14:paraId="199E7737">
      <w:pPr>
        <w:pStyle w:val="20"/>
        <w:jc w:val="center"/>
        <w:outlineLvl w:val="0"/>
        <w:rPr>
          <w:rFonts w:ascii="Times New Roman" w:hAnsi="Times New Roman" w:eastAsia="黑体"/>
          <w:snapToGrid w:val="0"/>
          <w:color w:val="auto"/>
          <w:sz w:val="30"/>
          <w:szCs w:val="30"/>
          <w:highlight w:val="none"/>
        </w:rPr>
      </w:pPr>
      <w:bookmarkStart w:id="6" w:name="_Toc5408"/>
      <w:r>
        <w:rPr>
          <w:rFonts w:ascii="Times New Roman" w:hAnsi="Times New Roman" w:eastAsia="黑体"/>
          <w:snapToGrid w:val="0"/>
          <w:color w:val="auto"/>
          <w:sz w:val="30"/>
          <w:szCs w:val="30"/>
          <w:highlight w:val="none"/>
        </w:rPr>
        <w:t>一、建设项目基本情况</w:t>
      </w:r>
      <w:bookmarkEnd w:id="2"/>
      <w:bookmarkEnd w:id="3"/>
      <w:bookmarkEnd w:id="4"/>
      <w:bookmarkEnd w:id="5"/>
      <w:bookmarkEnd w:id="6"/>
    </w:p>
    <w:tbl>
      <w:tblPr>
        <w:tblStyle w:val="24"/>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743"/>
        <w:gridCol w:w="500"/>
        <w:gridCol w:w="2169"/>
        <w:gridCol w:w="2092"/>
        <w:gridCol w:w="3320"/>
      </w:tblGrid>
      <w:tr w14:paraId="0844E74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250" w:type="dxa"/>
            <w:gridSpan w:val="2"/>
            <w:tcMar>
              <w:top w:w="16" w:type="dxa"/>
              <w:left w:w="16" w:type="dxa"/>
              <w:right w:w="16" w:type="dxa"/>
            </w:tcMar>
            <w:vAlign w:val="center"/>
          </w:tcPr>
          <w:p w14:paraId="6F502CD4">
            <w:pPr>
              <w:adjustRightInd w:val="0"/>
              <w:snapToGrid w:val="0"/>
              <w:jc w:val="center"/>
              <w:rPr>
                <w:color w:val="auto"/>
                <w:szCs w:val="21"/>
                <w:highlight w:val="none"/>
              </w:rPr>
            </w:pPr>
            <w:r>
              <w:rPr>
                <w:color w:val="auto"/>
                <w:szCs w:val="21"/>
                <w:highlight w:val="none"/>
              </w:rPr>
              <w:t>建设项目名称</w:t>
            </w:r>
          </w:p>
        </w:tc>
        <w:tc>
          <w:tcPr>
            <w:tcW w:w="7620" w:type="dxa"/>
            <w:gridSpan w:val="3"/>
            <w:vAlign w:val="center"/>
          </w:tcPr>
          <w:p w14:paraId="71D4B587">
            <w:pPr>
              <w:adjustRightInd w:val="0"/>
              <w:snapToGrid w:val="0"/>
              <w:jc w:val="center"/>
              <w:rPr>
                <w:color w:val="auto"/>
                <w:szCs w:val="21"/>
                <w:highlight w:val="none"/>
              </w:rPr>
            </w:pPr>
            <w:r>
              <w:rPr>
                <w:rFonts w:hint="default"/>
                <w:color w:val="auto"/>
                <w:szCs w:val="21"/>
                <w:highlight w:val="none"/>
              </w:rPr>
              <w:t>聚思创能钠离子电池NaSICON结构聚阴离子正极材料研发</w:t>
            </w:r>
          </w:p>
        </w:tc>
      </w:tr>
      <w:tr w14:paraId="135311F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250" w:type="dxa"/>
            <w:gridSpan w:val="2"/>
            <w:tcMar>
              <w:top w:w="16" w:type="dxa"/>
              <w:left w:w="16" w:type="dxa"/>
              <w:right w:w="16" w:type="dxa"/>
            </w:tcMar>
            <w:vAlign w:val="center"/>
          </w:tcPr>
          <w:p w14:paraId="5668F2D8">
            <w:pPr>
              <w:adjustRightInd w:val="0"/>
              <w:snapToGrid w:val="0"/>
              <w:jc w:val="center"/>
              <w:rPr>
                <w:color w:val="auto"/>
                <w:szCs w:val="21"/>
                <w:highlight w:val="none"/>
              </w:rPr>
            </w:pPr>
            <w:r>
              <w:rPr>
                <w:color w:val="auto"/>
                <w:szCs w:val="21"/>
                <w:highlight w:val="none"/>
              </w:rPr>
              <w:t>项目代码</w:t>
            </w:r>
          </w:p>
        </w:tc>
        <w:tc>
          <w:tcPr>
            <w:tcW w:w="7620" w:type="dxa"/>
            <w:gridSpan w:val="3"/>
            <w:vAlign w:val="center"/>
          </w:tcPr>
          <w:p w14:paraId="13392BD4">
            <w:pPr>
              <w:adjustRightInd w:val="0"/>
              <w:snapToGrid w:val="0"/>
              <w:jc w:val="center"/>
              <w:rPr>
                <w:color w:val="auto"/>
                <w:szCs w:val="21"/>
                <w:highlight w:val="none"/>
              </w:rPr>
            </w:pPr>
            <w:r>
              <w:rPr>
                <w:color w:val="auto"/>
                <w:szCs w:val="21"/>
                <w:highlight w:val="none"/>
              </w:rPr>
              <w:t>2511-330110-07-02-261474</w:t>
            </w:r>
          </w:p>
        </w:tc>
      </w:tr>
      <w:tr w14:paraId="3CE72F6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73" w:hRule="atLeast"/>
          <w:jc w:val="center"/>
        </w:trPr>
        <w:tc>
          <w:tcPr>
            <w:tcW w:w="1250" w:type="dxa"/>
            <w:gridSpan w:val="2"/>
            <w:tcMar>
              <w:top w:w="16" w:type="dxa"/>
              <w:left w:w="16" w:type="dxa"/>
              <w:right w:w="16" w:type="dxa"/>
            </w:tcMar>
            <w:vAlign w:val="center"/>
          </w:tcPr>
          <w:p w14:paraId="74E45803">
            <w:pPr>
              <w:adjustRightInd w:val="0"/>
              <w:snapToGrid w:val="0"/>
              <w:jc w:val="center"/>
              <w:rPr>
                <w:color w:val="auto"/>
                <w:szCs w:val="21"/>
                <w:highlight w:val="none"/>
              </w:rPr>
            </w:pPr>
            <w:r>
              <w:rPr>
                <w:color w:val="auto"/>
                <w:szCs w:val="21"/>
                <w:highlight w:val="none"/>
              </w:rPr>
              <w:t>建设单位联系人</w:t>
            </w:r>
          </w:p>
        </w:tc>
        <w:tc>
          <w:tcPr>
            <w:tcW w:w="2182" w:type="dxa"/>
            <w:vAlign w:val="center"/>
          </w:tcPr>
          <w:p w14:paraId="771168E4">
            <w:pPr>
              <w:adjustRightInd w:val="0"/>
              <w:snapToGrid w:val="0"/>
              <w:jc w:val="center"/>
              <w:rPr>
                <w:color w:val="auto"/>
                <w:szCs w:val="21"/>
                <w:highlight w:val="none"/>
              </w:rPr>
            </w:pPr>
            <w:r>
              <w:rPr>
                <w:rFonts w:hint="default"/>
                <w:color w:val="auto"/>
                <w:szCs w:val="21"/>
                <w:highlight w:val="none"/>
              </w:rPr>
              <w:t>史金山</w:t>
            </w:r>
          </w:p>
        </w:tc>
        <w:tc>
          <w:tcPr>
            <w:tcW w:w="2103" w:type="dxa"/>
            <w:vAlign w:val="center"/>
          </w:tcPr>
          <w:p w14:paraId="71F1F221">
            <w:pPr>
              <w:adjustRightInd w:val="0"/>
              <w:snapToGrid w:val="0"/>
              <w:jc w:val="center"/>
              <w:rPr>
                <w:color w:val="auto"/>
                <w:szCs w:val="21"/>
                <w:highlight w:val="none"/>
              </w:rPr>
            </w:pPr>
            <w:r>
              <w:rPr>
                <w:color w:val="auto"/>
                <w:szCs w:val="21"/>
                <w:highlight w:val="none"/>
              </w:rPr>
              <w:t>联系方式</w:t>
            </w:r>
          </w:p>
        </w:tc>
        <w:tc>
          <w:tcPr>
            <w:tcW w:w="3335" w:type="dxa"/>
            <w:vAlign w:val="center"/>
          </w:tcPr>
          <w:p w14:paraId="69E2CD34">
            <w:pPr>
              <w:adjustRightInd w:val="0"/>
              <w:snapToGrid w:val="0"/>
              <w:jc w:val="center"/>
              <w:rPr>
                <w:color w:val="auto"/>
                <w:szCs w:val="21"/>
                <w:highlight w:val="none"/>
              </w:rPr>
            </w:pPr>
            <w:r>
              <w:rPr>
                <w:rFonts w:hint="default"/>
                <w:color w:val="auto"/>
                <w:szCs w:val="21"/>
                <w:highlight w:val="none"/>
              </w:rPr>
              <w:t>15518187444</w:t>
            </w:r>
          </w:p>
        </w:tc>
      </w:tr>
      <w:tr w14:paraId="6565D81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250" w:type="dxa"/>
            <w:gridSpan w:val="2"/>
            <w:tcMar>
              <w:top w:w="16" w:type="dxa"/>
              <w:left w:w="16" w:type="dxa"/>
              <w:right w:w="16" w:type="dxa"/>
            </w:tcMar>
            <w:vAlign w:val="center"/>
          </w:tcPr>
          <w:p w14:paraId="0C12C217">
            <w:pPr>
              <w:adjustRightInd w:val="0"/>
              <w:snapToGrid w:val="0"/>
              <w:jc w:val="center"/>
              <w:rPr>
                <w:color w:val="auto"/>
                <w:szCs w:val="21"/>
                <w:highlight w:val="none"/>
              </w:rPr>
            </w:pPr>
            <w:r>
              <w:rPr>
                <w:color w:val="auto"/>
                <w:szCs w:val="21"/>
                <w:highlight w:val="none"/>
              </w:rPr>
              <w:t>建设地点</w:t>
            </w:r>
          </w:p>
        </w:tc>
        <w:tc>
          <w:tcPr>
            <w:tcW w:w="7620" w:type="dxa"/>
            <w:gridSpan w:val="3"/>
            <w:vAlign w:val="center"/>
          </w:tcPr>
          <w:p w14:paraId="46AC91E5">
            <w:pPr>
              <w:adjustRightInd w:val="0"/>
              <w:snapToGrid w:val="0"/>
              <w:jc w:val="center"/>
              <w:rPr>
                <w:color w:val="auto"/>
                <w:szCs w:val="21"/>
                <w:highlight w:val="none"/>
              </w:rPr>
            </w:pPr>
            <w:r>
              <w:rPr>
                <w:color w:val="auto"/>
                <w:szCs w:val="21"/>
                <w:highlight w:val="none"/>
                <w:u w:val="none"/>
              </w:rPr>
              <w:t>浙江</w:t>
            </w:r>
            <w:r>
              <w:rPr>
                <w:color w:val="auto"/>
                <w:szCs w:val="21"/>
                <w:highlight w:val="none"/>
              </w:rPr>
              <w:t>省</w:t>
            </w:r>
            <w:r>
              <w:rPr>
                <w:color w:val="auto"/>
                <w:szCs w:val="21"/>
                <w:highlight w:val="none"/>
                <w:u w:val="none"/>
              </w:rPr>
              <w:t>杭州</w:t>
            </w:r>
            <w:r>
              <w:rPr>
                <w:color w:val="auto"/>
                <w:szCs w:val="21"/>
                <w:highlight w:val="none"/>
              </w:rPr>
              <w:t>市</w:t>
            </w:r>
            <w:r>
              <w:rPr>
                <w:color w:val="auto"/>
                <w:szCs w:val="21"/>
                <w:highlight w:val="none"/>
                <w:u w:val="none"/>
              </w:rPr>
              <w:t>余杭</w:t>
            </w:r>
            <w:r>
              <w:rPr>
                <w:color w:val="auto"/>
                <w:szCs w:val="21"/>
                <w:highlight w:val="none"/>
              </w:rPr>
              <w:t>区</w:t>
            </w:r>
            <w:r>
              <w:rPr>
                <w:rFonts w:hint="default"/>
                <w:color w:val="auto"/>
                <w:szCs w:val="21"/>
                <w:highlight w:val="none"/>
                <w:u w:val="none"/>
              </w:rPr>
              <w:t>仁和</w:t>
            </w:r>
            <w:r>
              <w:rPr>
                <w:color w:val="auto"/>
                <w:szCs w:val="21"/>
                <w:highlight w:val="none"/>
              </w:rPr>
              <w:t>街道</w:t>
            </w:r>
            <w:r>
              <w:rPr>
                <w:rFonts w:hint="default"/>
                <w:color w:val="auto"/>
                <w:szCs w:val="21"/>
                <w:highlight w:val="none"/>
                <w:u w:val="none"/>
              </w:rPr>
              <w:t>獐山北路9号东恒肽康医药园6幢9楼</w:t>
            </w:r>
          </w:p>
        </w:tc>
      </w:tr>
      <w:tr w14:paraId="53D503F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250" w:type="dxa"/>
            <w:gridSpan w:val="2"/>
            <w:tcMar>
              <w:top w:w="16" w:type="dxa"/>
              <w:left w:w="16" w:type="dxa"/>
              <w:right w:w="16" w:type="dxa"/>
            </w:tcMar>
            <w:vAlign w:val="center"/>
          </w:tcPr>
          <w:p w14:paraId="0F205C74">
            <w:pPr>
              <w:adjustRightInd w:val="0"/>
              <w:snapToGrid w:val="0"/>
              <w:jc w:val="center"/>
              <w:rPr>
                <w:color w:val="auto"/>
                <w:szCs w:val="21"/>
                <w:highlight w:val="none"/>
              </w:rPr>
            </w:pPr>
            <w:r>
              <w:rPr>
                <w:color w:val="auto"/>
                <w:szCs w:val="21"/>
                <w:highlight w:val="none"/>
              </w:rPr>
              <w:t>地理坐标</w:t>
            </w:r>
          </w:p>
        </w:tc>
        <w:tc>
          <w:tcPr>
            <w:tcW w:w="7620" w:type="dxa"/>
            <w:gridSpan w:val="3"/>
            <w:vAlign w:val="center"/>
          </w:tcPr>
          <w:p w14:paraId="67877D0B">
            <w:pPr>
              <w:jc w:val="center"/>
              <w:rPr>
                <w:color w:val="auto"/>
                <w:szCs w:val="21"/>
                <w:highlight w:val="none"/>
              </w:rPr>
            </w:pPr>
            <w:r>
              <w:rPr>
                <w:color w:val="auto"/>
                <w:szCs w:val="21"/>
                <w:highlight w:val="none"/>
              </w:rPr>
              <w:t>（</w:t>
            </w:r>
            <w:r>
              <w:rPr>
                <w:color w:val="auto"/>
                <w:szCs w:val="21"/>
                <w:highlight w:val="none"/>
                <w:u w:val="single"/>
              </w:rPr>
              <w:t xml:space="preserve"> 120 </w:t>
            </w:r>
            <w:r>
              <w:rPr>
                <w:color w:val="auto"/>
                <w:szCs w:val="21"/>
                <w:highlight w:val="none"/>
              </w:rPr>
              <w:t>度</w:t>
            </w:r>
            <w:r>
              <w:rPr>
                <w:color w:val="auto"/>
                <w:szCs w:val="21"/>
                <w:highlight w:val="none"/>
                <w:u w:val="single"/>
              </w:rPr>
              <w:t xml:space="preserve"> </w:t>
            </w:r>
            <w:r>
              <w:rPr>
                <w:rFonts w:hint="default"/>
                <w:color w:val="auto"/>
                <w:szCs w:val="21"/>
                <w:highlight w:val="none"/>
                <w:u w:val="single"/>
              </w:rPr>
              <w:t>4</w:t>
            </w:r>
            <w:r>
              <w:rPr>
                <w:color w:val="auto"/>
                <w:szCs w:val="21"/>
                <w:highlight w:val="none"/>
                <w:u w:val="single"/>
              </w:rPr>
              <w:t xml:space="preserve"> </w:t>
            </w:r>
            <w:r>
              <w:rPr>
                <w:color w:val="auto"/>
                <w:szCs w:val="21"/>
                <w:highlight w:val="none"/>
              </w:rPr>
              <w:t>分</w:t>
            </w:r>
            <w:r>
              <w:rPr>
                <w:color w:val="auto"/>
                <w:szCs w:val="21"/>
                <w:highlight w:val="none"/>
                <w:u w:val="single"/>
              </w:rPr>
              <w:t xml:space="preserve"> </w:t>
            </w:r>
            <w:r>
              <w:rPr>
                <w:rFonts w:hint="default"/>
                <w:color w:val="auto"/>
                <w:szCs w:val="21"/>
                <w:highlight w:val="none"/>
                <w:u w:val="single"/>
              </w:rPr>
              <w:t>46.713</w:t>
            </w:r>
            <w:r>
              <w:rPr>
                <w:color w:val="auto"/>
                <w:szCs w:val="21"/>
                <w:highlight w:val="none"/>
                <w:u w:val="single"/>
              </w:rPr>
              <w:t xml:space="preserve"> </w:t>
            </w:r>
            <w:r>
              <w:rPr>
                <w:color w:val="auto"/>
                <w:szCs w:val="21"/>
                <w:highlight w:val="none"/>
              </w:rPr>
              <w:t>秒，</w:t>
            </w:r>
            <w:r>
              <w:rPr>
                <w:color w:val="auto"/>
                <w:szCs w:val="21"/>
                <w:highlight w:val="none"/>
                <w:u w:val="single"/>
              </w:rPr>
              <w:t>30</w:t>
            </w:r>
            <w:r>
              <w:rPr>
                <w:color w:val="auto"/>
                <w:szCs w:val="21"/>
                <w:highlight w:val="none"/>
              </w:rPr>
              <w:t>度</w:t>
            </w:r>
            <w:r>
              <w:rPr>
                <w:color w:val="auto"/>
                <w:szCs w:val="21"/>
                <w:highlight w:val="none"/>
                <w:u w:val="single"/>
              </w:rPr>
              <w:t xml:space="preserve"> 2</w:t>
            </w:r>
            <w:r>
              <w:rPr>
                <w:rFonts w:hint="default"/>
                <w:color w:val="auto"/>
                <w:szCs w:val="21"/>
                <w:highlight w:val="none"/>
                <w:u w:val="single"/>
              </w:rPr>
              <w:t>7</w:t>
            </w:r>
            <w:r>
              <w:rPr>
                <w:color w:val="auto"/>
                <w:szCs w:val="21"/>
                <w:highlight w:val="none"/>
                <w:u w:val="single"/>
              </w:rPr>
              <w:t xml:space="preserve"> </w:t>
            </w:r>
            <w:r>
              <w:rPr>
                <w:color w:val="auto"/>
                <w:szCs w:val="21"/>
                <w:highlight w:val="none"/>
              </w:rPr>
              <w:t>分</w:t>
            </w:r>
            <w:r>
              <w:rPr>
                <w:rFonts w:hint="default"/>
                <w:color w:val="auto"/>
                <w:szCs w:val="21"/>
                <w:highlight w:val="none"/>
                <w:u w:val="single"/>
              </w:rPr>
              <w:t>25.545</w:t>
            </w:r>
            <w:r>
              <w:rPr>
                <w:color w:val="auto"/>
                <w:szCs w:val="21"/>
                <w:highlight w:val="none"/>
              </w:rPr>
              <w:t>秒）</w:t>
            </w:r>
          </w:p>
        </w:tc>
      </w:tr>
      <w:tr w14:paraId="63515D0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61" w:hRule="atLeast"/>
          <w:jc w:val="center"/>
        </w:trPr>
        <w:tc>
          <w:tcPr>
            <w:tcW w:w="1250" w:type="dxa"/>
            <w:gridSpan w:val="2"/>
            <w:tcMar>
              <w:top w:w="16" w:type="dxa"/>
              <w:left w:w="16" w:type="dxa"/>
              <w:right w:w="16" w:type="dxa"/>
            </w:tcMar>
            <w:vAlign w:val="center"/>
          </w:tcPr>
          <w:p w14:paraId="2E05BC99">
            <w:pPr>
              <w:adjustRightInd w:val="0"/>
              <w:snapToGrid w:val="0"/>
              <w:jc w:val="center"/>
              <w:rPr>
                <w:color w:val="auto"/>
                <w:szCs w:val="21"/>
                <w:highlight w:val="none"/>
              </w:rPr>
            </w:pPr>
            <w:r>
              <w:rPr>
                <w:color w:val="auto"/>
                <w:szCs w:val="21"/>
                <w:highlight w:val="none"/>
              </w:rPr>
              <w:t>国民经济行业类别</w:t>
            </w:r>
          </w:p>
        </w:tc>
        <w:tc>
          <w:tcPr>
            <w:tcW w:w="2182" w:type="dxa"/>
            <w:vAlign w:val="center"/>
          </w:tcPr>
          <w:p w14:paraId="2D211752">
            <w:pPr>
              <w:adjustRightInd w:val="0"/>
              <w:snapToGrid w:val="0"/>
              <w:jc w:val="center"/>
              <w:rPr>
                <w:color w:val="auto"/>
                <w:szCs w:val="21"/>
                <w:highlight w:val="none"/>
              </w:rPr>
            </w:pPr>
            <w:r>
              <w:rPr>
                <w:rFonts w:hint="default"/>
                <w:color w:val="auto"/>
                <w:szCs w:val="21"/>
                <w:highlight w:val="none"/>
              </w:rPr>
              <w:t>M7320 工程和技术研究和试验发展</w:t>
            </w:r>
          </w:p>
        </w:tc>
        <w:tc>
          <w:tcPr>
            <w:tcW w:w="2103" w:type="dxa"/>
            <w:vAlign w:val="center"/>
          </w:tcPr>
          <w:p w14:paraId="6988612E">
            <w:pPr>
              <w:adjustRightInd w:val="0"/>
              <w:snapToGrid w:val="0"/>
              <w:jc w:val="center"/>
              <w:rPr>
                <w:color w:val="auto"/>
                <w:szCs w:val="21"/>
                <w:highlight w:val="none"/>
              </w:rPr>
            </w:pPr>
            <w:bookmarkStart w:id="7" w:name="_Hlk49843745"/>
            <w:r>
              <w:rPr>
                <w:color w:val="auto"/>
                <w:szCs w:val="21"/>
                <w:highlight w:val="none"/>
              </w:rPr>
              <w:t>建设项目</w:t>
            </w:r>
          </w:p>
          <w:p w14:paraId="30050AFD">
            <w:pPr>
              <w:adjustRightInd w:val="0"/>
              <w:snapToGrid w:val="0"/>
              <w:jc w:val="center"/>
              <w:rPr>
                <w:color w:val="auto"/>
                <w:szCs w:val="21"/>
                <w:highlight w:val="none"/>
              </w:rPr>
            </w:pPr>
            <w:r>
              <w:rPr>
                <w:color w:val="auto"/>
                <w:szCs w:val="21"/>
                <w:highlight w:val="none"/>
              </w:rPr>
              <w:t>行业类别</w:t>
            </w:r>
            <w:bookmarkEnd w:id="7"/>
          </w:p>
        </w:tc>
        <w:tc>
          <w:tcPr>
            <w:tcW w:w="3335" w:type="dxa"/>
            <w:vAlign w:val="center"/>
          </w:tcPr>
          <w:p w14:paraId="4C834741">
            <w:pPr>
              <w:adjustRightInd w:val="0"/>
              <w:snapToGrid w:val="0"/>
              <w:jc w:val="center"/>
              <w:rPr>
                <w:color w:val="auto"/>
                <w:szCs w:val="21"/>
                <w:highlight w:val="none"/>
              </w:rPr>
            </w:pPr>
            <w:r>
              <w:rPr>
                <w:rFonts w:hint="default"/>
                <w:color w:val="auto"/>
                <w:szCs w:val="21"/>
                <w:highlight w:val="none"/>
              </w:rPr>
              <w:t>四十五</w:t>
            </w:r>
            <w:r>
              <w:rPr>
                <w:color w:val="auto"/>
                <w:szCs w:val="21"/>
                <w:highlight w:val="none"/>
              </w:rPr>
              <w:t>、</w:t>
            </w:r>
            <w:r>
              <w:rPr>
                <w:rFonts w:hint="default"/>
                <w:color w:val="auto"/>
                <w:szCs w:val="21"/>
                <w:highlight w:val="none"/>
              </w:rPr>
              <w:t>研究和试验发展中；98</w:t>
            </w:r>
            <w:r>
              <w:rPr>
                <w:color w:val="auto"/>
                <w:szCs w:val="21"/>
                <w:highlight w:val="none"/>
              </w:rPr>
              <w:t xml:space="preserve"> </w:t>
            </w:r>
            <w:r>
              <w:rPr>
                <w:rFonts w:hint="default"/>
                <w:color w:val="auto"/>
                <w:szCs w:val="21"/>
                <w:highlight w:val="none"/>
              </w:rPr>
              <w:t>专业实验室、研发（试验）基地；其他</w:t>
            </w:r>
          </w:p>
        </w:tc>
      </w:tr>
      <w:tr w14:paraId="4BA300D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219" w:hRule="atLeast"/>
          <w:jc w:val="center"/>
        </w:trPr>
        <w:tc>
          <w:tcPr>
            <w:tcW w:w="1250" w:type="dxa"/>
            <w:gridSpan w:val="2"/>
            <w:tcMar>
              <w:top w:w="16" w:type="dxa"/>
              <w:left w:w="16" w:type="dxa"/>
              <w:right w:w="16" w:type="dxa"/>
            </w:tcMar>
            <w:vAlign w:val="center"/>
          </w:tcPr>
          <w:p w14:paraId="436BD720">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建设性质</w:t>
            </w:r>
          </w:p>
        </w:tc>
        <w:tc>
          <w:tcPr>
            <w:tcW w:w="2182" w:type="dxa"/>
            <w:vAlign w:val="center"/>
          </w:tcPr>
          <w:p w14:paraId="1B28B5D4">
            <w:pPr>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■新建（迁建）</w:t>
            </w:r>
          </w:p>
          <w:p w14:paraId="03D43945">
            <w:pPr>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□改建</w:t>
            </w:r>
          </w:p>
          <w:p w14:paraId="7FA5C8D4">
            <w:pPr>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□扩建</w:t>
            </w:r>
          </w:p>
          <w:p w14:paraId="16167922">
            <w:pPr>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□技术改造</w:t>
            </w:r>
          </w:p>
        </w:tc>
        <w:tc>
          <w:tcPr>
            <w:tcW w:w="2103" w:type="dxa"/>
            <w:vAlign w:val="center"/>
          </w:tcPr>
          <w:p w14:paraId="7731DA99">
            <w:pPr>
              <w:adjustRightInd w:val="0"/>
              <w:snapToGrid w:val="0"/>
              <w:jc w:val="center"/>
              <w:rPr>
                <w:color w:val="auto"/>
                <w:szCs w:val="21"/>
                <w:highlight w:val="none"/>
              </w:rPr>
            </w:pPr>
            <w:r>
              <w:rPr>
                <w:color w:val="auto"/>
                <w:szCs w:val="21"/>
                <w:highlight w:val="none"/>
              </w:rPr>
              <w:t>建设项目</w:t>
            </w:r>
          </w:p>
          <w:p w14:paraId="4E9C2A33">
            <w:pPr>
              <w:adjustRightInd w:val="0"/>
              <w:snapToGrid w:val="0"/>
              <w:jc w:val="center"/>
              <w:rPr>
                <w:color w:val="auto"/>
                <w:szCs w:val="21"/>
                <w:highlight w:val="none"/>
              </w:rPr>
            </w:pPr>
            <w:r>
              <w:rPr>
                <w:color w:val="auto"/>
                <w:szCs w:val="21"/>
                <w:highlight w:val="none"/>
              </w:rPr>
              <w:t>申报情形</w:t>
            </w:r>
          </w:p>
        </w:tc>
        <w:tc>
          <w:tcPr>
            <w:tcW w:w="3335" w:type="dxa"/>
            <w:vAlign w:val="center"/>
          </w:tcPr>
          <w:p w14:paraId="580BC1DD">
            <w:pPr>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r>
              <w:rPr>
                <w:color w:val="auto"/>
                <w:szCs w:val="21"/>
                <w:highlight w:val="none"/>
              </w:rPr>
              <w:t>首</w:t>
            </w:r>
            <w:r>
              <w:rPr>
                <w:rFonts w:hint="default" w:ascii="Times New Roman" w:hAnsi="Times New Roman" w:cs="Times New Roman"/>
                <w:color w:val="auto"/>
                <w:szCs w:val="21"/>
                <w:highlight w:val="none"/>
              </w:rPr>
              <w:t xml:space="preserve">次申报项目             </w:t>
            </w:r>
          </w:p>
          <w:p w14:paraId="5619253C">
            <w:pPr>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□不予批准后再次申报项目</w:t>
            </w:r>
          </w:p>
          <w:p w14:paraId="1DB6427F">
            <w:pPr>
              <w:jc w:val="left"/>
              <w:rPr>
                <w:rFonts w:hint="default" w:ascii="Times New Roman" w:hAnsi="Times New Roman" w:cs="Times New Roman"/>
                <w:color w:val="auto"/>
                <w:szCs w:val="21"/>
                <w:highlight w:val="none"/>
              </w:rPr>
            </w:pPr>
            <w:r>
              <w:rPr>
                <w:rFonts w:ascii="Times New Roman" w:hAnsi="Times New Roman" w:cs="Times New Roman"/>
                <w:color w:val="auto"/>
                <w:szCs w:val="21"/>
                <w:highlight w:val="none"/>
              </w:rPr>
              <w:sym w:font="Wingdings 2" w:char="00A3"/>
            </w:r>
            <w:r>
              <w:rPr>
                <w:rFonts w:hint="default" w:ascii="Times New Roman" w:hAnsi="Times New Roman" w:cs="Times New Roman"/>
                <w:color w:val="auto"/>
                <w:szCs w:val="21"/>
                <w:highlight w:val="none"/>
              </w:rPr>
              <w:t xml:space="preserve">超五年重新审核项目     </w:t>
            </w:r>
          </w:p>
          <w:p w14:paraId="7421B17D">
            <w:pPr>
              <w:jc w:val="left"/>
              <w:rPr>
                <w:color w:val="auto"/>
                <w:szCs w:val="21"/>
                <w:highlight w:val="none"/>
              </w:rPr>
            </w:pPr>
            <w:r>
              <w:rPr>
                <w:rFonts w:hint="default" w:ascii="Times New Roman" w:hAnsi="Times New Roman" w:cs="Times New Roman"/>
                <w:color w:val="auto"/>
                <w:szCs w:val="21"/>
                <w:highlight w:val="none"/>
              </w:rPr>
              <w:t>□</w:t>
            </w:r>
            <w:r>
              <w:rPr>
                <w:color w:val="auto"/>
                <w:szCs w:val="21"/>
                <w:highlight w:val="none"/>
              </w:rPr>
              <w:t>重大变动重新报批项目</w:t>
            </w:r>
          </w:p>
        </w:tc>
      </w:tr>
      <w:tr w14:paraId="4E2ED59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851" w:hRule="atLeast"/>
          <w:jc w:val="center"/>
        </w:trPr>
        <w:tc>
          <w:tcPr>
            <w:tcW w:w="1250" w:type="dxa"/>
            <w:gridSpan w:val="2"/>
            <w:tcMar>
              <w:top w:w="16" w:type="dxa"/>
              <w:left w:w="16" w:type="dxa"/>
              <w:right w:w="16" w:type="dxa"/>
            </w:tcMar>
            <w:vAlign w:val="center"/>
          </w:tcPr>
          <w:p w14:paraId="47634E3B">
            <w:pPr>
              <w:adjustRightInd w:val="0"/>
              <w:snapToGrid w:val="0"/>
              <w:jc w:val="center"/>
              <w:rPr>
                <w:color w:val="auto"/>
                <w:szCs w:val="21"/>
                <w:highlight w:val="none"/>
              </w:rPr>
            </w:pPr>
            <w:r>
              <w:rPr>
                <w:color w:val="auto"/>
                <w:szCs w:val="21"/>
                <w:highlight w:val="none"/>
              </w:rPr>
              <w:t>项目审批（核准/</w:t>
            </w:r>
          </w:p>
          <w:p w14:paraId="47BD1463">
            <w:pPr>
              <w:adjustRightInd w:val="0"/>
              <w:snapToGrid w:val="0"/>
              <w:jc w:val="center"/>
              <w:rPr>
                <w:color w:val="auto"/>
                <w:szCs w:val="21"/>
                <w:highlight w:val="none"/>
              </w:rPr>
            </w:pPr>
            <w:r>
              <w:rPr>
                <w:color w:val="auto"/>
                <w:szCs w:val="21"/>
                <w:highlight w:val="none"/>
              </w:rPr>
              <w:t>备案）部门（选填）</w:t>
            </w:r>
          </w:p>
        </w:tc>
        <w:tc>
          <w:tcPr>
            <w:tcW w:w="2182" w:type="dxa"/>
            <w:vAlign w:val="center"/>
          </w:tcPr>
          <w:p w14:paraId="3BC3E378">
            <w:pPr>
              <w:adjustRightInd w:val="0"/>
              <w:snapToGrid w:val="0"/>
              <w:jc w:val="center"/>
              <w:rPr>
                <w:color w:val="auto"/>
                <w:szCs w:val="21"/>
                <w:highlight w:val="none"/>
              </w:rPr>
            </w:pPr>
            <w:r>
              <w:rPr>
                <w:color w:val="auto"/>
                <w:szCs w:val="21"/>
                <w:highlight w:val="none"/>
              </w:rPr>
              <w:t>余杭区经济和信息化局</w:t>
            </w:r>
          </w:p>
        </w:tc>
        <w:tc>
          <w:tcPr>
            <w:tcW w:w="2103" w:type="dxa"/>
            <w:vAlign w:val="center"/>
          </w:tcPr>
          <w:p w14:paraId="64FA53B3">
            <w:pPr>
              <w:adjustRightInd w:val="0"/>
              <w:snapToGrid w:val="0"/>
              <w:jc w:val="center"/>
              <w:rPr>
                <w:color w:val="auto"/>
                <w:szCs w:val="21"/>
                <w:highlight w:val="none"/>
              </w:rPr>
            </w:pPr>
            <w:r>
              <w:rPr>
                <w:color w:val="auto"/>
                <w:szCs w:val="21"/>
                <w:highlight w:val="none"/>
              </w:rPr>
              <w:t>项目审批（核准/</w:t>
            </w:r>
          </w:p>
          <w:p w14:paraId="7269E373">
            <w:pPr>
              <w:adjustRightInd w:val="0"/>
              <w:snapToGrid w:val="0"/>
              <w:jc w:val="center"/>
              <w:rPr>
                <w:color w:val="auto"/>
                <w:szCs w:val="21"/>
                <w:highlight w:val="none"/>
              </w:rPr>
            </w:pPr>
            <w:r>
              <w:rPr>
                <w:color w:val="auto"/>
                <w:szCs w:val="21"/>
                <w:highlight w:val="none"/>
              </w:rPr>
              <w:t>备案）文号（选填）</w:t>
            </w:r>
          </w:p>
        </w:tc>
        <w:tc>
          <w:tcPr>
            <w:tcW w:w="3335" w:type="dxa"/>
            <w:vAlign w:val="center"/>
          </w:tcPr>
          <w:p w14:paraId="6347A26B">
            <w:pPr>
              <w:adjustRightInd w:val="0"/>
              <w:snapToGrid w:val="0"/>
              <w:jc w:val="center"/>
              <w:rPr>
                <w:color w:val="auto"/>
                <w:szCs w:val="21"/>
                <w:highlight w:val="none"/>
              </w:rPr>
            </w:pPr>
            <w:r>
              <w:rPr>
                <w:color w:val="auto"/>
                <w:szCs w:val="21"/>
                <w:highlight w:val="none"/>
              </w:rPr>
              <w:t>2511-330110-07-02-261474</w:t>
            </w:r>
          </w:p>
        </w:tc>
      </w:tr>
      <w:tr w14:paraId="5DCF805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250" w:type="dxa"/>
            <w:gridSpan w:val="2"/>
            <w:tcMar>
              <w:top w:w="16" w:type="dxa"/>
              <w:left w:w="16" w:type="dxa"/>
              <w:right w:w="16" w:type="dxa"/>
            </w:tcMar>
            <w:vAlign w:val="center"/>
          </w:tcPr>
          <w:p w14:paraId="75C4B8DA">
            <w:pPr>
              <w:adjustRightInd w:val="0"/>
              <w:snapToGrid w:val="0"/>
              <w:jc w:val="center"/>
              <w:rPr>
                <w:color w:val="auto"/>
                <w:szCs w:val="21"/>
                <w:highlight w:val="none"/>
              </w:rPr>
            </w:pPr>
            <w:r>
              <w:rPr>
                <w:color w:val="auto"/>
                <w:szCs w:val="21"/>
                <w:highlight w:val="none"/>
              </w:rPr>
              <w:t>总投资（万元）</w:t>
            </w:r>
          </w:p>
        </w:tc>
        <w:tc>
          <w:tcPr>
            <w:tcW w:w="2182" w:type="dxa"/>
            <w:vAlign w:val="center"/>
          </w:tcPr>
          <w:p w14:paraId="16F4697A">
            <w:pPr>
              <w:adjustRightInd w:val="0"/>
              <w:snapToGrid w:val="0"/>
              <w:jc w:val="center"/>
              <w:rPr>
                <w:color w:val="auto"/>
                <w:szCs w:val="21"/>
                <w:highlight w:val="none"/>
              </w:rPr>
            </w:pPr>
            <w:r>
              <w:rPr>
                <w:rFonts w:hint="default"/>
                <w:color w:val="auto"/>
                <w:szCs w:val="21"/>
                <w:highlight w:val="none"/>
              </w:rPr>
              <w:t>596.5</w:t>
            </w:r>
          </w:p>
        </w:tc>
        <w:tc>
          <w:tcPr>
            <w:tcW w:w="2103" w:type="dxa"/>
            <w:tcMar>
              <w:top w:w="16" w:type="dxa"/>
              <w:left w:w="16" w:type="dxa"/>
              <w:right w:w="16" w:type="dxa"/>
            </w:tcMar>
            <w:vAlign w:val="center"/>
          </w:tcPr>
          <w:p w14:paraId="397F1E8D">
            <w:pPr>
              <w:adjustRightInd w:val="0"/>
              <w:snapToGrid w:val="0"/>
              <w:jc w:val="center"/>
              <w:rPr>
                <w:color w:val="auto"/>
                <w:szCs w:val="21"/>
                <w:highlight w:val="none"/>
              </w:rPr>
            </w:pPr>
            <w:r>
              <w:rPr>
                <w:color w:val="auto"/>
                <w:szCs w:val="21"/>
                <w:highlight w:val="none"/>
              </w:rPr>
              <w:t>环保投资（万元）</w:t>
            </w:r>
          </w:p>
        </w:tc>
        <w:tc>
          <w:tcPr>
            <w:tcW w:w="3335" w:type="dxa"/>
            <w:vAlign w:val="center"/>
          </w:tcPr>
          <w:p w14:paraId="5CC3C7A9">
            <w:pPr>
              <w:adjustRightInd w:val="0"/>
              <w:snapToGrid w:val="0"/>
              <w:jc w:val="center"/>
              <w:rPr>
                <w:rFonts w:hint="default" w:eastAsia="宋体"/>
                <w:color w:val="auto"/>
                <w:szCs w:val="21"/>
                <w:highlight w:val="none"/>
                <w:lang w:val="en-US" w:eastAsia="zh-CN"/>
              </w:rPr>
            </w:pPr>
            <w:r>
              <w:rPr>
                <w:rFonts w:hint="default"/>
                <w:color w:val="auto"/>
                <w:szCs w:val="21"/>
                <w:highlight w:val="none"/>
                <w:lang w:val="en-US" w:eastAsia="zh-CN"/>
              </w:rPr>
              <w:t>21</w:t>
            </w:r>
          </w:p>
        </w:tc>
      </w:tr>
      <w:tr w14:paraId="00ECF85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250" w:type="dxa"/>
            <w:gridSpan w:val="2"/>
            <w:tcMar>
              <w:top w:w="16" w:type="dxa"/>
              <w:left w:w="16" w:type="dxa"/>
              <w:right w:w="16" w:type="dxa"/>
            </w:tcMar>
            <w:vAlign w:val="center"/>
          </w:tcPr>
          <w:p w14:paraId="7C7AD980">
            <w:pPr>
              <w:adjustRightInd w:val="0"/>
              <w:snapToGrid w:val="0"/>
              <w:jc w:val="center"/>
              <w:rPr>
                <w:color w:val="auto"/>
                <w:szCs w:val="21"/>
                <w:highlight w:val="none"/>
              </w:rPr>
            </w:pPr>
            <w:r>
              <w:rPr>
                <w:color w:val="auto"/>
                <w:szCs w:val="21"/>
                <w:highlight w:val="none"/>
              </w:rPr>
              <w:t>环保投资占比（%）</w:t>
            </w:r>
          </w:p>
        </w:tc>
        <w:tc>
          <w:tcPr>
            <w:tcW w:w="2182" w:type="dxa"/>
            <w:vAlign w:val="center"/>
          </w:tcPr>
          <w:p w14:paraId="0FF6EC2E">
            <w:pPr>
              <w:adjustRightInd w:val="0"/>
              <w:snapToGrid w:val="0"/>
              <w:jc w:val="center"/>
              <w:rPr>
                <w:rFonts w:hint="default" w:eastAsia="宋体"/>
                <w:color w:val="auto"/>
                <w:szCs w:val="21"/>
                <w:highlight w:val="none"/>
                <w:lang w:val="en-US" w:eastAsia="zh-CN"/>
              </w:rPr>
            </w:pPr>
            <w:r>
              <w:rPr>
                <w:rFonts w:hint="default"/>
                <w:color w:val="auto"/>
                <w:szCs w:val="21"/>
                <w:highlight w:val="none"/>
                <w:lang w:val="en-US" w:eastAsia="zh-CN"/>
              </w:rPr>
              <w:t>3.52</w:t>
            </w:r>
          </w:p>
        </w:tc>
        <w:tc>
          <w:tcPr>
            <w:tcW w:w="2103" w:type="dxa"/>
            <w:tcMar>
              <w:top w:w="16" w:type="dxa"/>
              <w:left w:w="16" w:type="dxa"/>
              <w:right w:w="16" w:type="dxa"/>
            </w:tcMar>
            <w:vAlign w:val="center"/>
          </w:tcPr>
          <w:p w14:paraId="0ECF4AC0">
            <w:pPr>
              <w:adjustRightInd w:val="0"/>
              <w:snapToGrid w:val="0"/>
              <w:jc w:val="center"/>
              <w:rPr>
                <w:color w:val="auto"/>
                <w:szCs w:val="21"/>
                <w:highlight w:val="none"/>
              </w:rPr>
            </w:pPr>
            <w:r>
              <w:rPr>
                <w:color w:val="auto"/>
                <w:szCs w:val="21"/>
                <w:highlight w:val="none"/>
              </w:rPr>
              <w:t>施工工期</w:t>
            </w:r>
          </w:p>
        </w:tc>
        <w:tc>
          <w:tcPr>
            <w:tcW w:w="3335" w:type="dxa"/>
            <w:vAlign w:val="center"/>
          </w:tcPr>
          <w:p w14:paraId="41735768">
            <w:pPr>
              <w:adjustRightInd w:val="0"/>
              <w:snapToGrid w:val="0"/>
              <w:jc w:val="center"/>
              <w:rPr>
                <w:color w:val="auto"/>
                <w:szCs w:val="21"/>
                <w:highlight w:val="none"/>
              </w:rPr>
            </w:pPr>
            <w:r>
              <w:rPr>
                <w:rFonts w:hint="default"/>
                <w:color w:val="auto"/>
                <w:szCs w:val="21"/>
                <w:highlight w:val="none"/>
              </w:rPr>
              <w:t>两个月</w:t>
            </w:r>
          </w:p>
        </w:tc>
      </w:tr>
      <w:tr w14:paraId="0A55573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250" w:type="dxa"/>
            <w:gridSpan w:val="2"/>
            <w:tcMar>
              <w:top w:w="16" w:type="dxa"/>
              <w:left w:w="16" w:type="dxa"/>
              <w:right w:w="16" w:type="dxa"/>
            </w:tcMar>
            <w:vAlign w:val="center"/>
          </w:tcPr>
          <w:p w14:paraId="1DFFE6FE">
            <w:pPr>
              <w:adjustRightInd w:val="0"/>
              <w:snapToGrid w:val="0"/>
              <w:jc w:val="center"/>
              <w:rPr>
                <w:color w:val="auto"/>
                <w:szCs w:val="21"/>
                <w:highlight w:val="none"/>
              </w:rPr>
            </w:pPr>
            <w:r>
              <w:rPr>
                <w:color w:val="auto"/>
                <w:szCs w:val="21"/>
                <w:highlight w:val="none"/>
              </w:rPr>
              <w:t>是否开工建设</w:t>
            </w:r>
          </w:p>
        </w:tc>
        <w:tc>
          <w:tcPr>
            <w:tcW w:w="2182" w:type="dxa"/>
            <w:vAlign w:val="center"/>
          </w:tcPr>
          <w:p w14:paraId="7D4D5964">
            <w:pPr>
              <w:adjustRightInd w:val="0"/>
              <w:snapToGrid w:val="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■否</w:t>
            </w:r>
          </w:p>
          <w:p w14:paraId="1B6B42BC">
            <w:pPr>
              <w:adjustRightInd w:val="0"/>
              <w:snapToGrid w:val="0"/>
              <w:rPr>
                <w:color w:val="auto"/>
                <w:szCs w:val="21"/>
                <w:highlight w:val="none"/>
              </w:rPr>
            </w:pPr>
            <w:r>
              <w:rPr>
                <w:color w:val="auto"/>
                <w:szCs w:val="21"/>
                <w:highlight w:val="none"/>
              </w:rPr>
              <w:sym w:font="Wingdings 2" w:char="00A3"/>
            </w:r>
            <w:r>
              <w:rPr>
                <w:color w:val="auto"/>
                <w:szCs w:val="21"/>
                <w:highlight w:val="none"/>
              </w:rPr>
              <w:t>是：</w:t>
            </w:r>
            <w:r>
              <w:rPr>
                <w:color w:val="auto"/>
                <w:szCs w:val="21"/>
                <w:highlight w:val="none"/>
                <w:u w:val="single"/>
              </w:rPr>
              <w:t xml:space="preserve">             </w:t>
            </w:r>
          </w:p>
        </w:tc>
        <w:tc>
          <w:tcPr>
            <w:tcW w:w="2103" w:type="dxa"/>
            <w:tcMar>
              <w:top w:w="16" w:type="dxa"/>
              <w:left w:w="16" w:type="dxa"/>
              <w:right w:w="16" w:type="dxa"/>
            </w:tcMar>
            <w:vAlign w:val="center"/>
          </w:tcPr>
          <w:p w14:paraId="7CEBE9A7">
            <w:pPr>
              <w:adjustRightInd w:val="0"/>
              <w:snapToGrid w:val="0"/>
              <w:jc w:val="center"/>
              <w:rPr>
                <w:color w:val="auto"/>
                <w:spacing w:val="-6"/>
                <w:szCs w:val="21"/>
                <w:highlight w:val="none"/>
              </w:rPr>
            </w:pPr>
            <w:r>
              <w:rPr>
                <w:color w:val="auto"/>
                <w:spacing w:val="-6"/>
                <w:szCs w:val="21"/>
                <w:highlight w:val="none"/>
              </w:rPr>
              <w:t>用地（用海）</w:t>
            </w:r>
          </w:p>
          <w:p w14:paraId="016FB730">
            <w:pPr>
              <w:adjustRightInd w:val="0"/>
              <w:snapToGrid w:val="0"/>
              <w:jc w:val="center"/>
              <w:rPr>
                <w:color w:val="auto"/>
                <w:szCs w:val="21"/>
                <w:highlight w:val="none"/>
              </w:rPr>
            </w:pPr>
            <w:r>
              <w:rPr>
                <w:color w:val="auto"/>
                <w:spacing w:val="-6"/>
                <w:szCs w:val="21"/>
                <w:highlight w:val="none"/>
              </w:rPr>
              <w:t>面积（m</w:t>
            </w:r>
            <w:r>
              <w:rPr>
                <w:color w:val="auto"/>
                <w:spacing w:val="-6"/>
                <w:szCs w:val="21"/>
                <w:highlight w:val="none"/>
                <w:vertAlign w:val="superscript"/>
              </w:rPr>
              <w:t>2</w:t>
            </w:r>
            <w:r>
              <w:rPr>
                <w:color w:val="auto"/>
                <w:spacing w:val="-6"/>
                <w:szCs w:val="21"/>
                <w:highlight w:val="none"/>
              </w:rPr>
              <w:t>）</w:t>
            </w:r>
          </w:p>
        </w:tc>
        <w:tc>
          <w:tcPr>
            <w:tcW w:w="3335" w:type="dxa"/>
            <w:vAlign w:val="center"/>
          </w:tcPr>
          <w:p w14:paraId="35D3684E">
            <w:pPr>
              <w:adjustRightInd w:val="0"/>
              <w:snapToGrid w:val="0"/>
              <w:jc w:val="center"/>
              <w:rPr>
                <w:color w:val="auto"/>
                <w:szCs w:val="21"/>
                <w:highlight w:val="none"/>
              </w:rPr>
            </w:pPr>
            <w:r>
              <w:rPr>
                <w:rFonts w:hint="default"/>
                <w:color w:val="auto"/>
                <w:szCs w:val="21"/>
                <w:highlight w:val="none"/>
              </w:rPr>
              <w:t>1346.61</w:t>
            </w:r>
          </w:p>
        </w:tc>
      </w:tr>
      <w:tr w14:paraId="03E7D58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745" w:type="dxa"/>
            <w:vAlign w:val="center"/>
          </w:tcPr>
          <w:p w14:paraId="06FEFCD3">
            <w:pPr>
              <w:autoSpaceDE w:val="0"/>
              <w:autoSpaceDN w:val="0"/>
              <w:adjustRightInd w:val="0"/>
              <w:snapToGrid w:val="0"/>
              <w:jc w:val="center"/>
              <w:rPr>
                <w:color w:val="auto"/>
                <w:kern w:val="0"/>
                <w:szCs w:val="21"/>
                <w:highlight w:val="none"/>
              </w:rPr>
            </w:pPr>
            <w:r>
              <w:rPr>
                <w:color w:val="auto"/>
                <w:kern w:val="0"/>
                <w:szCs w:val="21"/>
                <w:highlight w:val="none"/>
              </w:rPr>
              <w:t>专项评价设置情况</w:t>
            </w:r>
          </w:p>
        </w:tc>
        <w:tc>
          <w:tcPr>
            <w:tcW w:w="8125" w:type="dxa"/>
            <w:gridSpan w:val="4"/>
            <w:vAlign w:val="center"/>
          </w:tcPr>
          <w:p w14:paraId="7305988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ascii="Times New Roman" w:hAnsi="Times New Roman" w:eastAsia="宋体" w:cs="Times New Roman"/>
                <w:b w:val="0"/>
                <w:bCs w:val="0"/>
                <w:color w:val="auto"/>
                <w:szCs w:val="21"/>
                <w:highlight w:val="none"/>
                <w:lang w:val="en-US" w:eastAsia="zh-CN"/>
              </w:rPr>
            </w:pPr>
            <w:r>
              <w:rPr>
                <w:rFonts w:hint="default" w:ascii="Times New Roman" w:hAnsi="Times New Roman" w:eastAsia="宋体" w:cs="Times New Roman"/>
                <w:b w:val="0"/>
                <w:bCs w:val="0"/>
                <w:color w:val="auto"/>
                <w:szCs w:val="21"/>
                <w:highlight w:val="none"/>
                <w:lang w:val="en-US" w:eastAsia="zh-CN"/>
              </w:rPr>
              <w:t>本项目专项评价设置分析如表1-1所示：</w:t>
            </w:r>
          </w:p>
          <w:p w14:paraId="6E70669A">
            <w:pPr>
              <w:keepNext/>
              <w:keepLines/>
              <w:pageBreakBefore w:val="0"/>
              <w:widowControl/>
              <w:numPr>
                <w:ilvl w:val="0"/>
                <w:numId w:val="1"/>
              </w:numPr>
              <w:tabs>
                <w:tab w:val="left" w:pos="0"/>
              </w:tabs>
              <w:kinsoku/>
              <w:wordWrap/>
              <w:overflowPunct/>
              <w:topLinePunct w:val="0"/>
              <w:autoSpaceDE/>
              <w:autoSpaceDN/>
              <w:bidi w:val="0"/>
              <w:adjustRightInd/>
              <w:snapToGrid/>
              <w:spacing w:line="360" w:lineRule="auto"/>
              <w:ind w:left="1134" w:hanging="1134"/>
              <w:jc w:val="center"/>
              <w:textAlignment w:val="auto"/>
              <w:outlineLvl w:val="3"/>
              <w:rPr>
                <w:rFonts w:hint="default" w:ascii="Times New Roman" w:hAnsi="Times New Roman" w:eastAsia="黑体" w:cs="Times New Roman"/>
                <w:b w:val="0"/>
                <w:bCs w:val="0"/>
                <w:color w:val="auto"/>
                <w:kern w:val="0"/>
                <w:sz w:val="21"/>
                <w:szCs w:val="21"/>
                <w:highlight w:val="none"/>
                <w:lang w:val="zh-CN"/>
              </w:rPr>
            </w:pPr>
            <w:r>
              <w:rPr>
                <w:rFonts w:hint="default" w:ascii="Times New Roman" w:hAnsi="Times New Roman" w:eastAsia="黑体" w:cs="Times New Roman"/>
                <w:b w:val="0"/>
                <w:bCs w:val="0"/>
                <w:color w:val="auto"/>
                <w:kern w:val="0"/>
                <w:sz w:val="21"/>
                <w:szCs w:val="21"/>
                <w:highlight w:val="none"/>
                <w:lang w:val="en-US" w:eastAsia="zh-CN"/>
              </w:rPr>
              <w:t>专项评价设置原则表</w:t>
            </w:r>
          </w:p>
          <w:tbl>
            <w:tblPr>
              <w:tblStyle w:val="24"/>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0" w:type="dxa"/>
                <w:bottom w:w="0" w:type="dxa"/>
                <w:right w:w="0" w:type="dxa"/>
              </w:tblCellMar>
            </w:tblPr>
            <w:tblGrid>
              <w:gridCol w:w="842"/>
              <w:gridCol w:w="4060"/>
              <w:gridCol w:w="2933"/>
            </w:tblGrid>
            <w:tr w14:paraId="4331A75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537" w:type="pct"/>
                  <w:tcBorders>
                    <w:tl2br w:val="nil"/>
                    <w:tr2bl w:val="nil"/>
                  </w:tcBorders>
                  <w:vAlign w:val="center"/>
                </w:tcPr>
                <w:p w14:paraId="388F8C59">
                  <w:pPr>
                    <w:autoSpaceDE w:val="0"/>
                    <w:autoSpaceDN w:val="0"/>
                    <w:adjustRightInd w:val="0"/>
                    <w:snapToGrid w:val="0"/>
                    <w:jc w:val="center"/>
                    <w:rPr>
                      <w:color w:val="auto"/>
                      <w:kern w:val="21"/>
                      <w:sz w:val="18"/>
                      <w:szCs w:val="18"/>
                      <w:highlight w:val="none"/>
                    </w:rPr>
                  </w:pPr>
                  <w:r>
                    <w:rPr>
                      <w:color w:val="auto"/>
                      <w:kern w:val="21"/>
                      <w:sz w:val="18"/>
                      <w:szCs w:val="18"/>
                      <w:highlight w:val="none"/>
                    </w:rPr>
                    <w:t>专项评价的类别</w:t>
                  </w:r>
                </w:p>
              </w:tc>
              <w:tc>
                <w:tcPr>
                  <w:tcW w:w="2590" w:type="pct"/>
                  <w:tcBorders>
                    <w:tl2br w:val="nil"/>
                    <w:tr2bl w:val="nil"/>
                  </w:tcBorders>
                  <w:vAlign w:val="center"/>
                </w:tcPr>
                <w:p w14:paraId="2B912750">
                  <w:pPr>
                    <w:autoSpaceDE w:val="0"/>
                    <w:autoSpaceDN w:val="0"/>
                    <w:adjustRightInd w:val="0"/>
                    <w:snapToGrid w:val="0"/>
                    <w:jc w:val="center"/>
                    <w:rPr>
                      <w:color w:val="auto"/>
                      <w:kern w:val="21"/>
                      <w:sz w:val="18"/>
                      <w:szCs w:val="18"/>
                      <w:highlight w:val="none"/>
                    </w:rPr>
                  </w:pPr>
                  <w:r>
                    <w:rPr>
                      <w:color w:val="auto"/>
                      <w:kern w:val="21"/>
                      <w:sz w:val="18"/>
                      <w:szCs w:val="18"/>
                      <w:highlight w:val="none"/>
                    </w:rPr>
                    <w:t>设置原则</w:t>
                  </w:r>
                </w:p>
              </w:tc>
              <w:tc>
                <w:tcPr>
                  <w:tcW w:w="1871" w:type="pct"/>
                  <w:tcBorders>
                    <w:tl2br w:val="nil"/>
                    <w:tr2bl w:val="nil"/>
                  </w:tcBorders>
                  <w:vAlign w:val="center"/>
                </w:tcPr>
                <w:p w14:paraId="1485AD8B">
                  <w:pPr>
                    <w:autoSpaceDE w:val="0"/>
                    <w:autoSpaceDN w:val="0"/>
                    <w:adjustRightInd w:val="0"/>
                    <w:snapToGrid w:val="0"/>
                    <w:jc w:val="center"/>
                    <w:rPr>
                      <w:color w:val="auto"/>
                      <w:kern w:val="21"/>
                      <w:sz w:val="18"/>
                      <w:szCs w:val="18"/>
                      <w:highlight w:val="none"/>
                    </w:rPr>
                  </w:pPr>
                  <w:r>
                    <w:rPr>
                      <w:color w:val="auto"/>
                      <w:kern w:val="21"/>
                      <w:sz w:val="18"/>
                      <w:szCs w:val="18"/>
                      <w:highlight w:val="none"/>
                    </w:rPr>
                    <w:t>本项目执行情况</w:t>
                  </w:r>
                </w:p>
              </w:tc>
            </w:tr>
            <w:tr w14:paraId="4B44601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7" w:type="pct"/>
                  <w:tcBorders>
                    <w:tl2br w:val="nil"/>
                    <w:tr2bl w:val="nil"/>
                  </w:tcBorders>
                  <w:vAlign w:val="center"/>
                </w:tcPr>
                <w:p w14:paraId="31512C19">
                  <w:pPr>
                    <w:autoSpaceDE w:val="0"/>
                    <w:autoSpaceDN w:val="0"/>
                    <w:adjustRightInd w:val="0"/>
                    <w:snapToGrid w:val="0"/>
                    <w:jc w:val="center"/>
                    <w:rPr>
                      <w:color w:val="auto"/>
                      <w:kern w:val="21"/>
                      <w:sz w:val="18"/>
                      <w:szCs w:val="18"/>
                      <w:highlight w:val="none"/>
                    </w:rPr>
                  </w:pPr>
                  <w:r>
                    <w:rPr>
                      <w:color w:val="auto"/>
                      <w:kern w:val="21"/>
                      <w:sz w:val="18"/>
                      <w:szCs w:val="18"/>
                      <w:highlight w:val="none"/>
                    </w:rPr>
                    <w:t>大气</w:t>
                  </w:r>
                </w:p>
              </w:tc>
              <w:tc>
                <w:tcPr>
                  <w:tcW w:w="2590" w:type="pct"/>
                  <w:tcBorders>
                    <w:tl2br w:val="nil"/>
                    <w:tr2bl w:val="nil"/>
                  </w:tcBorders>
                  <w:vAlign w:val="center"/>
                </w:tcPr>
                <w:p w14:paraId="14AF302C">
                  <w:pPr>
                    <w:autoSpaceDE w:val="0"/>
                    <w:autoSpaceDN w:val="0"/>
                    <w:adjustRightInd w:val="0"/>
                    <w:snapToGrid w:val="0"/>
                    <w:rPr>
                      <w:color w:val="auto"/>
                      <w:kern w:val="21"/>
                      <w:sz w:val="18"/>
                      <w:szCs w:val="18"/>
                      <w:highlight w:val="none"/>
                    </w:rPr>
                  </w:pPr>
                  <w:r>
                    <w:rPr>
                      <w:color w:val="auto"/>
                      <w:kern w:val="21"/>
                      <w:sz w:val="18"/>
                      <w:szCs w:val="18"/>
                      <w:highlight w:val="none"/>
                    </w:rPr>
                    <w:t>排放废气含有毒有害污染物、二噁英、苯并[a]芘、氰化物、氯气且厂界外500米范围内有环境空气保护目标的建设项目</w:t>
                  </w:r>
                </w:p>
              </w:tc>
              <w:tc>
                <w:tcPr>
                  <w:tcW w:w="1871" w:type="pct"/>
                  <w:tcBorders>
                    <w:tl2br w:val="nil"/>
                    <w:tr2bl w:val="nil"/>
                  </w:tcBorders>
                  <w:vAlign w:val="center"/>
                </w:tcPr>
                <w:p w14:paraId="534D1AC2">
                  <w:pPr>
                    <w:autoSpaceDE w:val="0"/>
                    <w:autoSpaceDN w:val="0"/>
                    <w:adjustRightInd w:val="0"/>
                    <w:snapToGrid w:val="0"/>
                    <w:rPr>
                      <w:color w:val="auto"/>
                      <w:kern w:val="21"/>
                      <w:sz w:val="18"/>
                      <w:szCs w:val="18"/>
                      <w:highlight w:val="none"/>
                    </w:rPr>
                  </w:pPr>
                  <w:r>
                    <w:rPr>
                      <w:color w:val="auto"/>
                      <w:kern w:val="21"/>
                      <w:sz w:val="18"/>
                      <w:szCs w:val="18"/>
                      <w:highlight w:val="none"/>
                    </w:rPr>
                    <w:t>本项目排放废气不涉及有毒有害污染物，不开展专项评价</w:t>
                  </w:r>
                </w:p>
              </w:tc>
            </w:tr>
            <w:tr w14:paraId="570863B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7" w:type="pct"/>
                  <w:tcBorders>
                    <w:tl2br w:val="nil"/>
                    <w:tr2bl w:val="nil"/>
                  </w:tcBorders>
                  <w:vAlign w:val="center"/>
                </w:tcPr>
                <w:p w14:paraId="01A5E19D">
                  <w:pPr>
                    <w:autoSpaceDE w:val="0"/>
                    <w:autoSpaceDN w:val="0"/>
                    <w:adjustRightInd w:val="0"/>
                    <w:snapToGrid w:val="0"/>
                    <w:jc w:val="center"/>
                    <w:rPr>
                      <w:color w:val="auto"/>
                      <w:kern w:val="21"/>
                      <w:sz w:val="18"/>
                      <w:szCs w:val="18"/>
                      <w:highlight w:val="none"/>
                    </w:rPr>
                  </w:pPr>
                  <w:r>
                    <w:rPr>
                      <w:color w:val="auto"/>
                      <w:kern w:val="21"/>
                      <w:sz w:val="18"/>
                      <w:szCs w:val="18"/>
                      <w:highlight w:val="none"/>
                    </w:rPr>
                    <w:t>地表水</w:t>
                  </w:r>
                </w:p>
              </w:tc>
              <w:tc>
                <w:tcPr>
                  <w:tcW w:w="2590" w:type="pct"/>
                  <w:tcBorders>
                    <w:tl2br w:val="nil"/>
                    <w:tr2bl w:val="nil"/>
                  </w:tcBorders>
                  <w:vAlign w:val="center"/>
                </w:tcPr>
                <w:p w14:paraId="01C2D995">
                  <w:pPr>
                    <w:autoSpaceDE w:val="0"/>
                    <w:autoSpaceDN w:val="0"/>
                    <w:adjustRightInd w:val="0"/>
                    <w:snapToGrid w:val="0"/>
                    <w:rPr>
                      <w:color w:val="auto"/>
                      <w:kern w:val="21"/>
                      <w:sz w:val="18"/>
                      <w:szCs w:val="18"/>
                      <w:highlight w:val="none"/>
                    </w:rPr>
                  </w:pPr>
                  <w:r>
                    <w:rPr>
                      <w:color w:val="auto"/>
                      <w:kern w:val="21"/>
                      <w:sz w:val="18"/>
                      <w:szCs w:val="18"/>
                      <w:highlight w:val="none"/>
                    </w:rPr>
                    <w:t>新增工业废水直排建设项目（槽罐车外送污水处理厂的除外）；新增废水直排的污水集中处理厂</w:t>
                  </w:r>
                </w:p>
              </w:tc>
              <w:tc>
                <w:tcPr>
                  <w:tcW w:w="1871" w:type="pct"/>
                  <w:tcBorders>
                    <w:tl2br w:val="nil"/>
                    <w:tr2bl w:val="nil"/>
                  </w:tcBorders>
                  <w:vAlign w:val="center"/>
                </w:tcPr>
                <w:p w14:paraId="1F0E0CE1">
                  <w:pPr>
                    <w:autoSpaceDE w:val="0"/>
                    <w:autoSpaceDN w:val="0"/>
                    <w:adjustRightInd w:val="0"/>
                    <w:snapToGrid w:val="0"/>
                    <w:rPr>
                      <w:color w:val="auto"/>
                      <w:kern w:val="21"/>
                      <w:sz w:val="18"/>
                      <w:szCs w:val="18"/>
                      <w:highlight w:val="none"/>
                    </w:rPr>
                  </w:pPr>
                  <w:r>
                    <w:rPr>
                      <w:color w:val="auto"/>
                      <w:kern w:val="21"/>
                      <w:sz w:val="18"/>
                      <w:szCs w:val="18"/>
                      <w:highlight w:val="none"/>
                    </w:rPr>
                    <w:t>本项目</w:t>
                  </w:r>
                  <w:r>
                    <w:rPr>
                      <w:rFonts w:hint="default"/>
                      <w:color w:val="auto"/>
                      <w:kern w:val="21"/>
                      <w:sz w:val="18"/>
                      <w:szCs w:val="18"/>
                      <w:highlight w:val="none"/>
                    </w:rPr>
                    <w:t>废水</w:t>
                  </w:r>
                  <w:r>
                    <w:rPr>
                      <w:color w:val="auto"/>
                      <w:kern w:val="21"/>
                      <w:sz w:val="18"/>
                      <w:szCs w:val="18"/>
                      <w:highlight w:val="none"/>
                    </w:rPr>
                    <w:t>纳管排放，不涉及工业废水直排，不开展专项评价</w:t>
                  </w:r>
                </w:p>
              </w:tc>
            </w:tr>
            <w:tr w14:paraId="056CBDA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7" w:type="pct"/>
                  <w:tcBorders>
                    <w:tl2br w:val="nil"/>
                    <w:tr2bl w:val="nil"/>
                  </w:tcBorders>
                  <w:vAlign w:val="center"/>
                </w:tcPr>
                <w:p w14:paraId="1EADDBAA">
                  <w:pPr>
                    <w:autoSpaceDE w:val="0"/>
                    <w:autoSpaceDN w:val="0"/>
                    <w:adjustRightInd w:val="0"/>
                    <w:snapToGrid w:val="0"/>
                    <w:jc w:val="center"/>
                    <w:rPr>
                      <w:color w:val="auto"/>
                      <w:kern w:val="21"/>
                      <w:sz w:val="18"/>
                      <w:szCs w:val="18"/>
                      <w:highlight w:val="none"/>
                    </w:rPr>
                  </w:pPr>
                  <w:r>
                    <w:rPr>
                      <w:color w:val="auto"/>
                      <w:kern w:val="21"/>
                      <w:sz w:val="18"/>
                      <w:szCs w:val="18"/>
                      <w:highlight w:val="none"/>
                    </w:rPr>
                    <w:t>环境风险</w:t>
                  </w:r>
                </w:p>
              </w:tc>
              <w:tc>
                <w:tcPr>
                  <w:tcW w:w="2590" w:type="pct"/>
                  <w:tcBorders>
                    <w:tl2br w:val="nil"/>
                    <w:tr2bl w:val="nil"/>
                  </w:tcBorders>
                  <w:vAlign w:val="center"/>
                </w:tcPr>
                <w:p w14:paraId="2657FE28">
                  <w:pPr>
                    <w:autoSpaceDE w:val="0"/>
                    <w:autoSpaceDN w:val="0"/>
                    <w:adjustRightInd w:val="0"/>
                    <w:snapToGrid w:val="0"/>
                    <w:rPr>
                      <w:color w:val="auto"/>
                      <w:kern w:val="21"/>
                      <w:sz w:val="18"/>
                      <w:szCs w:val="18"/>
                      <w:highlight w:val="none"/>
                    </w:rPr>
                  </w:pPr>
                  <w:r>
                    <w:rPr>
                      <w:color w:val="auto"/>
                      <w:kern w:val="21"/>
                      <w:sz w:val="18"/>
                      <w:szCs w:val="18"/>
                      <w:highlight w:val="none"/>
                    </w:rPr>
                    <w:t>有毒有害和易燃易爆危险物质存储量超过临界量的建设项目</w:t>
                  </w:r>
                </w:p>
              </w:tc>
              <w:tc>
                <w:tcPr>
                  <w:tcW w:w="1871" w:type="pct"/>
                  <w:tcBorders>
                    <w:tl2br w:val="nil"/>
                    <w:tr2bl w:val="nil"/>
                  </w:tcBorders>
                  <w:vAlign w:val="center"/>
                </w:tcPr>
                <w:p w14:paraId="5CCF7A65">
                  <w:pPr>
                    <w:autoSpaceDE w:val="0"/>
                    <w:autoSpaceDN w:val="0"/>
                    <w:adjustRightInd w:val="0"/>
                    <w:snapToGrid w:val="0"/>
                    <w:rPr>
                      <w:color w:val="auto"/>
                      <w:kern w:val="21"/>
                      <w:sz w:val="18"/>
                      <w:szCs w:val="18"/>
                      <w:highlight w:val="none"/>
                    </w:rPr>
                  </w:pPr>
                  <w:r>
                    <w:rPr>
                      <w:color w:val="auto"/>
                      <w:kern w:val="21"/>
                      <w:sz w:val="18"/>
                      <w:szCs w:val="18"/>
                      <w:highlight w:val="none"/>
                    </w:rPr>
                    <w:t>本项目有毒有害的危险物质存储量未超过临界量，不开展专项评价</w:t>
                  </w:r>
                </w:p>
              </w:tc>
            </w:tr>
            <w:tr w14:paraId="098187C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7" w:type="pct"/>
                  <w:tcBorders>
                    <w:tl2br w:val="nil"/>
                    <w:tr2bl w:val="nil"/>
                  </w:tcBorders>
                  <w:vAlign w:val="center"/>
                </w:tcPr>
                <w:p w14:paraId="2D110726">
                  <w:pPr>
                    <w:autoSpaceDE w:val="0"/>
                    <w:autoSpaceDN w:val="0"/>
                    <w:adjustRightInd w:val="0"/>
                    <w:snapToGrid w:val="0"/>
                    <w:jc w:val="center"/>
                    <w:rPr>
                      <w:color w:val="auto"/>
                      <w:kern w:val="21"/>
                      <w:sz w:val="18"/>
                      <w:szCs w:val="18"/>
                      <w:highlight w:val="none"/>
                    </w:rPr>
                  </w:pPr>
                  <w:r>
                    <w:rPr>
                      <w:color w:val="auto"/>
                      <w:kern w:val="21"/>
                      <w:sz w:val="18"/>
                      <w:szCs w:val="18"/>
                      <w:highlight w:val="none"/>
                    </w:rPr>
                    <w:t>生态</w:t>
                  </w:r>
                </w:p>
              </w:tc>
              <w:tc>
                <w:tcPr>
                  <w:tcW w:w="2590" w:type="pct"/>
                  <w:tcBorders>
                    <w:tl2br w:val="nil"/>
                    <w:tr2bl w:val="nil"/>
                  </w:tcBorders>
                  <w:vAlign w:val="center"/>
                </w:tcPr>
                <w:p w14:paraId="7549210F">
                  <w:pPr>
                    <w:autoSpaceDE w:val="0"/>
                    <w:autoSpaceDN w:val="0"/>
                    <w:adjustRightInd w:val="0"/>
                    <w:snapToGrid w:val="0"/>
                    <w:rPr>
                      <w:color w:val="auto"/>
                      <w:kern w:val="21"/>
                      <w:sz w:val="18"/>
                      <w:szCs w:val="18"/>
                      <w:highlight w:val="none"/>
                    </w:rPr>
                  </w:pPr>
                  <w:r>
                    <w:rPr>
                      <w:color w:val="auto"/>
                      <w:kern w:val="21"/>
                      <w:sz w:val="18"/>
                      <w:szCs w:val="18"/>
                      <w:highlight w:val="none"/>
                    </w:rPr>
                    <w:t>取水口下游500米范围内有重要水生生物的自然产卵场、索饵场、越冬场和洄游通道的新增河道取水的污染类建设项目</w:t>
                  </w:r>
                </w:p>
              </w:tc>
              <w:tc>
                <w:tcPr>
                  <w:tcW w:w="1871" w:type="pct"/>
                  <w:tcBorders>
                    <w:tl2br w:val="nil"/>
                    <w:tr2bl w:val="nil"/>
                  </w:tcBorders>
                  <w:vAlign w:val="center"/>
                </w:tcPr>
                <w:p w14:paraId="08306937">
                  <w:pPr>
                    <w:autoSpaceDE w:val="0"/>
                    <w:autoSpaceDN w:val="0"/>
                    <w:adjustRightInd w:val="0"/>
                    <w:snapToGrid w:val="0"/>
                    <w:rPr>
                      <w:color w:val="auto"/>
                      <w:kern w:val="21"/>
                      <w:sz w:val="18"/>
                      <w:szCs w:val="18"/>
                      <w:highlight w:val="none"/>
                    </w:rPr>
                  </w:pPr>
                  <w:r>
                    <w:rPr>
                      <w:color w:val="auto"/>
                      <w:kern w:val="21"/>
                      <w:sz w:val="18"/>
                      <w:szCs w:val="18"/>
                      <w:highlight w:val="none"/>
                    </w:rPr>
                    <w:t>本项目不涉及，不开展专项评价</w:t>
                  </w:r>
                </w:p>
              </w:tc>
            </w:tr>
            <w:tr w14:paraId="404612C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7" w:type="pct"/>
                  <w:tcBorders>
                    <w:tl2br w:val="nil"/>
                    <w:tr2bl w:val="nil"/>
                  </w:tcBorders>
                  <w:vAlign w:val="center"/>
                </w:tcPr>
                <w:p w14:paraId="6A805F7B">
                  <w:pPr>
                    <w:autoSpaceDE w:val="0"/>
                    <w:autoSpaceDN w:val="0"/>
                    <w:adjustRightInd w:val="0"/>
                    <w:snapToGrid w:val="0"/>
                    <w:jc w:val="center"/>
                    <w:rPr>
                      <w:color w:val="auto"/>
                      <w:kern w:val="21"/>
                      <w:sz w:val="18"/>
                      <w:szCs w:val="18"/>
                      <w:highlight w:val="none"/>
                    </w:rPr>
                  </w:pPr>
                  <w:r>
                    <w:rPr>
                      <w:color w:val="auto"/>
                      <w:kern w:val="21"/>
                      <w:sz w:val="18"/>
                      <w:szCs w:val="18"/>
                      <w:highlight w:val="none"/>
                    </w:rPr>
                    <w:t>海洋</w:t>
                  </w:r>
                </w:p>
              </w:tc>
              <w:tc>
                <w:tcPr>
                  <w:tcW w:w="2590" w:type="pct"/>
                  <w:tcBorders>
                    <w:tl2br w:val="nil"/>
                    <w:tr2bl w:val="nil"/>
                  </w:tcBorders>
                  <w:vAlign w:val="center"/>
                </w:tcPr>
                <w:p w14:paraId="0A6DECEB">
                  <w:pPr>
                    <w:autoSpaceDE w:val="0"/>
                    <w:autoSpaceDN w:val="0"/>
                    <w:adjustRightInd w:val="0"/>
                    <w:snapToGrid w:val="0"/>
                    <w:rPr>
                      <w:color w:val="auto"/>
                      <w:kern w:val="21"/>
                      <w:sz w:val="18"/>
                      <w:szCs w:val="18"/>
                      <w:highlight w:val="none"/>
                    </w:rPr>
                  </w:pPr>
                  <w:r>
                    <w:rPr>
                      <w:color w:val="auto"/>
                      <w:kern w:val="21"/>
                      <w:sz w:val="18"/>
                      <w:szCs w:val="18"/>
                      <w:highlight w:val="none"/>
                    </w:rPr>
                    <w:t>直接向海排放污染物的海洋工程建设项目</w:t>
                  </w:r>
                </w:p>
              </w:tc>
              <w:tc>
                <w:tcPr>
                  <w:tcW w:w="1871" w:type="pct"/>
                  <w:tcBorders>
                    <w:tl2br w:val="nil"/>
                    <w:tr2bl w:val="nil"/>
                  </w:tcBorders>
                  <w:vAlign w:val="center"/>
                </w:tcPr>
                <w:p w14:paraId="0BCC0444">
                  <w:pPr>
                    <w:autoSpaceDE w:val="0"/>
                    <w:autoSpaceDN w:val="0"/>
                    <w:adjustRightInd w:val="0"/>
                    <w:snapToGrid w:val="0"/>
                    <w:rPr>
                      <w:color w:val="auto"/>
                      <w:kern w:val="21"/>
                      <w:sz w:val="18"/>
                      <w:szCs w:val="18"/>
                      <w:highlight w:val="none"/>
                    </w:rPr>
                  </w:pPr>
                  <w:r>
                    <w:rPr>
                      <w:color w:val="auto"/>
                      <w:kern w:val="21"/>
                      <w:sz w:val="18"/>
                      <w:szCs w:val="18"/>
                      <w:highlight w:val="none"/>
                    </w:rPr>
                    <w:t>本项目不涉及，不开展专项评价</w:t>
                  </w:r>
                </w:p>
              </w:tc>
            </w:tr>
          </w:tbl>
          <w:p w14:paraId="1417AEC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ascii="Times New Roman" w:hAnsi="Times New Roman" w:cs="Times New Roman"/>
                <w:b w:val="0"/>
                <w:bCs w:val="0"/>
                <w:color w:val="auto"/>
                <w:szCs w:val="21"/>
                <w:highlight w:val="none"/>
                <w:lang w:val="en-US" w:eastAsia="zh-CN"/>
              </w:rPr>
            </w:pPr>
            <w:r>
              <w:rPr>
                <w:rFonts w:hint="default" w:ascii="Times New Roman" w:hAnsi="Times New Roman" w:cs="Times New Roman"/>
                <w:b w:val="0"/>
                <w:bCs w:val="0"/>
                <w:color w:val="auto"/>
                <w:szCs w:val="21"/>
                <w:highlight w:val="none"/>
                <w:lang w:val="en-US" w:eastAsia="zh-CN"/>
              </w:rPr>
              <w:t>经分析可知，本项目不需要进行专项评价。</w:t>
            </w:r>
          </w:p>
          <w:p w14:paraId="2E766119">
            <w:pPr>
              <w:pStyle w:val="14"/>
              <w:rPr>
                <w:rFonts w:hint="default" w:ascii="Times New Roman" w:hAnsi="Times New Roman" w:cs="Times New Roman"/>
                <w:color w:val="auto"/>
                <w:highlight w:val="none"/>
                <w:lang w:val="en-US" w:eastAsia="zh-CN"/>
              </w:rPr>
            </w:pPr>
          </w:p>
        </w:tc>
      </w:tr>
      <w:tr w14:paraId="26D901A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45" w:type="dxa"/>
            <w:vAlign w:val="center"/>
          </w:tcPr>
          <w:p w14:paraId="6FF70304">
            <w:pPr>
              <w:autoSpaceDE w:val="0"/>
              <w:autoSpaceDN w:val="0"/>
              <w:adjustRightInd w:val="0"/>
              <w:snapToGrid w:val="0"/>
              <w:jc w:val="center"/>
              <w:rPr>
                <w:color w:val="auto"/>
                <w:kern w:val="0"/>
                <w:szCs w:val="21"/>
                <w:highlight w:val="none"/>
              </w:rPr>
            </w:pPr>
            <w:r>
              <w:rPr>
                <w:color w:val="auto"/>
                <w:szCs w:val="21"/>
                <w:highlight w:val="none"/>
              </w:rPr>
              <w:t>规划情况</w:t>
            </w:r>
          </w:p>
        </w:tc>
        <w:tc>
          <w:tcPr>
            <w:tcW w:w="8125" w:type="dxa"/>
            <w:gridSpan w:val="4"/>
            <w:vAlign w:val="center"/>
          </w:tcPr>
          <w:p w14:paraId="4CB7CDCF">
            <w:pPr>
              <w:autoSpaceDE w:val="0"/>
              <w:autoSpaceDN w:val="0"/>
              <w:adjustRightInd w:val="0"/>
              <w:snapToGrid w:val="0"/>
              <w:spacing w:line="360" w:lineRule="auto"/>
              <w:ind w:firstLine="420" w:firstLineChars="200"/>
              <w:rPr>
                <w:color w:val="auto"/>
                <w:kern w:val="0"/>
                <w:szCs w:val="21"/>
                <w:highlight w:val="none"/>
              </w:rPr>
            </w:pPr>
            <w:r>
              <w:rPr>
                <w:rFonts w:hint="default"/>
                <w:color w:val="auto"/>
                <w:kern w:val="0"/>
                <w:szCs w:val="21"/>
                <w:highlight w:val="none"/>
              </w:rPr>
              <w:t>规划名称：《余杭区钱开区单元（YH02）详细规划》</w:t>
            </w:r>
          </w:p>
          <w:p w14:paraId="23E3C136">
            <w:pPr>
              <w:autoSpaceDE w:val="0"/>
              <w:autoSpaceDN w:val="0"/>
              <w:adjustRightInd w:val="0"/>
              <w:snapToGrid w:val="0"/>
              <w:spacing w:line="360" w:lineRule="auto"/>
              <w:ind w:firstLine="420" w:firstLineChars="200"/>
              <w:rPr>
                <w:color w:val="auto"/>
                <w:kern w:val="0"/>
                <w:szCs w:val="21"/>
                <w:highlight w:val="none"/>
              </w:rPr>
            </w:pPr>
            <w:r>
              <w:rPr>
                <w:rFonts w:hint="default"/>
                <w:color w:val="auto"/>
                <w:kern w:val="0"/>
                <w:szCs w:val="21"/>
                <w:highlight w:val="none"/>
              </w:rPr>
              <w:t>审批机关：杭州市人民政府办公厅</w:t>
            </w:r>
          </w:p>
          <w:p w14:paraId="350DFD66">
            <w:pPr>
              <w:autoSpaceDE w:val="0"/>
              <w:autoSpaceDN w:val="0"/>
              <w:adjustRightInd w:val="0"/>
              <w:snapToGrid w:val="0"/>
              <w:spacing w:line="360" w:lineRule="auto"/>
              <w:ind w:firstLine="420" w:firstLineChars="200"/>
              <w:rPr>
                <w:color w:val="auto"/>
                <w:kern w:val="0"/>
                <w:szCs w:val="21"/>
                <w:highlight w:val="none"/>
              </w:rPr>
            </w:pPr>
            <w:r>
              <w:rPr>
                <w:rFonts w:hint="default"/>
                <w:color w:val="auto"/>
                <w:kern w:val="0"/>
                <w:szCs w:val="21"/>
                <w:highlight w:val="none"/>
              </w:rPr>
              <w:t>审批文件名称及文号：《杭州市人民政府关于杭州市滨江区西兴单元（BJ03）等8个单元详细规划的批复》（杭政函〔2024〕1 号）</w:t>
            </w:r>
          </w:p>
        </w:tc>
      </w:tr>
      <w:tr w14:paraId="0A72A60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745" w:type="dxa"/>
            <w:vAlign w:val="center"/>
          </w:tcPr>
          <w:p w14:paraId="6E200FFE">
            <w:pPr>
              <w:adjustRightInd w:val="0"/>
              <w:snapToGrid w:val="0"/>
              <w:jc w:val="center"/>
              <w:rPr>
                <w:color w:val="auto"/>
                <w:kern w:val="0"/>
                <w:szCs w:val="21"/>
                <w:highlight w:val="none"/>
              </w:rPr>
            </w:pPr>
            <w:r>
              <w:rPr>
                <w:color w:val="auto"/>
                <w:szCs w:val="21"/>
                <w:highlight w:val="none"/>
              </w:rPr>
              <w:t>规划环境影响评价情况</w:t>
            </w:r>
          </w:p>
        </w:tc>
        <w:tc>
          <w:tcPr>
            <w:tcW w:w="8125" w:type="dxa"/>
            <w:gridSpan w:val="4"/>
            <w:vAlign w:val="center"/>
          </w:tcPr>
          <w:p w14:paraId="2A660523">
            <w:pPr>
              <w:adjustRightInd w:val="0"/>
              <w:snapToGrid w:val="0"/>
              <w:spacing w:line="360" w:lineRule="auto"/>
              <w:rPr>
                <w:rFonts w:hint="default"/>
                <w:color w:val="auto"/>
                <w:sz w:val="21"/>
                <w:szCs w:val="21"/>
                <w:highlight w:val="none"/>
                <w:lang w:val="en-US" w:eastAsia="zh-CN"/>
              </w:rPr>
            </w:pPr>
            <w:r>
              <w:rPr>
                <w:rFonts w:hint="default"/>
                <w:color w:val="auto"/>
                <w:kern w:val="0"/>
                <w:sz w:val="21"/>
                <w:szCs w:val="21"/>
                <w:highlight w:val="none"/>
              </w:rPr>
              <w:t>规划环境影响评价名称：</w:t>
            </w:r>
            <w:r>
              <w:rPr>
                <w:rFonts w:hint="default"/>
                <w:color w:val="auto"/>
                <w:sz w:val="21"/>
                <w:szCs w:val="21"/>
                <w:highlight w:val="none"/>
                <w:lang w:val="en-US" w:eastAsia="zh-CN"/>
              </w:rPr>
              <w:t>《仁和先进制造业基地（暂定名）总体规划(2012-2030)环境影响报告书》</w:t>
            </w:r>
          </w:p>
          <w:p w14:paraId="400D9EFA">
            <w:pPr>
              <w:adjustRightInd w:val="0"/>
              <w:snapToGrid w:val="0"/>
              <w:spacing w:line="360" w:lineRule="auto"/>
              <w:rPr>
                <w:rFonts w:hint="default"/>
                <w:color w:val="auto"/>
                <w:sz w:val="21"/>
                <w:szCs w:val="21"/>
                <w:highlight w:val="none"/>
                <w:lang w:val="en-US" w:eastAsia="zh-CN"/>
              </w:rPr>
            </w:pPr>
            <w:r>
              <w:rPr>
                <w:rFonts w:hint="default"/>
                <w:color w:val="auto"/>
                <w:sz w:val="21"/>
                <w:szCs w:val="21"/>
                <w:highlight w:val="none"/>
                <w:lang w:val="en-US" w:eastAsia="zh-CN"/>
              </w:rPr>
              <w:t>审查机关：杭州市生态环境局余杭分局</w:t>
            </w:r>
          </w:p>
          <w:p w14:paraId="2E6FD23A">
            <w:pPr>
              <w:adjustRightInd w:val="0"/>
              <w:snapToGrid w:val="0"/>
              <w:spacing w:line="360" w:lineRule="auto"/>
              <w:rPr>
                <w:rFonts w:hint="default"/>
                <w:color w:val="auto"/>
                <w:sz w:val="21"/>
                <w:szCs w:val="21"/>
                <w:highlight w:val="none"/>
                <w:lang w:val="en-US" w:eastAsia="zh-CN"/>
              </w:rPr>
            </w:pPr>
            <w:r>
              <w:rPr>
                <w:rFonts w:hint="default"/>
                <w:color w:val="auto"/>
                <w:sz w:val="21"/>
                <w:szCs w:val="21"/>
                <w:highlight w:val="none"/>
                <w:lang w:val="en-US" w:eastAsia="zh-CN"/>
              </w:rPr>
              <w:t>审查文件名称及文号：《关于仁和先进制造业基地（暂定名）总体规划(2012-2030)环境影响报告书审查意见的函》（余环函[2014]4号）</w:t>
            </w:r>
          </w:p>
          <w:p w14:paraId="4D8313D8">
            <w:pPr>
              <w:adjustRightInd w:val="0"/>
              <w:snapToGrid w:val="0"/>
              <w:spacing w:line="360" w:lineRule="auto"/>
              <w:rPr>
                <w:rFonts w:hint="default"/>
                <w:color w:val="auto"/>
                <w:sz w:val="21"/>
                <w:szCs w:val="21"/>
                <w:highlight w:val="none"/>
                <w:lang w:val="en-US" w:eastAsia="zh-CN"/>
              </w:rPr>
            </w:pPr>
            <w:r>
              <w:rPr>
                <w:rFonts w:hint="default"/>
                <w:color w:val="auto"/>
                <w:kern w:val="0"/>
                <w:sz w:val="21"/>
                <w:szCs w:val="21"/>
                <w:highlight w:val="none"/>
              </w:rPr>
              <w:t>规划环境影响评价名称：</w:t>
            </w:r>
            <w:r>
              <w:rPr>
                <w:rFonts w:hint="default"/>
                <w:color w:val="auto"/>
                <w:sz w:val="21"/>
                <w:szCs w:val="21"/>
                <w:highlight w:val="none"/>
                <w:lang w:val="en-US" w:eastAsia="zh-CN"/>
              </w:rPr>
              <w:t>《仁和先进制造业基地（暂定名）总体规划(2012-2030)规划调整环境影响补充报告》</w:t>
            </w:r>
          </w:p>
          <w:p w14:paraId="2CCA5E73">
            <w:pPr>
              <w:adjustRightInd w:val="0"/>
              <w:snapToGrid w:val="0"/>
              <w:spacing w:line="360" w:lineRule="auto"/>
              <w:rPr>
                <w:rFonts w:hint="default"/>
                <w:color w:val="auto"/>
                <w:sz w:val="21"/>
                <w:szCs w:val="21"/>
                <w:highlight w:val="none"/>
                <w:lang w:val="en-US" w:eastAsia="zh-CN"/>
              </w:rPr>
            </w:pPr>
            <w:r>
              <w:rPr>
                <w:rFonts w:hint="default"/>
                <w:color w:val="auto"/>
                <w:sz w:val="21"/>
                <w:szCs w:val="21"/>
                <w:highlight w:val="none"/>
                <w:lang w:val="en-US" w:eastAsia="zh-CN"/>
              </w:rPr>
              <w:t>审查机关：杭州市生态环境局余杭分局</w:t>
            </w:r>
          </w:p>
          <w:p w14:paraId="29332214">
            <w:pPr>
              <w:adjustRightInd w:val="0"/>
              <w:snapToGrid w:val="0"/>
              <w:spacing w:line="360" w:lineRule="auto"/>
              <w:rPr>
                <w:rFonts w:hint="default"/>
                <w:color w:val="auto"/>
                <w:sz w:val="21"/>
                <w:szCs w:val="21"/>
                <w:highlight w:val="none"/>
                <w:lang w:val="en-US" w:eastAsia="zh-CN"/>
              </w:rPr>
            </w:pPr>
            <w:r>
              <w:rPr>
                <w:rFonts w:hint="default"/>
                <w:color w:val="auto"/>
                <w:sz w:val="21"/>
                <w:szCs w:val="21"/>
                <w:highlight w:val="none"/>
                <w:lang w:val="en-US" w:eastAsia="zh-CN"/>
              </w:rPr>
              <w:t>审查文件名称及文号：《关于仁和先进制造业基地（暂定名）总体规划(2012-2030)调整环境影响补充报告审查意见的函》（余环函[2016]1号）</w:t>
            </w:r>
          </w:p>
          <w:p w14:paraId="590C7B93">
            <w:pPr>
              <w:autoSpaceDE w:val="0"/>
              <w:autoSpaceDN w:val="0"/>
              <w:adjustRightInd w:val="0"/>
              <w:snapToGrid w:val="0"/>
              <w:spacing w:line="360" w:lineRule="auto"/>
              <w:rPr>
                <w:color w:val="auto"/>
                <w:kern w:val="0"/>
                <w:szCs w:val="21"/>
                <w:highlight w:val="none"/>
              </w:rPr>
            </w:pPr>
            <w:r>
              <w:rPr>
                <w:rFonts w:hint="default"/>
                <w:color w:val="auto"/>
                <w:kern w:val="0"/>
                <w:sz w:val="21"/>
                <w:szCs w:val="21"/>
                <w:highlight w:val="none"/>
              </w:rPr>
              <w:t>补充文件：</w:t>
            </w:r>
            <w:r>
              <w:rPr>
                <w:rFonts w:hint="default"/>
                <w:color w:val="auto"/>
                <w:sz w:val="21"/>
                <w:szCs w:val="21"/>
                <w:highlight w:val="none"/>
                <w:lang w:val="en-US" w:eastAsia="zh-CN"/>
              </w:rPr>
              <w:t>《仁和先进制造业基地总体规划(2012-2030)环境影响报告书“六张清单”修订说明》</w:t>
            </w:r>
          </w:p>
        </w:tc>
      </w:tr>
      <w:tr w14:paraId="679BD81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745" w:type="dxa"/>
            <w:vAlign w:val="center"/>
          </w:tcPr>
          <w:p w14:paraId="6B58A166">
            <w:pPr>
              <w:widowControl/>
              <w:adjustRightInd w:val="0"/>
              <w:snapToGrid w:val="0"/>
              <w:jc w:val="center"/>
              <w:rPr>
                <w:color w:val="auto"/>
                <w:kern w:val="0"/>
                <w:szCs w:val="21"/>
                <w:highlight w:val="none"/>
              </w:rPr>
            </w:pPr>
            <w:r>
              <w:rPr>
                <w:color w:val="auto"/>
                <w:kern w:val="0"/>
                <w:szCs w:val="21"/>
                <w:highlight w:val="none"/>
              </w:rPr>
              <w:t>规划及规划环境影响评价符合性分析</w:t>
            </w:r>
          </w:p>
        </w:tc>
        <w:tc>
          <w:tcPr>
            <w:tcW w:w="8125" w:type="dxa"/>
            <w:gridSpan w:val="4"/>
            <w:vAlign w:val="center"/>
          </w:tcPr>
          <w:p w14:paraId="3D0E3A61">
            <w:pPr>
              <w:keepNext w:val="0"/>
              <w:keepLines w:val="0"/>
              <w:pageBreakBefore w:val="0"/>
              <w:widowControl w:val="0"/>
              <w:kinsoku/>
              <w:wordWrap/>
              <w:overflowPunct/>
              <w:topLinePunct w:val="0"/>
              <w:autoSpaceDE/>
              <w:autoSpaceDN/>
              <w:bidi w:val="0"/>
              <w:adjustRightInd/>
              <w:snapToGrid/>
              <w:spacing w:line="360" w:lineRule="auto"/>
              <w:jc w:val="left"/>
              <w:textAlignment w:val="auto"/>
              <w:outlineLvl w:val="1"/>
              <w:rPr>
                <w:b/>
                <w:bCs/>
                <w:color w:val="auto"/>
                <w:sz w:val="24"/>
                <w:szCs w:val="24"/>
                <w:highlight w:val="none"/>
              </w:rPr>
            </w:pPr>
            <w:r>
              <w:rPr>
                <w:rFonts w:hint="default"/>
                <w:b/>
                <w:color w:val="auto"/>
                <w:kern w:val="0"/>
                <w:sz w:val="24"/>
                <w:szCs w:val="24"/>
                <w:highlight w:val="none"/>
              </w:rPr>
              <w:t xml:space="preserve">1.1 </w:t>
            </w:r>
            <w:r>
              <w:rPr>
                <w:rFonts w:hint="default"/>
                <w:b/>
                <w:color w:val="auto"/>
                <w:kern w:val="0"/>
                <w:sz w:val="24"/>
                <w:szCs w:val="24"/>
                <w:highlight w:val="none"/>
                <w:lang w:val="en-US" w:eastAsia="zh-CN"/>
              </w:rPr>
              <w:t xml:space="preserve"> </w:t>
            </w:r>
            <w:r>
              <w:rPr>
                <w:rFonts w:hint="default"/>
                <w:b/>
                <w:bCs/>
                <w:color w:val="auto"/>
                <w:sz w:val="24"/>
                <w:szCs w:val="24"/>
                <w:highlight w:val="none"/>
              </w:rPr>
              <w:t>《杭州市余杭区钱开区单元（YH02）详细规划》符合性分析</w:t>
            </w:r>
          </w:p>
          <w:p w14:paraId="359424DC">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color w:val="auto"/>
                <w:szCs w:val="21"/>
                <w:highlight w:val="none"/>
              </w:rPr>
            </w:pPr>
            <w:r>
              <w:rPr>
                <w:rFonts w:hint="default"/>
                <w:b/>
                <w:bCs/>
                <w:color w:val="auto"/>
                <w:szCs w:val="21"/>
                <w:highlight w:val="none"/>
              </w:rPr>
              <w:t>（1）</w:t>
            </w:r>
            <w:r>
              <w:rPr>
                <w:b/>
                <w:bCs/>
                <w:color w:val="auto"/>
                <w:szCs w:val="21"/>
                <w:highlight w:val="none"/>
              </w:rPr>
              <w:t>规划范围</w:t>
            </w:r>
            <w:r>
              <w:rPr>
                <w:rFonts w:hint="default"/>
                <w:b/>
                <w:bCs/>
                <w:color w:val="auto"/>
                <w:szCs w:val="21"/>
                <w:highlight w:val="none"/>
                <w:lang w:eastAsia="zh-CN"/>
              </w:rPr>
              <w:t>：</w:t>
            </w:r>
            <w:r>
              <w:rPr>
                <w:rFonts w:hint="default"/>
                <w:color w:val="auto"/>
                <w:szCs w:val="21"/>
                <w:highlight w:val="none"/>
              </w:rPr>
              <w:t>东至杭宁高速公路—仁和街道界，南至仁和街道界，西至东苕溪—仁和街道界，北至德清县界，总用地面积为34.62平方千米。</w:t>
            </w:r>
          </w:p>
          <w:p w14:paraId="6380C9A1">
            <w:pPr>
              <w:keepNext w:val="0"/>
              <w:keepLines w:val="0"/>
              <w:pageBreakBefore w:val="0"/>
              <w:widowControl w:val="0"/>
              <w:numPr>
                <w:ilvl w:val="0"/>
                <w:numId w:val="2"/>
              </w:numPr>
              <w:kinsoku/>
              <w:wordWrap/>
              <w:overflowPunct/>
              <w:topLinePunct w:val="0"/>
              <w:autoSpaceDE/>
              <w:autoSpaceDN/>
              <w:bidi w:val="0"/>
              <w:adjustRightInd/>
              <w:snapToGrid/>
              <w:spacing w:line="360" w:lineRule="auto"/>
              <w:ind w:firstLine="422" w:firstLineChars="200"/>
              <w:textAlignment w:val="auto"/>
              <w:rPr>
                <w:color w:val="auto"/>
                <w:szCs w:val="21"/>
                <w:highlight w:val="none"/>
              </w:rPr>
            </w:pPr>
            <w:r>
              <w:rPr>
                <w:rFonts w:hint="default" w:ascii="Times New Roman" w:hAnsi="Times New Roman" w:cs="Times New Roman"/>
                <w:b/>
                <w:bCs/>
                <w:color w:val="auto"/>
                <w:szCs w:val="21"/>
                <w:highlight w:val="none"/>
              </w:rPr>
              <w:t>规划目标</w:t>
            </w:r>
            <w:r>
              <w:rPr>
                <w:rFonts w:hint="default" w:ascii="Times New Roman" w:hAnsi="Times New Roman" w:cs="Times New Roman"/>
                <w:b/>
                <w:bCs/>
                <w:color w:val="auto"/>
                <w:szCs w:val="21"/>
                <w:highlight w:val="none"/>
                <w:lang w:eastAsia="zh-CN"/>
              </w:rPr>
              <w:t>：</w:t>
            </w:r>
            <w:r>
              <w:rPr>
                <w:rFonts w:hint="default"/>
                <w:color w:val="auto"/>
                <w:szCs w:val="21"/>
                <w:highlight w:val="none"/>
              </w:rPr>
              <w:t>本单元以创建国家级经济技术开发区为总体目标，突出产业特色、门户优势、山水人文特质，着力打造长三角智能制造产业示范区、长三角创新发展总部基地引领区、杭州产城人文融合发展样板区。</w:t>
            </w:r>
          </w:p>
          <w:p w14:paraId="4DB7B9AA">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color w:val="auto"/>
                <w:highlight w:val="none"/>
              </w:rPr>
            </w:pPr>
            <w:r>
              <w:rPr>
                <w:rFonts w:hint="default" w:ascii="Times New Roman" w:hAnsi="Times New Roman" w:cs="Times New Roman"/>
                <w:b/>
                <w:bCs/>
                <w:color w:val="auto"/>
                <w:szCs w:val="21"/>
                <w:highlight w:val="none"/>
              </w:rPr>
              <w:t>（3）</w:t>
            </w:r>
            <w:r>
              <w:rPr>
                <w:rFonts w:ascii="Times New Roman" w:hAnsi="Times New Roman" w:cs="Times New Roman"/>
                <w:b/>
                <w:bCs/>
                <w:color w:val="auto"/>
                <w:szCs w:val="21"/>
                <w:highlight w:val="none"/>
              </w:rPr>
              <w:t>规划结构</w:t>
            </w:r>
            <w:r>
              <w:rPr>
                <w:rFonts w:hint="default" w:ascii="Times New Roman" w:hAnsi="Times New Roman" w:cs="Times New Roman"/>
                <w:b/>
                <w:bCs/>
                <w:color w:val="auto"/>
                <w:szCs w:val="21"/>
                <w:highlight w:val="none"/>
                <w:lang w:eastAsia="zh-CN"/>
              </w:rPr>
              <w:t>：</w:t>
            </w:r>
            <w:r>
              <w:rPr>
                <w:rFonts w:hint="default"/>
                <w:color w:val="auto"/>
                <w:highlight w:val="none"/>
              </w:rPr>
              <w:t>规划形成“一轴两带双心、北智中居南创”的总体格局。一轴：依托杭德城际轨道、仁河大道形成链接杭州主城的产城融合发展轴。两带：东苕溪生态景观带、獐山弄港滨水景观带。双心：仁和老集镇生活服务中心、东山漾—仁和南站创新创业中心。北智中居南创：形成北部智能制造片区、中部仁和老镇居住片区和南部创新创业片区三大片区。</w:t>
            </w:r>
          </w:p>
          <w:p w14:paraId="5B1CE534">
            <w:pPr>
              <w:widowControl/>
              <w:spacing w:line="360" w:lineRule="auto"/>
              <w:ind w:firstLine="422" w:firstLineChars="200"/>
              <w:rPr>
                <w:color w:val="auto"/>
                <w:szCs w:val="21"/>
                <w:highlight w:val="none"/>
              </w:rPr>
            </w:pPr>
            <w:r>
              <w:rPr>
                <w:rFonts w:hint="default"/>
                <w:b/>
                <w:color w:val="auto"/>
                <w:szCs w:val="21"/>
                <w:highlight w:val="none"/>
              </w:rPr>
              <w:t>（4）</w:t>
            </w:r>
            <w:r>
              <w:rPr>
                <w:b/>
                <w:color w:val="auto"/>
                <w:szCs w:val="21"/>
                <w:highlight w:val="none"/>
              </w:rPr>
              <w:t>规划符合性分析</w:t>
            </w:r>
            <w:r>
              <w:rPr>
                <w:rFonts w:hint="default"/>
                <w:b/>
                <w:color w:val="auto"/>
                <w:szCs w:val="21"/>
                <w:highlight w:val="none"/>
                <w:lang w:eastAsia="zh-CN"/>
              </w:rPr>
              <w:t>：</w:t>
            </w:r>
            <w:r>
              <w:rPr>
                <w:color w:val="auto"/>
                <w:szCs w:val="21"/>
                <w:highlight w:val="none"/>
              </w:rPr>
              <w:t>本项目为新建项目，租用</w:t>
            </w:r>
            <w:r>
              <w:rPr>
                <w:rFonts w:hint="default"/>
                <w:color w:val="auto"/>
                <w:szCs w:val="21"/>
                <w:highlight w:val="none"/>
              </w:rPr>
              <w:t>浙江东恒肽康医药有限公司现有厂房（位于仁和街道獐山北路9号东恒肽康医药园6幢9楼）</w:t>
            </w:r>
            <w:r>
              <w:rPr>
                <w:color w:val="auto"/>
                <w:szCs w:val="21"/>
                <w:highlight w:val="none"/>
              </w:rPr>
              <w:t>，不新增用地，位于</w:t>
            </w:r>
            <w:r>
              <w:rPr>
                <w:rFonts w:hint="default"/>
                <w:color w:val="auto"/>
                <w:szCs w:val="21"/>
                <w:highlight w:val="none"/>
              </w:rPr>
              <w:t>“北部智能制造片区”</w:t>
            </w:r>
            <w:r>
              <w:rPr>
                <w:color w:val="auto"/>
                <w:szCs w:val="21"/>
                <w:highlight w:val="none"/>
              </w:rPr>
              <w:t>。根据</w:t>
            </w:r>
            <w:r>
              <w:rPr>
                <w:rFonts w:hint="default"/>
                <w:color w:val="auto"/>
                <w:szCs w:val="21"/>
                <w:highlight w:val="none"/>
                <w:lang w:val="en-US" w:eastAsia="zh-CN"/>
              </w:rPr>
              <w:t>不动产权证</w:t>
            </w:r>
            <w:r>
              <w:rPr>
                <w:color w:val="auto"/>
                <w:szCs w:val="21"/>
                <w:highlight w:val="none"/>
              </w:rPr>
              <w:t>，本项目选址用地规划为</w:t>
            </w:r>
            <w:r>
              <w:rPr>
                <w:rFonts w:hint="default"/>
                <w:color w:val="auto"/>
                <w:szCs w:val="21"/>
                <w:highlight w:val="none"/>
              </w:rPr>
              <w:t>工业用地</w:t>
            </w:r>
            <w:r>
              <w:rPr>
                <w:rFonts w:hint="default"/>
                <w:color w:val="auto"/>
                <w:kern w:val="0"/>
                <w:szCs w:val="21"/>
                <w:highlight w:val="none"/>
              </w:rPr>
              <w:t>。</w:t>
            </w:r>
            <w:r>
              <w:rPr>
                <w:rFonts w:hint="default"/>
                <w:color w:val="auto"/>
                <w:szCs w:val="21"/>
                <w:highlight w:val="none"/>
              </w:rPr>
              <w:t>综上，项目建设符合所在区域中用地性质要求</w:t>
            </w:r>
            <w:r>
              <w:rPr>
                <w:color w:val="auto"/>
                <w:szCs w:val="21"/>
                <w:highlight w:val="none"/>
              </w:rPr>
              <w:t>。</w:t>
            </w:r>
          </w:p>
          <w:p w14:paraId="53137BDD">
            <w:pPr>
              <w:widowControl/>
              <w:spacing w:line="360" w:lineRule="auto"/>
              <w:ind w:firstLine="420" w:firstLineChars="200"/>
              <w:rPr>
                <w:color w:val="auto"/>
                <w:szCs w:val="21"/>
                <w:highlight w:val="none"/>
              </w:rPr>
            </w:pPr>
          </w:p>
          <w:p w14:paraId="6E082952">
            <w:pPr>
              <w:widowControl/>
              <w:spacing w:line="360" w:lineRule="auto"/>
              <w:outlineLvl w:val="1"/>
              <w:rPr>
                <w:b/>
                <w:bCs/>
                <w:color w:val="auto"/>
                <w:kern w:val="0"/>
                <w:sz w:val="24"/>
                <w:szCs w:val="24"/>
                <w:highlight w:val="none"/>
              </w:rPr>
            </w:pPr>
            <w:r>
              <w:rPr>
                <w:rFonts w:hint="default"/>
                <w:b/>
                <w:bCs/>
                <w:color w:val="auto"/>
                <w:kern w:val="0"/>
                <w:sz w:val="24"/>
                <w:szCs w:val="24"/>
                <w:highlight w:val="none"/>
              </w:rPr>
              <w:t>1.2</w:t>
            </w:r>
            <w:r>
              <w:rPr>
                <w:rFonts w:hint="default"/>
                <w:b/>
                <w:bCs/>
                <w:color w:val="auto"/>
                <w:kern w:val="0"/>
                <w:sz w:val="24"/>
                <w:szCs w:val="24"/>
                <w:highlight w:val="none"/>
                <w:lang w:val="en-US" w:eastAsia="zh-CN"/>
              </w:rPr>
              <w:t xml:space="preserve"> </w:t>
            </w:r>
            <w:r>
              <w:rPr>
                <w:rFonts w:hint="default"/>
                <w:b/>
                <w:bCs/>
                <w:color w:val="auto"/>
                <w:kern w:val="0"/>
                <w:sz w:val="24"/>
                <w:szCs w:val="24"/>
                <w:highlight w:val="none"/>
              </w:rPr>
              <w:t xml:space="preserve"> 规划</w:t>
            </w:r>
            <w:r>
              <w:rPr>
                <w:b/>
                <w:bCs/>
                <w:color w:val="auto"/>
                <w:kern w:val="0"/>
                <w:sz w:val="24"/>
                <w:szCs w:val="24"/>
                <w:highlight w:val="none"/>
              </w:rPr>
              <w:t>环评符合性分析</w:t>
            </w:r>
          </w:p>
          <w:p w14:paraId="20F0607F">
            <w:pPr>
              <w:widowControl/>
              <w:spacing w:line="360" w:lineRule="auto"/>
              <w:outlineLvl w:val="2"/>
              <w:rPr>
                <w:b/>
                <w:bCs/>
                <w:color w:val="auto"/>
                <w:kern w:val="0"/>
                <w:sz w:val="22"/>
                <w:szCs w:val="22"/>
                <w:highlight w:val="none"/>
              </w:rPr>
            </w:pPr>
            <w:r>
              <w:rPr>
                <w:rFonts w:hint="default"/>
                <w:b/>
                <w:bCs/>
                <w:color w:val="auto"/>
                <w:kern w:val="0"/>
                <w:sz w:val="22"/>
                <w:szCs w:val="22"/>
                <w:highlight w:val="none"/>
              </w:rPr>
              <w:t xml:space="preserve">1.2.1 </w:t>
            </w:r>
            <w:r>
              <w:rPr>
                <w:rFonts w:hint="default"/>
                <w:b/>
                <w:bCs/>
                <w:color w:val="auto"/>
                <w:kern w:val="0"/>
                <w:sz w:val="22"/>
                <w:szCs w:val="22"/>
                <w:highlight w:val="none"/>
                <w:lang w:val="en-US" w:eastAsia="zh-CN"/>
              </w:rPr>
              <w:t xml:space="preserve"> </w:t>
            </w:r>
            <w:r>
              <w:rPr>
                <w:rFonts w:hint="default"/>
                <w:b/>
                <w:bCs/>
                <w:color w:val="auto"/>
                <w:kern w:val="0"/>
                <w:sz w:val="22"/>
                <w:szCs w:val="22"/>
                <w:highlight w:val="none"/>
              </w:rPr>
              <w:t>规划环评结论清单符合性分析</w:t>
            </w:r>
          </w:p>
          <w:p w14:paraId="45489973">
            <w:pPr>
              <w:widowControl/>
              <w:spacing w:line="360" w:lineRule="auto"/>
              <w:ind w:firstLine="420" w:firstLineChars="200"/>
              <w:rPr>
                <w:color w:val="auto"/>
                <w:kern w:val="0"/>
                <w:szCs w:val="21"/>
                <w:highlight w:val="none"/>
              </w:rPr>
            </w:pPr>
            <w:r>
              <w:rPr>
                <w:color w:val="auto"/>
                <w:kern w:val="0"/>
                <w:szCs w:val="21"/>
                <w:highlight w:val="none"/>
              </w:rPr>
              <w:t>本次评价对照原《仁和先进制造业基地总体规划(2012-2030)补充环境影响报告书》《仁和先进制造业基地总体规划(2012-2030)环境影响报告书“六张清单”修订说明》，符合性分析如下。</w:t>
            </w:r>
          </w:p>
          <w:p w14:paraId="3164EBF5">
            <w:pPr>
              <w:widowControl/>
              <w:spacing w:line="360" w:lineRule="auto"/>
              <w:ind w:firstLine="422" w:firstLineChars="200"/>
              <w:jc w:val="left"/>
              <w:rPr>
                <w:b/>
                <w:bCs/>
                <w:color w:val="auto"/>
                <w:kern w:val="0"/>
                <w:szCs w:val="21"/>
                <w:highlight w:val="none"/>
              </w:rPr>
            </w:pPr>
            <w:r>
              <w:rPr>
                <w:rFonts w:hint="default" w:ascii="Times New Roman" w:hAnsi="Times New Roman" w:cs="Times New Roman"/>
                <w:b/>
                <w:bCs/>
                <w:color w:val="auto"/>
                <w:kern w:val="0"/>
                <w:szCs w:val="21"/>
                <w:highlight w:val="none"/>
              </w:rPr>
              <w:t>①</w:t>
            </w:r>
            <w:r>
              <w:rPr>
                <w:b/>
                <w:bCs/>
                <w:color w:val="auto"/>
                <w:kern w:val="0"/>
                <w:szCs w:val="21"/>
                <w:highlight w:val="none"/>
              </w:rPr>
              <w:t>生态空间清单</w:t>
            </w:r>
          </w:p>
          <w:p w14:paraId="32EB51AB">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default" w:eastAsia="宋体"/>
                <w:b w:val="0"/>
                <w:bCs w:val="0"/>
                <w:color w:val="auto"/>
                <w:kern w:val="0"/>
                <w:szCs w:val="21"/>
                <w:highlight w:val="none"/>
                <w:lang w:val="en-US" w:eastAsia="zh-CN"/>
              </w:rPr>
            </w:pPr>
            <w:r>
              <w:rPr>
                <w:rFonts w:hint="default"/>
                <w:b w:val="0"/>
                <w:bCs w:val="0"/>
                <w:color w:val="auto"/>
                <w:kern w:val="0"/>
                <w:szCs w:val="21"/>
                <w:highlight w:val="none"/>
                <w:lang w:val="en-US" w:eastAsia="zh-CN"/>
              </w:rPr>
              <w:t>项目与规划环评中生态空间清单符合性分析如表1-2所示：</w:t>
            </w:r>
          </w:p>
          <w:p w14:paraId="07BCD9E5">
            <w:pPr>
              <w:keepNext/>
              <w:keepLines/>
              <w:pageBreakBefore w:val="0"/>
              <w:widowControl/>
              <w:numPr>
                <w:ilvl w:val="0"/>
                <w:numId w:val="1"/>
              </w:numPr>
              <w:tabs>
                <w:tab w:val="left" w:pos="0"/>
              </w:tabs>
              <w:kinsoku/>
              <w:wordWrap/>
              <w:overflowPunct/>
              <w:topLinePunct w:val="0"/>
              <w:autoSpaceDE/>
              <w:autoSpaceDN/>
              <w:bidi w:val="0"/>
              <w:adjustRightInd/>
              <w:snapToGrid/>
              <w:spacing w:line="360" w:lineRule="auto"/>
              <w:ind w:left="1134" w:hanging="1134"/>
              <w:jc w:val="center"/>
              <w:textAlignment w:val="auto"/>
              <w:outlineLvl w:val="3"/>
              <w:rPr>
                <w:rFonts w:hint="default" w:ascii="Times New Roman" w:hAnsi="Times New Roman" w:eastAsia="黑体" w:cs="Times New Roman"/>
                <w:b w:val="0"/>
                <w:bCs w:val="0"/>
                <w:color w:val="auto"/>
                <w:kern w:val="0"/>
                <w:szCs w:val="21"/>
                <w:highlight w:val="none"/>
                <w:lang w:val="zh-CN"/>
              </w:rPr>
            </w:pPr>
            <w:r>
              <w:rPr>
                <w:rFonts w:hint="default" w:ascii="Times New Roman" w:hAnsi="Times New Roman" w:eastAsia="黑体" w:cs="Times New Roman"/>
                <w:b w:val="0"/>
                <w:bCs w:val="0"/>
                <w:color w:val="auto"/>
                <w:kern w:val="0"/>
                <w:szCs w:val="21"/>
                <w:highlight w:val="none"/>
                <w:lang w:val="zh-CN"/>
              </w:rPr>
              <w:t>项目与生态空间清单符合性分析</w:t>
            </w:r>
          </w:p>
          <w:tbl>
            <w:tblPr>
              <w:tblStyle w:val="24"/>
              <w:tblW w:w="4998"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1" w:type="dxa"/>
                <w:bottom w:w="0" w:type="dxa"/>
                <w:right w:w="11" w:type="dxa"/>
              </w:tblCellMar>
            </w:tblPr>
            <w:tblGrid>
              <w:gridCol w:w="271"/>
              <w:gridCol w:w="1710"/>
              <w:gridCol w:w="771"/>
              <w:gridCol w:w="3131"/>
              <w:gridCol w:w="1949"/>
            </w:tblGrid>
            <w:tr w14:paraId="658297A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1" w:type="dxa"/>
                  <w:bottom w:w="0" w:type="dxa"/>
                  <w:right w:w="11" w:type="dxa"/>
                </w:tblCellMar>
              </w:tblPrEx>
              <w:trPr>
                <w:trHeight w:val="340" w:hRule="atLeast"/>
                <w:jc w:val="center"/>
              </w:trPr>
              <w:tc>
                <w:tcPr>
                  <w:tcW w:w="173" w:type="pct"/>
                  <w:tcBorders>
                    <w:tl2br w:val="nil"/>
                    <w:tr2bl w:val="nil"/>
                  </w:tcBorders>
                  <w:vAlign w:val="center"/>
                </w:tcPr>
                <w:p w14:paraId="72FFC908">
                  <w:pPr>
                    <w:widowControl/>
                    <w:jc w:val="center"/>
                    <w:rPr>
                      <w:color w:val="auto"/>
                      <w:kern w:val="0"/>
                      <w:sz w:val="18"/>
                      <w:szCs w:val="18"/>
                      <w:highlight w:val="none"/>
                    </w:rPr>
                  </w:pPr>
                  <w:r>
                    <w:rPr>
                      <w:color w:val="auto"/>
                      <w:kern w:val="0"/>
                      <w:sz w:val="18"/>
                      <w:szCs w:val="18"/>
                      <w:highlight w:val="none"/>
                    </w:rPr>
                    <w:t>类别</w:t>
                  </w:r>
                </w:p>
              </w:tc>
              <w:tc>
                <w:tcPr>
                  <w:tcW w:w="1091" w:type="pct"/>
                  <w:tcBorders>
                    <w:tl2br w:val="nil"/>
                    <w:tr2bl w:val="nil"/>
                  </w:tcBorders>
                  <w:vAlign w:val="center"/>
                </w:tcPr>
                <w:p w14:paraId="59D02381">
                  <w:pPr>
                    <w:widowControl/>
                    <w:jc w:val="center"/>
                    <w:rPr>
                      <w:color w:val="auto"/>
                      <w:kern w:val="0"/>
                      <w:sz w:val="18"/>
                      <w:szCs w:val="18"/>
                      <w:highlight w:val="none"/>
                    </w:rPr>
                  </w:pPr>
                  <w:r>
                    <w:rPr>
                      <w:color w:val="auto"/>
                      <w:kern w:val="0"/>
                      <w:sz w:val="18"/>
                      <w:szCs w:val="18"/>
                      <w:highlight w:val="none"/>
                    </w:rPr>
                    <w:t>基地内的规划区块</w:t>
                  </w:r>
                </w:p>
              </w:tc>
              <w:tc>
                <w:tcPr>
                  <w:tcW w:w="492" w:type="pct"/>
                  <w:tcBorders>
                    <w:tl2br w:val="nil"/>
                    <w:tr2bl w:val="nil"/>
                  </w:tcBorders>
                  <w:vAlign w:val="center"/>
                </w:tcPr>
                <w:p w14:paraId="20EEDF69">
                  <w:pPr>
                    <w:widowControl/>
                    <w:jc w:val="center"/>
                    <w:rPr>
                      <w:color w:val="auto"/>
                      <w:kern w:val="0"/>
                      <w:sz w:val="18"/>
                      <w:szCs w:val="18"/>
                      <w:highlight w:val="none"/>
                    </w:rPr>
                  </w:pPr>
                  <w:r>
                    <w:rPr>
                      <w:color w:val="auto"/>
                      <w:kern w:val="0"/>
                      <w:sz w:val="18"/>
                      <w:szCs w:val="18"/>
                      <w:highlight w:val="none"/>
                    </w:rPr>
                    <w:t>生态空间名称及编号</w:t>
                  </w:r>
                </w:p>
              </w:tc>
              <w:tc>
                <w:tcPr>
                  <w:tcW w:w="1998" w:type="pct"/>
                  <w:tcBorders>
                    <w:tl2br w:val="nil"/>
                    <w:tr2bl w:val="nil"/>
                  </w:tcBorders>
                  <w:vAlign w:val="center"/>
                </w:tcPr>
                <w:p w14:paraId="06FD86EE">
                  <w:pPr>
                    <w:widowControl/>
                    <w:jc w:val="center"/>
                    <w:rPr>
                      <w:color w:val="auto"/>
                      <w:kern w:val="0"/>
                      <w:sz w:val="18"/>
                      <w:szCs w:val="18"/>
                      <w:highlight w:val="none"/>
                    </w:rPr>
                  </w:pPr>
                  <w:r>
                    <w:rPr>
                      <w:color w:val="auto"/>
                      <w:kern w:val="0"/>
                      <w:sz w:val="18"/>
                      <w:szCs w:val="18"/>
                      <w:highlight w:val="none"/>
                    </w:rPr>
                    <w:t>生态空间范围及示意图</w:t>
                  </w:r>
                </w:p>
              </w:tc>
              <w:tc>
                <w:tcPr>
                  <w:tcW w:w="1244" w:type="pct"/>
                  <w:tcBorders>
                    <w:tl2br w:val="nil"/>
                    <w:tr2bl w:val="nil"/>
                  </w:tcBorders>
                  <w:vAlign w:val="center"/>
                </w:tcPr>
                <w:p w14:paraId="472E0C63">
                  <w:pPr>
                    <w:widowControl/>
                    <w:jc w:val="center"/>
                    <w:rPr>
                      <w:color w:val="auto"/>
                      <w:kern w:val="0"/>
                      <w:sz w:val="18"/>
                      <w:szCs w:val="18"/>
                      <w:highlight w:val="none"/>
                    </w:rPr>
                  </w:pPr>
                  <w:r>
                    <w:rPr>
                      <w:color w:val="auto"/>
                      <w:kern w:val="0"/>
                      <w:sz w:val="18"/>
                      <w:szCs w:val="18"/>
                      <w:highlight w:val="none"/>
                    </w:rPr>
                    <w:t>管控要求</w:t>
                  </w:r>
                </w:p>
              </w:tc>
            </w:tr>
            <w:tr w14:paraId="6D57C4F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1" w:type="dxa"/>
                  <w:bottom w:w="0" w:type="dxa"/>
                  <w:right w:w="11" w:type="dxa"/>
                </w:tblCellMar>
              </w:tblPrEx>
              <w:trPr>
                <w:trHeight w:val="340" w:hRule="atLeast"/>
                <w:jc w:val="center"/>
              </w:trPr>
              <w:tc>
                <w:tcPr>
                  <w:tcW w:w="173" w:type="pct"/>
                  <w:tcBorders>
                    <w:tl2br w:val="nil"/>
                    <w:tr2bl w:val="nil"/>
                  </w:tcBorders>
                  <w:vAlign w:val="center"/>
                </w:tcPr>
                <w:p w14:paraId="5E00D881">
                  <w:pPr>
                    <w:widowControl/>
                    <w:jc w:val="center"/>
                    <w:rPr>
                      <w:color w:val="auto"/>
                      <w:kern w:val="0"/>
                      <w:sz w:val="18"/>
                      <w:szCs w:val="18"/>
                      <w:highlight w:val="none"/>
                    </w:rPr>
                  </w:pPr>
                  <w:r>
                    <w:rPr>
                      <w:color w:val="auto"/>
                      <w:kern w:val="0"/>
                      <w:sz w:val="18"/>
                      <w:szCs w:val="18"/>
                      <w:highlight w:val="none"/>
                    </w:rPr>
                    <w:t>重点管控单元</w:t>
                  </w:r>
                </w:p>
              </w:tc>
              <w:tc>
                <w:tcPr>
                  <w:tcW w:w="1091" w:type="pct"/>
                  <w:tcBorders>
                    <w:tl2br w:val="nil"/>
                    <w:tr2bl w:val="nil"/>
                  </w:tcBorders>
                  <w:vAlign w:val="center"/>
                </w:tcPr>
                <w:p w14:paraId="617EA9D9">
                  <w:pPr>
                    <w:widowControl/>
                    <w:jc w:val="center"/>
                    <w:rPr>
                      <w:color w:val="auto"/>
                      <w:kern w:val="0"/>
                      <w:sz w:val="18"/>
                      <w:szCs w:val="18"/>
                      <w:highlight w:val="none"/>
                    </w:rPr>
                  </w:pPr>
                  <w:r>
                    <w:rPr>
                      <w:color w:val="auto"/>
                      <w:kern w:val="0"/>
                      <w:sz w:val="18"/>
                      <w:szCs w:val="18"/>
                      <w:highlight w:val="none"/>
                    </w:rPr>
                    <w:t>余杭区钱江经济开发区产业集聚重点管控单元ZH330110200</w:t>
                  </w:r>
                  <w:r>
                    <w:rPr>
                      <w:rFonts w:hint="eastAsia"/>
                      <w:color w:val="auto"/>
                      <w:kern w:val="0"/>
                      <w:sz w:val="18"/>
                      <w:szCs w:val="18"/>
                      <w:highlight w:val="none"/>
                      <w:lang w:val="en-US" w:eastAsia="zh-CN"/>
                    </w:rPr>
                    <w:t>09</w:t>
                  </w:r>
                </w:p>
              </w:tc>
              <w:tc>
                <w:tcPr>
                  <w:tcW w:w="492" w:type="pct"/>
                  <w:tcBorders>
                    <w:tl2br w:val="nil"/>
                    <w:tr2bl w:val="nil"/>
                  </w:tcBorders>
                  <w:vAlign w:val="center"/>
                </w:tcPr>
                <w:p w14:paraId="5346D3A1">
                  <w:pPr>
                    <w:widowControl/>
                    <w:jc w:val="center"/>
                    <w:rPr>
                      <w:color w:val="auto"/>
                      <w:kern w:val="0"/>
                      <w:sz w:val="18"/>
                      <w:szCs w:val="18"/>
                      <w:highlight w:val="none"/>
                    </w:rPr>
                  </w:pPr>
                  <w:r>
                    <w:rPr>
                      <w:color w:val="auto"/>
                      <w:kern w:val="0"/>
                      <w:sz w:val="18"/>
                      <w:szCs w:val="18"/>
                      <w:highlight w:val="none"/>
                    </w:rPr>
                    <w:t>集聚重点管控单元</w:t>
                  </w:r>
                </w:p>
              </w:tc>
              <w:tc>
                <w:tcPr>
                  <w:tcW w:w="1998" w:type="pct"/>
                  <w:tcBorders>
                    <w:tl2br w:val="nil"/>
                    <w:tr2bl w:val="nil"/>
                  </w:tcBorders>
                  <w:vAlign w:val="center"/>
                </w:tcPr>
                <w:p w14:paraId="5F31B39C">
                  <w:pPr>
                    <w:widowControl/>
                    <w:jc w:val="center"/>
                    <w:rPr>
                      <w:color w:val="auto"/>
                      <w:kern w:val="0"/>
                      <w:sz w:val="18"/>
                      <w:szCs w:val="18"/>
                      <w:highlight w:val="none"/>
                    </w:rPr>
                  </w:pPr>
                  <w:r>
                    <w:rPr>
                      <w:rFonts w:hint="default"/>
                      <w:color w:val="auto"/>
                      <w:kern w:val="0"/>
                      <w:sz w:val="18"/>
                      <w:szCs w:val="18"/>
                      <w:highlight w:val="none"/>
                    </w:rPr>
                    <w:drawing>
                      <wp:inline distT="0" distB="0" distL="114300" distR="114300">
                        <wp:extent cx="1837055" cy="1362710"/>
                        <wp:effectExtent l="0" t="0" r="6985" b="8890"/>
                        <wp:docPr id="6" name="图片 6" descr="余杭区钱开区产业集聚重点管控单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余杭区钱开区产业集聚重点管控单元"/>
                                <pic:cNvPicPr>
                                  <a:picLocks noChangeAspect="1"/>
                                </pic:cNvPicPr>
                              </pic:nvPicPr>
                              <pic:blipFill>
                                <a:blip r:embed="rId10"/>
                                <a:stretch>
                                  <a:fillRect/>
                                </a:stretch>
                              </pic:blipFill>
                              <pic:spPr>
                                <a:xfrm>
                                  <a:off x="0" y="0"/>
                                  <a:ext cx="1837055" cy="1362710"/>
                                </a:xfrm>
                                <a:prstGeom prst="rect">
                                  <a:avLst/>
                                </a:prstGeom>
                              </pic:spPr>
                            </pic:pic>
                          </a:graphicData>
                        </a:graphic>
                      </wp:inline>
                    </w:drawing>
                  </w:r>
                </w:p>
              </w:tc>
              <w:tc>
                <w:tcPr>
                  <w:tcW w:w="1244" w:type="pct"/>
                  <w:tcBorders>
                    <w:tl2br w:val="nil"/>
                    <w:tr2bl w:val="nil"/>
                  </w:tcBorders>
                  <w:vAlign w:val="center"/>
                </w:tcPr>
                <w:p w14:paraId="10C445A3">
                  <w:pPr>
                    <w:widowControl/>
                    <w:rPr>
                      <w:color w:val="auto"/>
                      <w:kern w:val="0"/>
                      <w:sz w:val="18"/>
                      <w:szCs w:val="18"/>
                      <w:highlight w:val="none"/>
                    </w:rPr>
                  </w:pPr>
                  <w:r>
                    <w:rPr>
                      <w:color w:val="auto"/>
                      <w:kern w:val="0"/>
                      <w:sz w:val="18"/>
                      <w:szCs w:val="18"/>
                      <w:highlight w:val="none"/>
                    </w:rPr>
                    <w:t>（1）根据产业集聚区块的功能定位，建立分区差别化的产业准入条件。合理规划居住区与工业功能区，在居住区和工业区、工业企业之间设置防护绿地、生活绿地等隔离带。</w:t>
                  </w:r>
                </w:p>
                <w:p w14:paraId="54B02926">
                  <w:pPr>
                    <w:widowControl/>
                    <w:rPr>
                      <w:color w:val="auto"/>
                      <w:kern w:val="0"/>
                      <w:sz w:val="18"/>
                      <w:szCs w:val="18"/>
                      <w:highlight w:val="none"/>
                    </w:rPr>
                  </w:pPr>
                  <w:r>
                    <w:rPr>
                      <w:color w:val="auto"/>
                      <w:kern w:val="0"/>
                      <w:sz w:val="18"/>
                      <w:szCs w:val="18"/>
                      <w:highlight w:val="none"/>
                    </w:rPr>
                    <w:t>（2）严格实施污染物总量控制制度，根据区域环境质量改善目标，削减污染物排放总量。所有企业实现雨污分流。</w:t>
                  </w:r>
                </w:p>
                <w:p w14:paraId="052773B8">
                  <w:pPr>
                    <w:widowControl/>
                    <w:rPr>
                      <w:color w:val="auto"/>
                      <w:kern w:val="0"/>
                      <w:sz w:val="18"/>
                      <w:szCs w:val="18"/>
                      <w:highlight w:val="none"/>
                    </w:rPr>
                  </w:pPr>
                  <w:r>
                    <w:rPr>
                      <w:color w:val="auto"/>
                      <w:kern w:val="0"/>
                      <w:sz w:val="18"/>
                      <w:szCs w:val="18"/>
                      <w:highlight w:val="none"/>
                    </w:rPr>
                    <w:t>（3）强化工业集聚区企业环境风险防范设施设备建设和正常运行监管，加强重点环境风险管控企业应急预案制定，建立常态化的企业隐患排查整治监管机制，加强风险防控体系建设。</w:t>
                  </w:r>
                </w:p>
              </w:tc>
            </w:tr>
          </w:tbl>
          <w:p w14:paraId="40B3C448">
            <w:pPr>
              <w:widowControl/>
              <w:spacing w:line="360" w:lineRule="auto"/>
              <w:ind w:firstLine="420" w:firstLineChars="200"/>
              <w:rPr>
                <w:color w:val="auto"/>
                <w:kern w:val="0"/>
                <w:szCs w:val="21"/>
                <w:highlight w:val="none"/>
              </w:rPr>
            </w:pPr>
            <w:r>
              <w:rPr>
                <w:color w:val="auto"/>
                <w:kern w:val="0"/>
                <w:szCs w:val="21"/>
                <w:highlight w:val="none"/>
              </w:rPr>
              <w:t>符合性分析：（1）本项目属于研发项目，不属于工业项目，不在该管控单元负面清单内；项目距离最近的敏感点为西北侧220米处荼锦公寓，有道路相隔且设置绿地隔离带；（2）本项目不属于工业项目，无需进行总量区域内削减替代。项目依托园区现有厂房，园区内已采取雨污分流相关措施，能够有效防止土壤和地下水污染；（3）本项目为</w:t>
            </w:r>
            <w:r>
              <w:rPr>
                <w:rFonts w:hint="default"/>
                <w:color w:val="auto"/>
                <w:kern w:val="0"/>
                <w:szCs w:val="21"/>
                <w:highlight w:val="none"/>
                <w:lang w:val="en-US" w:eastAsia="zh-CN"/>
              </w:rPr>
              <w:t>研发</w:t>
            </w:r>
            <w:r>
              <w:rPr>
                <w:color w:val="auto"/>
                <w:kern w:val="0"/>
                <w:szCs w:val="21"/>
                <w:highlight w:val="none"/>
              </w:rPr>
              <w:t>项目，不属于工业企业，且已实施安全预评价。</w:t>
            </w:r>
            <w:r>
              <w:rPr>
                <w:rFonts w:hint="default"/>
                <w:color w:val="auto"/>
                <w:kern w:val="0"/>
                <w:szCs w:val="21"/>
                <w:highlight w:val="none"/>
                <w:lang w:val="en-US" w:eastAsia="zh-CN"/>
              </w:rPr>
              <w:t>项目</w:t>
            </w:r>
            <w:r>
              <w:rPr>
                <w:color w:val="auto"/>
                <w:kern w:val="0"/>
                <w:szCs w:val="21"/>
                <w:highlight w:val="none"/>
              </w:rPr>
              <w:t>严格做好安全生产工作，严格遵守各项操作规程和制度，落实各项风险防范措施，减少对周围环境的影响，因此符合环境风险防控要求。</w:t>
            </w:r>
          </w:p>
          <w:p w14:paraId="1E92497D">
            <w:pPr>
              <w:widowControl/>
              <w:spacing w:line="360" w:lineRule="auto"/>
              <w:ind w:firstLine="422" w:firstLineChars="200"/>
              <w:rPr>
                <w:color w:val="auto"/>
                <w:kern w:val="0"/>
                <w:szCs w:val="21"/>
                <w:highlight w:val="none"/>
              </w:rPr>
            </w:pPr>
            <w:r>
              <w:rPr>
                <w:b/>
                <w:bCs/>
                <w:color w:val="auto"/>
                <w:kern w:val="0"/>
                <w:szCs w:val="21"/>
                <w:highlight w:val="none"/>
              </w:rPr>
              <w:t>综上，本项目建设符合生态空间清单要求。</w:t>
            </w:r>
          </w:p>
          <w:p w14:paraId="22BC269C">
            <w:pPr>
              <w:widowControl/>
              <w:spacing w:line="360" w:lineRule="auto"/>
              <w:ind w:firstLine="422" w:firstLineChars="200"/>
              <w:rPr>
                <w:b/>
                <w:bCs/>
                <w:color w:val="auto"/>
                <w:kern w:val="0"/>
                <w:szCs w:val="21"/>
                <w:highlight w:val="none"/>
              </w:rPr>
            </w:pPr>
            <w:r>
              <w:rPr>
                <w:rFonts w:hint="default" w:ascii="Times New Roman" w:hAnsi="Times New Roman" w:cs="Times New Roman"/>
                <w:b/>
                <w:bCs/>
                <w:color w:val="auto"/>
                <w:kern w:val="0"/>
                <w:szCs w:val="21"/>
                <w:highlight w:val="none"/>
              </w:rPr>
              <w:t>②</w:t>
            </w:r>
            <w:r>
              <w:rPr>
                <w:b/>
                <w:bCs/>
                <w:color w:val="auto"/>
                <w:kern w:val="0"/>
                <w:szCs w:val="21"/>
                <w:highlight w:val="none"/>
              </w:rPr>
              <w:t>现有问题整改措施清单</w:t>
            </w:r>
          </w:p>
          <w:p w14:paraId="6FF3D275">
            <w:pPr>
              <w:widowControl/>
              <w:spacing w:line="360" w:lineRule="auto"/>
              <w:ind w:firstLine="420" w:firstLineChars="200"/>
              <w:rPr>
                <w:rFonts w:hint="default" w:eastAsia="宋体"/>
                <w:b w:val="0"/>
                <w:bCs w:val="0"/>
                <w:color w:val="auto"/>
                <w:kern w:val="0"/>
                <w:szCs w:val="21"/>
                <w:highlight w:val="none"/>
                <w:lang w:val="en-US" w:eastAsia="zh-CN"/>
              </w:rPr>
            </w:pPr>
            <w:r>
              <w:rPr>
                <w:rFonts w:hint="default"/>
                <w:b w:val="0"/>
                <w:bCs w:val="0"/>
                <w:color w:val="auto"/>
                <w:kern w:val="0"/>
                <w:szCs w:val="21"/>
                <w:highlight w:val="none"/>
                <w:lang w:val="en-US" w:eastAsia="zh-CN"/>
              </w:rPr>
              <w:t>项目与现有问题整改措施清单符合性分析如表1-3所示：</w:t>
            </w:r>
          </w:p>
          <w:p w14:paraId="272200CC">
            <w:pPr>
              <w:keepNext/>
              <w:keepLines/>
              <w:pageBreakBefore w:val="0"/>
              <w:widowControl/>
              <w:numPr>
                <w:ilvl w:val="0"/>
                <w:numId w:val="1"/>
              </w:numPr>
              <w:tabs>
                <w:tab w:val="left" w:pos="0"/>
              </w:tabs>
              <w:kinsoku/>
              <w:wordWrap/>
              <w:overflowPunct/>
              <w:topLinePunct w:val="0"/>
              <w:autoSpaceDE/>
              <w:autoSpaceDN/>
              <w:bidi w:val="0"/>
              <w:adjustRightInd/>
              <w:snapToGrid/>
              <w:spacing w:line="360" w:lineRule="auto"/>
              <w:ind w:left="1134" w:hanging="1134"/>
              <w:jc w:val="center"/>
              <w:textAlignment w:val="auto"/>
              <w:outlineLvl w:val="3"/>
              <w:rPr>
                <w:rFonts w:hint="default" w:ascii="Times New Roman" w:hAnsi="Times New Roman" w:eastAsia="黑体" w:cs="Times New Roman"/>
                <w:b w:val="0"/>
                <w:bCs w:val="0"/>
                <w:color w:val="auto"/>
                <w:kern w:val="0"/>
                <w:szCs w:val="21"/>
                <w:highlight w:val="none"/>
                <w:lang w:val="zh-CN"/>
              </w:rPr>
            </w:pPr>
            <w:r>
              <w:rPr>
                <w:rFonts w:hint="default" w:ascii="Times New Roman" w:hAnsi="Times New Roman" w:eastAsia="黑体" w:cs="Times New Roman"/>
                <w:b w:val="0"/>
                <w:bCs w:val="0"/>
                <w:color w:val="auto"/>
                <w:kern w:val="0"/>
                <w:szCs w:val="21"/>
                <w:highlight w:val="none"/>
                <w:lang w:val="zh-CN"/>
              </w:rPr>
              <w:t>项目与现有问题整改措施清单符合性分析</w:t>
            </w:r>
          </w:p>
          <w:tbl>
            <w:tblPr>
              <w:tblStyle w:val="24"/>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28" w:type="dxa"/>
                <w:bottom w:w="0" w:type="dxa"/>
                <w:right w:w="28" w:type="dxa"/>
              </w:tblCellMar>
            </w:tblPr>
            <w:tblGrid>
              <w:gridCol w:w="281"/>
              <w:gridCol w:w="281"/>
              <w:gridCol w:w="2257"/>
              <w:gridCol w:w="3411"/>
              <w:gridCol w:w="1605"/>
            </w:tblGrid>
            <w:tr w14:paraId="01031EE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58" w:type="pct"/>
                  <w:gridSpan w:val="2"/>
                  <w:tcBorders>
                    <w:tl2br w:val="nil"/>
                    <w:tr2bl w:val="nil"/>
                  </w:tcBorders>
                  <w:vAlign w:val="center"/>
                </w:tcPr>
                <w:p w14:paraId="5E854895">
                  <w:pPr>
                    <w:widowControl/>
                    <w:jc w:val="center"/>
                    <w:rPr>
                      <w:color w:val="auto"/>
                      <w:kern w:val="0"/>
                      <w:sz w:val="18"/>
                      <w:szCs w:val="18"/>
                      <w:highlight w:val="none"/>
                    </w:rPr>
                  </w:pPr>
                  <w:r>
                    <w:rPr>
                      <w:color w:val="auto"/>
                      <w:kern w:val="0"/>
                      <w:sz w:val="18"/>
                      <w:szCs w:val="18"/>
                      <w:highlight w:val="none"/>
                    </w:rPr>
                    <w:t>类别</w:t>
                  </w:r>
                </w:p>
              </w:tc>
              <w:tc>
                <w:tcPr>
                  <w:tcW w:w="1440" w:type="pct"/>
                  <w:tcBorders>
                    <w:tl2br w:val="nil"/>
                    <w:tr2bl w:val="nil"/>
                  </w:tcBorders>
                  <w:vAlign w:val="center"/>
                </w:tcPr>
                <w:p w14:paraId="3A3E57FE">
                  <w:pPr>
                    <w:widowControl/>
                    <w:jc w:val="center"/>
                    <w:rPr>
                      <w:color w:val="auto"/>
                      <w:kern w:val="0"/>
                      <w:sz w:val="18"/>
                      <w:szCs w:val="18"/>
                      <w:highlight w:val="none"/>
                    </w:rPr>
                  </w:pPr>
                  <w:r>
                    <w:rPr>
                      <w:color w:val="auto"/>
                      <w:kern w:val="0"/>
                      <w:sz w:val="18"/>
                      <w:szCs w:val="18"/>
                      <w:highlight w:val="none"/>
                    </w:rPr>
                    <w:t>存在的环保问题及主要原因</w:t>
                  </w:r>
                </w:p>
              </w:tc>
              <w:tc>
                <w:tcPr>
                  <w:tcW w:w="2176" w:type="pct"/>
                  <w:tcBorders>
                    <w:tl2br w:val="nil"/>
                    <w:tr2bl w:val="nil"/>
                  </w:tcBorders>
                  <w:vAlign w:val="center"/>
                </w:tcPr>
                <w:p w14:paraId="04C27947">
                  <w:pPr>
                    <w:widowControl/>
                    <w:ind w:firstLine="480"/>
                    <w:jc w:val="center"/>
                    <w:rPr>
                      <w:color w:val="auto"/>
                      <w:kern w:val="0"/>
                      <w:sz w:val="18"/>
                      <w:szCs w:val="18"/>
                      <w:highlight w:val="none"/>
                    </w:rPr>
                  </w:pPr>
                  <w:r>
                    <w:rPr>
                      <w:color w:val="auto"/>
                      <w:kern w:val="0"/>
                      <w:sz w:val="18"/>
                      <w:szCs w:val="18"/>
                      <w:highlight w:val="none"/>
                    </w:rPr>
                    <w:t>整改建议/解决方案</w:t>
                  </w:r>
                </w:p>
              </w:tc>
              <w:tc>
                <w:tcPr>
                  <w:tcW w:w="1024" w:type="pct"/>
                  <w:tcBorders>
                    <w:tl2br w:val="nil"/>
                    <w:tr2bl w:val="nil"/>
                  </w:tcBorders>
                  <w:vAlign w:val="center"/>
                </w:tcPr>
                <w:p w14:paraId="33B34FA4">
                  <w:pPr>
                    <w:widowControl/>
                    <w:jc w:val="center"/>
                    <w:rPr>
                      <w:color w:val="auto"/>
                      <w:kern w:val="0"/>
                      <w:sz w:val="18"/>
                      <w:szCs w:val="18"/>
                      <w:highlight w:val="none"/>
                    </w:rPr>
                  </w:pPr>
                  <w:r>
                    <w:rPr>
                      <w:color w:val="auto"/>
                      <w:kern w:val="0"/>
                      <w:sz w:val="18"/>
                      <w:szCs w:val="18"/>
                      <w:highlight w:val="none"/>
                    </w:rPr>
                    <w:t>符合性</w:t>
                  </w:r>
                </w:p>
              </w:tc>
            </w:tr>
            <w:tr w14:paraId="4B7E682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79" w:type="pct"/>
                  <w:vMerge w:val="restart"/>
                  <w:tcBorders>
                    <w:tl2br w:val="nil"/>
                    <w:tr2bl w:val="nil"/>
                  </w:tcBorders>
                  <w:vAlign w:val="center"/>
                </w:tcPr>
                <w:p w14:paraId="6FC5FD20">
                  <w:pPr>
                    <w:widowControl/>
                    <w:jc w:val="center"/>
                    <w:rPr>
                      <w:color w:val="auto"/>
                      <w:kern w:val="0"/>
                      <w:sz w:val="18"/>
                      <w:szCs w:val="18"/>
                      <w:highlight w:val="none"/>
                    </w:rPr>
                  </w:pPr>
                  <w:r>
                    <w:rPr>
                      <w:color w:val="auto"/>
                      <w:kern w:val="0"/>
                      <w:sz w:val="18"/>
                      <w:szCs w:val="18"/>
                      <w:highlight w:val="none"/>
                    </w:rPr>
                    <w:t>产业结构与布局</w:t>
                  </w:r>
                </w:p>
              </w:tc>
              <w:tc>
                <w:tcPr>
                  <w:tcW w:w="179" w:type="pct"/>
                  <w:tcBorders>
                    <w:tl2br w:val="nil"/>
                    <w:tr2bl w:val="nil"/>
                  </w:tcBorders>
                  <w:vAlign w:val="center"/>
                </w:tcPr>
                <w:p w14:paraId="198CBA13">
                  <w:pPr>
                    <w:widowControl/>
                    <w:jc w:val="center"/>
                    <w:rPr>
                      <w:color w:val="auto"/>
                      <w:kern w:val="0"/>
                      <w:sz w:val="18"/>
                      <w:szCs w:val="18"/>
                      <w:highlight w:val="none"/>
                    </w:rPr>
                  </w:pPr>
                  <w:r>
                    <w:rPr>
                      <w:color w:val="auto"/>
                      <w:kern w:val="0"/>
                      <w:sz w:val="18"/>
                      <w:szCs w:val="18"/>
                      <w:highlight w:val="none"/>
                    </w:rPr>
                    <w:t>产业结构</w:t>
                  </w:r>
                </w:p>
              </w:tc>
              <w:tc>
                <w:tcPr>
                  <w:tcW w:w="1440" w:type="pct"/>
                  <w:tcBorders>
                    <w:tl2br w:val="nil"/>
                    <w:tr2bl w:val="nil"/>
                  </w:tcBorders>
                  <w:vAlign w:val="center"/>
                </w:tcPr>
                <w:p w14:paraId="46CB3D40">
                  <w:pPr>
                    <w:widowControl/>
                    <w:rPr>
                      <w:color w:val="auto"/>
                      <w:kern w:val="0"/>
                      <w:sz w:val="18"/>
                      <w:szCs w:val="18"/>
                      <w:highlight w:val="none"/>
                    </w:rPr>
                  </w:pPr>
                  <w:r>
                    <w:rPr>
                      <w:color w:val="auto"/>
                      <w:kern w:val="0"/>
                      <w:sz w:val="18"/>
                      <w:szCs w:val="18"/>
                      <w:highlight w:val="none"/>
                    </w:rPr>
                    <w:t>基地内非核心区块即远期开发区域内现有工业企业主要集中在装备制造、五金建材和纺织服装等加工行业，多属劳动密集型产业，产业结构层次还处于较低水平，产品结构较为单一，技术含量较低，尚无显著的优势主导产业，产业规模均较小且较为分散，未能形成集聚效应，对环境有一定的影响。</w:t>
                  </w:r>
                </w:p>
              </w:tc>
              <w:tc>
                <w:tcPr>
                  <w:tcW w:w="2176" w:type="pct"/>
                  <w:tcBorders>
                    <w:tl2br w:val="nil"/>
                    <w:tr2bl w:val="nil"/>
                  </w:tcBorders>
                  <w:vAlign w:val="center"/>
                </w:tcPr>
                <w:p w14:paraId="696E6EFC">
                  <w:pPr>
                    <w:widowControl/>
                    <w:rPr>
                      <w:color w:val="auto"/>
                      <w:kern w:val="0"/>
                      <w:sz w:val="18"/>
                      <w:szCs w:val="18"/>
                      <w:highlight w:val="none"/>
                    </w:rPr>
                  </w:pPr>
                  <w:r>
                    <w:rPr>
                      <w:rFonts w:hint="default" w:ascii="Times New Roman" w:hAnsi="Times New Roman" w:cs="Times New Roman"/>
                      <w:color w:val="auto"/>
                      <w:kern w:val="0"/>
                      <w:sz w:val="18"/>
                      <w:szCs w:val="18"/>
                      <w:highlight w:val="none"/>
                    </w:rPr>
                    <w:t>①</w:t>
                  </w:r>
                  <w:r>
                    <w:rPr>
                      <w:color w:val="auto"/>
                      <w:kern w:val="0"/>
                      <w:sz w:val="18"/>
                      <w:szCs w:val="18"/>
                      <w:highlight w:val="none"/>
                    </w:rPr>
                    <w:t>通过本次规划实施，一方面对基地内传统纺织服装等产业进行转型升级，拓展设计研发，优化产业结构；另一方面对先期入区的污染较重、能耗过高、产出效率低以及不符合基地产业定位的企业，引导其进行改造提升，并要求其在限定期限内按改造提升目标进行投资开发，对达不到要求的，责令企业退出。</w:t>
                  </w:r>
                  <w:r>
                    <w:rPr>
                      <w:rFonts w:hint="default" w:ascii="Times New Roman" w:hAnsi="Times New Roman" w:cs="Times New Roman"/>
                      <w:color w:val="auto"/>
                      <w:kern w:val="0"/>
                      <w:sz w:val="18"/>
                      <w:szCs w:val="18"/>
                      <w:highlight w:val="none"/>
                    </w:rPr>
                    <w:t>②</w:t>
                  </w:r>
                  <w:r>
                    <w:rPr>
                      <w:color w:val="auto"/>
                      <w:kern w:val="0"/>
                      <w:sz w:val="18"/>
                      <w:szCs w:val="18"/>
                      <w:highlight w:val="none"/>
                    </w:rPr>
                    <w:t>禁止引进和建设负面清单中禁止类项目，限制发展低水平及其他重污染行业项目，重点发展高附加值、高科技含量、低污染的先进装备制造产业。</w:t>
                  </w:r>
                </w:p>
              </w:tc>
              <w:tc>
                <w:tcPr>
                  <w:tcW w:w="1024" w:type="pct"/>
                  <w:tcBorders>
                    <w:tl2br w:val="nil"/>
                    <w:tr2bl w:val="nil"/>
                  </w:tcBorders>
                  <w:vAlign w:val="center"/>
                </w:tcPr>
                <w:p w14:paraId="64DE9EC9">
                  <w:pPr>
                    <w:widowControl/>
                    <w:rPr>
                      <w:color w:val="auto"/>
                      <w:kern w:val="0"/>
                      <w:sz w:val="18"/>
                      <w:szCs w:val="18"/>
                      <w:highlight w:val="none"/>
                    </w:rPr>
                  </w:pPr>
                  <w:r>
                    <w:rPr>
                      <w:color w:val="auto"/>
                      <w:kern w:val="0"/>
                      <w:sz w:val="18"/>
                      <w:szCs w:val="18"/>
                      <w:highlight w:val="none"/>
                    </w:rPr>
                    <w:t>符合。本</w:t>
                  </w:r>
                  <w:r>
                    <w:rPr>
                      <w:rFonts w:hint="default"/>
                      <w:color w:val="auto"/>
                      <w:kern w:val="0"/>
                      <w:sz w:val="18"/>
                      <w:szCs w:val="18"/>
                      <w:highlight w:val="none"/>
                      <w:lang w:val="en-US" w:eastAsia="zh-CN"/>
                    </w:rPr>
                    <w:t>项目不属于工业生产类项目</w:t>
                  </w:r>
                  <w:r>
                    <w:rPr>
                      <w:color w:val="auto"/>
                      <w:kern w:val="0"/>
                      <w:sz w:val="18"/>
                      <w:szCs w:val="18"/>
                      <w:highlight w:val="none"/>
                    </w:rPr>
                    <w:t>，不属于负面清单中禁止</w:t>
                  </w:r>
                  <w:r>
                    <w:rPr>
                      <w:rFonts w:hint="default"/>
                      <w:color w:val="auto"/>
                      <w:kern w:val="0"/>
                      <w:sz w:val="18"/>
                      <w:szCs w:val="18"/>
                      <w:highlight w:val="none"/>
                      <w:lang w:val="en-US" w:eastAsia="zh-CN"/>
                    </w:rPr>
                    <w:t>和限制准入</w:t>
                  </w:r>
                  <w:r>
                    <w:rPr>
                      <w:color w:val="auto"/>
                      <w:kern w:val="0"/>
                      <w:sz w:val="18"/>
                      <w:szCs w:val="18"/>
                      <w:highlight w:val="none"/>
                    </w:rPr>
                    <w:t>类项目，项目投资强度、产值、单位产值能耗、水耗、容积率等符合准入指标要求。</w:t>
                  </w:r>
                </w:p>
              </w:tc>
            </w:tr>
            <w:tr w14:paraId="102B9BF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79" w:type="pct"/>
                  <w:vMerge w:val="continue"/>
                  <w:tcBorders>
                    <w:tl2br w:val="nil"/>
                    <w:tr2bl w:val="nil"/>
                  </w:tcBorders>
                  <w:vAlign w:val="center"/>
                </w:tcPr>
                <w:p w14:paraId="4B6E5F8F">
                  <w:pPr>
                    <w:widowControl/>
                    <w:jc w:val="left"/>
                    <w:rPr>
                      <w:color w:val="auto"/>
                      <w:kern w:val="0"/>
                      <w:sz w:val="18"/>
                      <w:szCs w:val="18"/>
                      <w:highlight w:val="none"/>
                    </w:rPr>
                  </w:pPr>
                </w:p>
              </w:tc>
              <w:tc>
                <w:tcPr>
                  <w:tcW w:w="179" w:type="pct"/>
                  <w:tcBorders>
                    <w:tl2br w:val="nil"/>
                    <w:tr2bl w:val="nil"/>
                  </w:tcBorders>
                  <w:vAlign w:val="center"/>
                </w:tcPr>
                <w:p w14:paraId="6454BE0C">
                  <w:pPr>
                    <w:widowControl/>
                    <w:jc w:val="center"/>
                    <w:rPr>
                      <w:color w:val="auto"/>
                      <w:kern w:val="0"/>
                      <w:sz w:val="18"/>
                      <w:szCs w:val="18"/>
                      <w:highlight w:val="none"/>
                    </w:rPr>
                  </w:pPr>
                  <w:r>
                    <w:rPr>
                      <w:color w:val="auto"/>
                      <w:kern w:val="0"/>
                      <w:sz w:val="18"/>
                      <w:szCs w:val="18"/>
                      <w:highlight w:val="none"/>
                    </w:rPr>
                    <w:t>空间布局</w:t>
                  </w:r>
                </w:p>
              </w:tc>
              <w:tc>
                <w:tcPr>
                  <w:tcW w:w="1440" w:type="pct"/>
                  <w:tcBorders>
                    <w:tl2br w:val="nil"/>
                    <w:tr2bl w:val="nil"/>
                  </w:tcBorders>
                  <w:vAlign w:val="center"/>
                </w:tcPr>
                <w:p w14:paraId="220BCF0B">
                  <w:pPr>
                    <w:widowControl/>
                    <w:rPr>
                      <w:color w:val="auto"/>
                      <w:kern w:val="0"/>
                      <w:sz w:val="18"/>
                      <w:szCs w:val="18"/>
                      <w:highlight w:val="none"/>
                    </w:rPr>
                  </w:pPr>
                  <w:r>
                    <w:rPr>
                      <w:color w:val="auto"/>
                      <w:kern w:val="0"/>
                      <w:sz w:val="18"/>
                      <w:szCs w:val="18"/>
                      <w:highlight w:val="none"/>
                    </w:rPr>
                    <w:t>仁和老镇区发展片区(二类居住用地为主)位于仁和北产业发展片区(二类工业用地为主)和仁和中产业发展片区(一类工业用地为主)之间。仁和老镇区原为獐山和云会集镇的居住用地，地处新老建设区域中间地带，规划实施后可能受到周边工业企业的污染影响。</w:t>
                  </w:r>
                </w:p>
              </w:tc>
              <w:tc>
                <w:tcPr>
                  <w:tcW w:w="2176" w:type="pct"/>
                  <w:tcBorders>
                    <w:tl2br w:val="nil"/>
                    <w:tr2bl w:val="nil"/>
                  </w:tcBorders>
                  <w:vAlign w:val="center"/>
                </w:tcPr>
                <w:p w14:paraId="7613BF12">
                  <w:pPr>
                    <w:widowControl/>
                    <w:rPr>
                      <w:color w:val="auto"/>
                      <w:kern w:val="0"/>
                      <w:sz w:val="18"/>
                      <w:szCs w:val="18"/>
                      <w:highlight w:val="none"/>
                    </w:rPr>
                  </w:pPr>
                  <w:r>
                    <w:rPr>
                      <w:rFonts w:hint="default" w:ascii="Times New Roman" w:hAnsi="Times New Roman" w:cs="Times New Roman"/>
                      <w:color w:val="auto"/>
                      <w:kern w:val="0"/>
                      <w:sz w:val="18"/>
                      <w:szCs w:val="18"/>
                      <w:highlight w:val="none"/>
                    </w:rPr>
                    <w:t>①</w:t>
                  </w:r>
                  <w:r>
                    <w:rPr>
                      <w:color w:val="auto"/>
                      <w:kern w:val="0"/>
                      <w:sz w:val="18"/>
                      <w:szCs w:val="18"/>
                      <w:highlight w:val="none"/>
                    </w:rPr>
                    <w:t>通过本次规划的实施，一方面对居民区周边的部分工业企业实施转型升级，开展环境治理，将周边的工业用地调整为一类工业用地、研发产业用地或商业商务用地，并在工业用地与居住用地之间进行绿化阻隔；另一方面对部分村庄实施搬迁整合，促使工业用地和居住用地实现“块状布局”。</w:t>
                  </w:r>
                  <w:r>
                    <w:rPr>
                      <w:rFonts w:hint="default" w:ascii="Times New Roman" w:hAnsi="Times New Roman" w:cs="Times New Roman"/>
                      <w:color w:val="auto"/>
                      <w:kern w:val="0"/>
                      <w:sz w:val="18"/>
                      <w:szCs w:val="18"/>
                      <w:highlight w:val="none"/>
                    </w:rPr>
                    <w:t>②</w:t>
                  </w:r>
                  <w:r>
                    <w:rPr>
                      <w:color w:val="auto"/>
                      <w:kern w:val="0"/>
                      <w:sz w:val="18"/>
                      <w:szCs w:val="18"/>
                      <w:highlight w:val="none"/>
                    </w:rPr>
                    <w:t>域内引进项目空间布局应符合《杭州市“三线一单”生态环境分区管控方案》中各片区管控要求。</w:t>
                  </w:r>
                </w:p>
              </w:tc>
              <w:tc>
                <w:tcPr>
                  <w:tcW w:w="1024" w:type="pct"/>
                  <w:tcBorders>
                    <w:tl2br w:val="nil"/>
                    <w:tr2bl w:val="nil"/>
                  </w:tcBorders>
                  <w:vAlign w:val="center"/>
                </w:tcPr>
                <w:p w14:paraId="6E961EE1">
                  <w:pPr>
                    <w:widowControl/>
                    <w:rPr>
                      <w:color w:val="auto"/>
                      <w:kern w:val="0"/>
                      <w:sz w:val="18"/>
                      <w:szCs w:val="18"/>
                      <w:highlight w:val="none"/>
                    </w:rPr>
                  </w:pPr>
                  <w:r>
                    <w:rPr>
                      <w:color w:val="auto"/>
                      <w:kern w:val="0"/>
                      <w:sz w:val="18"/>
                      <w:szCs w:val="18"/>
                      <w:highlight w:val="none"/>
                    </w:rPr>
                    <w:t>符合。本项目</w:t>
                  </w:r>
                  <w:r>
                    <w:rPr>
                      <w:rFonts w:hint="default"/>
                      <w:color w:val="auto"/>
                      <w:kern w:val="0"/>
                      <w:sz w:val="18"/>
                      <w:szCs w:val="18"/>
                      <w:highlight w:val="none"/>
                    </w:rPr>
                    <w:t>用地性质为一类/二类工业用地</w:t>
                  </w:r>
                  <w:r>
                    <w:rPr>
                      <w:color w:val="auto"/>
                      <w:kern w:val="0"/>
                      <w:sz w:val="18"/>
                      <w:szCs w:val="18"/>
                      <w:highlight w:val="none"/>
                    </w:rPr>
                    <w:t>，</w:t>
                  </w:r>
                  <w:r>
                    <w:rPr>
                      <w:rFonts w:hint="default"/>
                      <w:color w:val="auto"/>
                      <w:kern w:val="0"/>
                      <w:sz w:val="18"/>
                      <w:szCs w:val="18"/>
                      <w:highlight w:val="none"/>
                    </w:rPr>
                    <w:t>距离最近的敏感点为西北侧220米处荼锦公寓，有道路相隔且设置绿地隔离带。</w:t>
                  </w:r>
                  <w:r>
                    <w:rPr>
                      <w:color w:val="auto"/>
                      <w:kern w:val="0"/>
                      <w:sz w:val="18"/>
                      <w:szCs w:val="18"/>
                      <w:highlight w:val="none"/>
                    </w:rPr>
                    <w:t>此外，项目符合</w:t>
                  </w:r>
                  <w:r>
                    <w:rPr>
                      <w:rFonts w:hint="default"/>
                      <w:color w:val="auto"/>
                      <w:kern w:val="0"/>
                      <w:sz w:val="18"/>
                      <w:szCs w:val="18"/>
                      <w:highlight w:val="none"/>
                    </w:rPr>
                    <w:t>《杭州市生态环境分区管控动态更新方案》</w:t>
                  </w:r>
                  <w:r>
                    <w:rPr>
                      <w:color w:val="auto"/>
                      <w:kern w:val="0"/>
                      <w:sz w:val="18"/>
                      <w:szCs w:val="18"/>
                      <w:highlight w:val="none"/>
                    </w:rPr>
                    <w:t>相关要求。</w:t>
                  </w:r>
                </w:p>
              </w:tc>
            </w:tr>
            <w:tr w14:paraId="0381B85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79" w:type="pct"/>
                  <w:vMerge w:val="restart"/>
                  <w:tcBorders>
                    <w:tl2br w:val="nil"/>
                    <w:tr2bl w:val="nil"/>
                  </w:tcBorders>
                  <w:vAlign w:val="center"/>
                </w:tcPr>
                <w:p w14:paraId="740C3BA8">
                  <w:pPr>
                    <w:widowControl/>
                    <w:jc w:val="center"/>
                    <w:rPr>
                      <w:color w:val="auto"/>
                      <w:kern w:val="0"/>
                      <w:sz w:val="18"/>
                      <w:szCs w:val="18"/>
                      <w:highlight w:val="none"/>
                    </w:rPr>
                  </w:pPr>
                  <w:r>
                    <w:rPr>
                      <w:color w:val="auto"/>
                      <w:kern w:val="0"/>
                      <w:sz w:val="18"/>
                      <w:szCs w:val="18"/>
                      <w:highlight w:val="none"/>
                    </w:rPr>
                    <w:t>污染防治与环境保护</w:t>
                  </w:r>
                </w:p>
              </w:tc>
              <w:tc>
                <w:tcPr>
                  <w:tcW w:w="179" w:type="pct"/>
                  <w:vMerge w:val="restart"/>
                  <w:tcBorders>
                    <w:tl2br w:val="nil"/>
                    <w:tr2bl w:val="nil"/>
                  </w:tcBorders>
                  <w:vAlign w:val="center"/>
                </w:tcPr>
                <w:p w14:paraId="14599AD0">
                  <w:pPr>
                    <w:widowControl/>
                    <w:jc w:val="center"/>
                    <w:rPr>
                      <w:color w:val="auto"/>
                      <w:kern w:val="0"/>
                      <w:sz w:val="18"/>
                      <w:szCs w:val="18"/>
                      <w:highlight w:val="none"/>
                    </w:rPr>
                  </w:pPr>
                  <w:r>
                    <w:rPr>
                      <w:color w:val="auto"/>
                      <w:kern w:val="0"/>
                      <w:sz w:val="18"/>
                      <w:szCs w:val="18"/>
                      <w:highlight w:val="none"/>
                    </w:rPr>
                    <w:t>环境质量</w:t>
                  </w:r>
                </w:p>
              </w:tc>
              <w:tc>
                <w:tcPr>
                  <w:tcW w:w="1440" w:type="pct"/>
                  <w:tcBorders>
                    <w:tl2br w:val="nil"/>
                    <w:tr2bl w:val="nil"/>
                  </w:tcBorders>
                  <w:vAlign w:val="center"/>
                </w:tcPr>
                <w:p w14:paraId="4C94DDED">
                  <w:pPr>
                    <w:widowControl/>
                    <w:rPr>
                      <w:color w:val="auto"/>
                      <w:kern w:val="0"/>
                      <w:sz w:val="18"/>
                      <w:szCs w:val="18"/>
                      <w:highlight w:val="none"/>
                    </w:rPr>
                  </w:pPr>
                  <w:r>
                    <w:rPr>
                      <w:b/>
                      <w:bCs/>
                      <w:color w:val="auto"/>
                      <w:kern w:val="0"/>
                      <w:sz w:val="18"/>
                      <w:szCs w:val="18"/>
                      <w:highlight w:val="none"/>
                    </w:rPr>
                    <w:t>地表水环境：</w:t>
                  </w:r>
                  <w:r>
                    <w:rPr>
                      <w:color w:val="auto"/>
                      <w:kern w:val="0"/>
                      <w:sz w:val="18"/>
                      <w:szCs w:val="18"/>
                      <w:highlight w:val="none"/>
                    </w:rPr>
                    <w:t>根据历年常规监测数据统计分析，随着“五水共治”工作的推进，基地纳污水体运河及良渚港水质指标虽然有逐年好转的趋势，但目前仍不能满足稳定达到相应水环境功能区划要求，主要超标因子为溶解氧、氨氮。造成水质超标的原因主要和上游来水水质较差、河流水体自净能力弱，沿河尚有部分零散分布的农居点生活污水未经处理直接排入，以及受到农业面源的污染等因素有关。</w:t>
                  </w:r>
                </w:p>
              </w:tc>
              <w:tc>
                <w:tcPr>
                  <w:tcW w:w="2176" w:type="pct"/>
                  <w:tcBorders>
                    <w:tl2br w:val="nil"/>
                    <w:tr2bl w:val="nil"/>
                  </w:tcBorders>
                  <w:vAlign w:val="center"/>
                </w:tcPr>
                <w:p w14:paraId="5456ACCA">
                  <w:pPr>
                    <w:widowControl/>
                    <w:rPr>
                      <w:color w:val="auto"/>
                      <w:kern w:val="0"/>
                      <w:sz w:val="18"/>
                      <w:szCs w:val="18"/>
                      <w:highlight w:val="none"/>
                    </w:rPr>
                  </w:pPr>
                  <w:r>
                    <w:rPr>
                      <w:rFonts w:hint="default" w:ascii="Times New Roman" w:hAnsi="Times New Roman" w:cs="Times New Roman"/>
                      <w:color w:val="auto"/>
                      <w:kern w:val="0"/>
                      <w:sz w:val="18"/>
                      <w:szCs w:val="18"/>
                      <w:highlight w:val="none"/>
                    </w:rPr>
                    <w:t>①</w:t>
                  </w:r>
                  <w:r>
                    <w:rPr>
                      <w:color w:val="auto"/>
                      <w:kern w:val="0"/>
                      <w:sz w:val="18"/>
                      <w:szCs w:val="18"/>
                      <w:highlight w:val="none"/>
                    </w:rPr>
                    <w:t>持续深入推进“五水共治”，加快完善污水管网的铺设、连接以及污水提升泵站建设，尽快完成区域内污水全收集的目标；继续落实河道清淤治理等措施，将其作为常态化工作进行运行和管理；</w:t>
                  </w:r>
                  <w:r>
                    <w:rPr>
                      <w:rFonts w:hint="default" w:ascii="Times New Roman" w:hAnsi="Times New Roman" w:cs="Times New Roman"/>
                      <w:color w:val="auto"/>
                      <w:kern w:val="0"/>
                      <w:sz w:val="18"/>
                      <w:szCs w:val="18"/>
                      <w:highlight w:val="none"/>
                    </w:rPr>
                    <w:t>②</w:t>
                  </w:r>
                  <w:r>
                    <w:rPr>
                      <w:color w:val="auto"/>
                      <w:kern w:val="0"/>
                      <w:sz w:val="18"/>
                      <w:szCs w:val="18"/>
                      <w:highlight w:val="none"/>
                    </w:rPr>
                    <w:t>开展“海绵城市”建设，开展城市初期径流雨水治理；</w:t>
                  </w:r>
                  <w:r>
                    <w:rPr>
                      <w:rFonts w:hint="default" w:ascii="Times New Roman" w:hAnsi="Times New Roman" w:cs="Times New Roman"/>
                      <w:color w:val="auto"/>
                      <w:kern w:val="0"/>
                      <w:sz w:val="18"/>
                      <w:szCs w:val="18"/>
                      <w:highlight w:val="none"/>
                    </w:rPr>
                    <w:t>③</w:t>
                  </w:r>
                  <w:r>
                    <w:rPr>
                      <w:color w:val="auto"/>
                      <w:kern w:val="0"/>
                      <w:sz w:val="18"/>
                      <w:szCs w:val="18"/>
                      <w:highlight w:val="none"/>
                    </w:rPr>
                    <w:t>逐步在内河水系开展水生态修复工程，重建水生态系统；</w:t>
                  </w:r>
                  <w:r>
                    <w:rPr>
                      <w:rFonts w:hint="default" w:ascii="Times New Roman" w:hAnsi="Times New Roman" w:cs="Times New Roman"/>
                      <w:color w:val="auto"/>
                      <w:kern w:val="0"/>
                      <w:sz w:val="18"/>
                      <w:szCs w:val="18"/>
                      <w:highlight w:val="none"/>
                    </w:rPr>
                    <w:t>④</w:t>
                  </w:r>
                  <w:r>
                    <w:rPr>
                      <w:color w:val="auto"/>
                      <w:kern w:val="0"/>
                      <w:sz w:val="18"/>
                      <w:szCs w:val="18"/>
                      <w:highlight w:val="none"/>
                    </w:rPr>
                    <w:t>对污水管网进行巡检，检查管道沉降、渗漏等情况，并及时进行检修；</w:t>
                  </w:r>
                  <w:r>
                    <w:rPr>
                      <w:rFonts w:hint="default" w:ascii="Times New Roman" w:hAnsi="Times New Roman" w:cs="Times New Roman"/>
                      <w:color w:val="auto"/>
                      <w:kern w:val="0"/>
                      <w:sz w:val="18"/>
                      <w:szCs w:val="18"/>
                      <w:highlight w:val="none"/>
                    </w:rPr>
                    <w:t>⑤</w:t>
                  </w:r>
                  <w:r>
                    <w:rPr>
                      <w:color w:val="auto"/>
                      <w:kern w:val="0"/>
                      <w:sz w:val="18"/>
                      <w:szCs w:val="18"/>
                      <w:highlight w:val="none"/>
                    </w:rPr>
                    <w:t>现有农居在拆迁安置时，排水体制采用雨污分流制；</w:t>
                  </w:r>
                  <w:r>
                    <w:rPr>
                      <w:rFonts w:hint="default" w:ascii="Times New Roman" w:hAnsi="Times New Roman" w:cs="Times New Roman"/>
                      <w:color w:val="auto"/>
                      <w:kern w:val="0"/>
                      <w:sz w:val="18"/>
                      <w:szCs w:val="18"/>
                      <w:highlight w:val="none"/>
                    </w:rPr>
                    <w:t>⑥</w:t>
                  </w:r>
                  <w:r>
                    <w:rPr>
                      <w:color w:val="auto"/>
                      <w:kern w:val="0"/>
                      <w:sz w:val="18"/>
                      <w:szCs w:val="18"/>
                      <w:highlight w:val="none"/>
                    </w:rPr>
                    <w:t>加强对生产企业的监督力度，确保企业废水治理设施正常运转，杜绝偷排漏排现象；有条件的企业逐步引导开展中水回用措施。</w:t>
                  </w:r>
                </w:p>
              </w:tc>
              <w:tc>
                <w:tcPr>
                  <w:tcW w:w="1024" w:type="pct"/>
                  <w:tcBorders>
                    <w:tl2br w:val="nil"/>
                    <w:tr2bl w:val="nil"/>
                  </w:tcBorders>
                  <w:vAlign w:val="center"/>
                </w:tcPr>
                <w:p w14:paraId="1C2F9801">
                  <w:pPr>
                    <w:widowControl/>
                    <w:rPr>
                      <w:color w:val="auto"/>
                      <w:kern w:val="0"/>
                      <w:sz w:val="18"/>
                      <w:szCs w:val="18"/>
                      <w:highlight w:val="none"/>
                    </w:rPr>
                  </w:pPr>
                  <w:r>
                    <w:rPr>
                      <w:color w:val="auto"/>
                      <w:kern w:val="0"/>
                      <w:sz w:val="18"/>
                      <w:szCs w:val="18"/>
                      <w:highlight w:val="none"/>
                    </w:rPr>
                    <w:t>符合。本项目</w:t>
                  </w:r>
                  <w:r>
                    <w:rPr>
                      <w:rFonts w:hint="default"/>
                      <w:color w:val="auto"/>
                      <w:kern w:val="0"/>
                      <w:sz w:val="18"/>
                      <w:szCs w:val="18"/>
                      <w:highlight w:val="none"/>
                    </w:rPr>
                    <w:t>所在</w:t>
                  </w:r>
                  <w:r>
                    <w:rPr>
                      <w:color w:val="auto"/>
                      <w:kern w:val="0"/>
                      <w:sz w:val="18"/>
                      <w:szCs w:val="18"/>
                      <w:highlight w:val="none"/>
                    </w:rPr>
                    <w:t>区域污水管网已建成，</w:t>
                  </w:r>
                  <w:r>
                    <w:rPr>
                      <w:rFonts w:hint="default"/>
                      <w:color w:val="auto"/>
                      <w:kern w:val="0"/>
                      <w:sz w:val="18"/>
                      <w:szCs w:val="18"/>
                      <w:highlight w:val="none"/>
                    </w:rPr>
                    <w:t>新增生产废水、生活污水经预处理后</w:t>
                  </w:r>
                  <w:r>
                    <w:rPr>
                      <w:color w:val="auto"/>
                      <w:kern w:val="0"/>
                      <w:sz w:val="18"/>
                      <w:szCs w:val="18"/>
                      <w:highlight w:val="none"/>
                    </w:rPr>
                    <w:t>纳管</w:t>
                  </w:r>
                  <w:r>
                    <w:rPr>
                      <w:rFonts w:hint="default"/>
                      <w:color w:val="auto"/>
                      <w:kern w:val="0"/>
                      <w:sz w:val="18"/>
                      <w:szCs w:val="18"/>
                      <w:highlight w:val="none"/>
                    </w:rPr>
                    <w:t>排入良渚污水处理厂</w:t>
                  </w:r>
                  <w:r>
                    <w:rPr>
                      <w:color w:val="auto"/>
                      <w:kern w:val="0"/>
                      <w:sz w:val="18"/>
                      <w:szCs w:val="18"/>
                      <w:highlight w:val="none"/>
                    </w:rPr>
                    <w:t>，不会对运河水质造成影响。</w:t>
                  </w:r>
                </w:p>
              </w:tc>
            </w:tr>
            <w:tr w14:paraId="1929E20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79" w:type="pct"/>
                  <w:vMerge w:val="continue"/>
                  <w:tcBorders>
                    <w:tl2br w:val="nil"/>
                    <w:tr2bl w:val="nil"/>
                  </w:tcBorders>
                  <w:vAlign w:val="center"/>
                </w:tcPr>
                <w:p w14:paraId="228952FF">
                  <w:pPr>
                    <w:widowControl/>
                    <w:jc w:val="left"/>
                    <w:rPr>
                      <w:color w:val="auto"/>
                      <w:kern w:val="0"/>
                      <w:sz w:val="18"/>
                      <w:szCs w:val="18"/>
                      <w:highlight w:val="none"/>
                    </w:rPr>
                  </w:pPr>
                </w:p>
              </w:tc>
              <w:tc>
                <w:tcPr>
                  <w:tcW w:w="179" w:type="pct"/>
                  <w:vMerge w:val="continue"/>
                  <w:tcBorders>
                    <w:tl2br w:val="nil"/>
                    <w:tr2bl w:val="nil"/>
                  </w:tcBorders>
                  <w:vAlign w:val="center"/>
                </w:tcPr>
                <w:p w14:paraId="0941CA5F">
                  <w:pPr>
                    <w:widowControl/>
                    <w:jc w:val="left"/>
                    <w:rPr>
                      <w:color w:val="auto"/>
                      <w:kern w:val="0"/>
                      <w:sz w:val="18"/>
                      <w:szCs w:val="18"/>
                      <w:highlight w:val="none"/>
                    </w:rPr>
                  </w:pPr>
                </w:p>
              </w:tc>
              <w:tc>
                <w:tcPr>
                  <w:tcW w:w="1440" w:type="pct"/>
                  <w:tcBorders>
                    <w:tl2br w:val="nil"/>
                    <w:tr2bl w:val="nil"/>
                  </w:tcBorders>
                  <w:vAlign w:val="center"/>
                </w:tcPr>
                <w:p w14:paraId="3BFD47CC">
                  <w:pPr>
                    <w:widowControl/>
                    <w:rPr>
                      <w:color w:val="auto"/>
                      <w:kern w:val="0"/>
                      <w:sz w:val="18"/>
                      <w:szCs w:val="18"/>
                      <w:highlight w:val="none"/>
                    </w:rPr>
                  </w:pPr>
                  <w:r>
                    <w:rPr>
                      <w:b/>
                      <w:bCs/>
                      <w:color w:val="auto"/>
                      <w:kern w:val="0"/>
                      <w:sz w:val="18"/>
                      <w:szCs w:val="18"/>
                      <w:highlight w:val="none"/>
                    </w:rPr>
                    <w:t>声环境：</w:t>
                  </w:r>
                  <w:r>
                    <w:rPr>
                      <w:color w:val="auto"/>
                      <w:kern w:val="0"/>
                      <w:sz w:val="18"/>
                      <w:szCs w:val="18"/>
                      <w:highlight w:val="none"/>
                    </w:rPr>
                    <w:t>基地内杭宁高速、杭宁铁路、东西大道等交通干线横穿全境。由现状监测结果可知，目前基地内部分交通干线两侧夜间噪声不能满足《声环境质量标准》(GB3096-2008)中4a类标准要求。而随着城镇人口、车流量不断增加，若不采取必要的噪声防治措施，铁路、高速公路等交通干线噪声势必对基地内住宅、学校、医院等敏感点产生干扰。</w:t>
                  </w:r>
                </w:p>
              </w:tc>
              <w:tc>
                <w:tcPr>
                  <w:tcW w:w="2176" w:type="pct"/>
                  <w:tcBorders>
                    <w:tl2br w:val="nil"/>
                    <w:tr2bl w:val="nil"/>
                  </w:tcBorders>
                  <w:vAlign w:val="center"/>
                </w:tcPr>
                <w:p w14:paraId="7EB83A2B">
                  <w:pPr>
                    <w:widowControl/>
                    <w:rPr>
                      <w:color w:val="auto"/>
                      <w:kern w:val="0"/>
                      <w:sz w:val="18"/>
                      <w:szCs w:val="18"/>
                      <w:highlight w:val="none"/>
                    </w:rPr>
                  </w:pPr>
                  <w:r>
                    <w:rPr>
                      <w:color w:val="auto"/>
                      <w:kern w:val="0"/>
                      <w:sz w:val="18"/>
                      <w:szCs w:val="18"/>
                      <w:highlight w:val="none"/>
                    </w:rPr>
                    <w:t>为减少城市快速路、主干道等设施对基地内居民生活、居住环境的影响，建议参照《关于加强环境噪声污染防治工作改善城乡声环境质量的指导意见》，在规划红线控制时，设置必要的噪声防护距离，在该防护距离内不建设噪声敏感建筑物。同时，应加强交通噪声源控制，合理设置防护绿地，并考虑对受交通噪声影响的敏感建筑物安装隔声门窗等，保证其室内适宜的声环境质量。</w:t>
                  </w:r>
                </w:p>
              </w:tc>
              <w:tc>
                <w:tcPr>
                  <w:tcW w:w="1024" w:type="pct"/>
                  <w:tcBorders>
                    <w:tl2br w:val="nil"/>
                    <w:tr2bl w:val="nil"/>
                  </w:tcBorders>
                  <w:vAlign w:val="center"/>
                </w:tcPr>
                <w:p w14:paraId="7C9C7463">
                  <w:pPr>
                    <w:widowControl/>
                    <w:jc w:val="center"/>
                    <w:rPr>
                      <w:color w:val="auto"/>
                      <w:kern w:val="0"/>
                      <w:sz w:val="18"/>
                      <w:szCs w:val="18"/>
                      <w:highlight w:val="none"/>
                    </w:rPr>
                  </w:pPr>
                  <w:r>
                    <w:rPr>
                      <w:color w:val="auto"/>
                      <w:kern w:val="0"/>
                      <w:sz w:val="18"/>
                      <w:szCs w:val="18"/>
                      <w:highlight w:val="none"/>
                    </w:rPr>
                    <w:t>本项目</w:t>
                  </w:r>
                  <w:r>
                    <w:rPr>
                      <w:rFonts w:hint="default"/>
                      <w:color w:val="auto"/>
                      <w:kern w:val="0"/>
                      <w:sz w:val="18"/>
                      <w:szCs w:val="18"/>
                      <w:highlight w:val="none"/>
                    </w:rPr>
                    <w:t>不涉及</w:t>
                  </w:r>
                  <w:r>
                    <w:rPr>
                      <w:rFonts w:hint="default"/>
                      <w:color w:val="auto"/>
                      <w:kern w:val="0"/>
                      <w:sz w:val="18"/>
                      <w:szCs w:val="18"/>
                      <w:highlight w:val="none"/>
                      <w:lang w:eastAsia="zh-CN"/>
                    </w:rPr>
                    <w:t>。</w:t>
                  </w:r>
                </w:p>
              </w:tc>
            </w:tr>
            <w:tr w14:paraId="70D2F79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79" w:type="pct"/>
                  <w:vMerge w:val="continue"/>
                  <w:tcBorders>
                    <w:tl2br w:val="nil"/>
                    <w:tr2bl w:val="nil"/>
                  </w:tcBorders>
                  <w:vAlign w:val="center"/>
                </w:tcPr>
                <w:p w14:paraId="76D17F02">
                  <w:pPr>
                    <w:widowControl/>
                    <w:jc w:val="left"/>
                    <w:rPr>
                      <w:color w:val="auto"/>
                      <w:kern w:val="0"/>
                      <w:sz w:val="18"/>
                      <w:szCs w:val="18"/>
                      <w:highlight w:val="none"/>
                    </w:rPr>
                  </w:pPr>
                </w:p>
              </w:tc>
              <w:tc>
                <w:tcPr>
                  <w:tcW w:w="179" w:type="pct"/>
                  <w:tcBorders>
                    <w:tl2br w:val="nil"/>
                    <w:tr2bl w:val="nil"/>
                  </w:tcBorders>
                  <w:vAlign w:val="center"/>
                </w:tcPr>
                <w:p w14:paraId="5E0266B6">
                  <w:pPr>
                    <w:widowControl/>
                    <w:jc w:val="center"/>
                    <w:rPr>
                      <w:color w:val="auto"/>
                      <w:kern w:val="0"/>
                      <w:sz w:val="18"/>
                      <w:szCs w:val="18"/>
                      <w:highlight w:val="none"/>
                    </w:rPr>
                  </w:pPr>
                  <w:r>
                    <w:rPr>
                      <w:color w:val="auto"/>
                      <w:kern w:val="0"/>
                      <w:sz w:val="18"/>
                      <w:szCs w:val="18"/>
                      <w:highlight w:val="none"/>
                    </w:rPr>
                    <w:t>风险防范</w:t>
                  </w:r>
                </w:p>
              </w:tc>
              <w:tc>
                <w:tcPr>
                  <w:tcW w:w="1440" w:type="pct"/>
                  <w:tcBorders>
                    <w:tl2br w:val="nil"/>
                    <w:tr2bl w:val="nil"/>
                  </w:tcBorders>
                  <w:vAlign w:val="center"/>
                </w:tcPr>
                <w:p w14:paraId="1D2B3F0B">
                  <w:pPr>
                    <w:widowControl/>
                    <w:rPr>
                      <w:color w:val="auto"/>
                      <w:kern w:val="0"/>
                      <w:sz w:val="18"/>
                      <w:szCs w:val="18"/>
                      <w:highlight w:val="none"/>
                    </w:rPr>
                  </w:pPr>
                  <w:r>
                    <w:rPr>
                      <w:color w:val="auto"/>
                      <w:kern w:val="0"/>
                      <w:sz w:val="18"/>
                      <w:szCs w:val="18"/>
                      <w:highlight w:val="none"/>
                    </w:rPr>
                    <w:t>基地目前尚未编制区域环境污染事故应急预案，未成立环境风险应急小组。</w:t>
                  </w:r>
                </w:p>
              </w:tc>
              <w:tc>
                <w:tcPr>
                  <w:tcW w:w="2176" w:type="pct"/>
                  <w:tcBorders>
                    <w:tl2br w:val="nil"/>
                    <w:tr2bl w:val="nil"/>
                  </w:tcBorders>
                  <w:vAlign w:val="center"/>
                </w:tcPr>
                <w:p w14:paraId="1F1E4431">
                  <w:pPr>
                    <w:widowControl/>
                    <w:rPr>
                      <w:color w:val="auto"/>
                      <w:kern w:val="0"/>
                      <w:sz w:val="18"/>
                      <w:szCs w:val="18"/>
                      <w:highlight w:val="none"/>
                    </w:rPr>
                  </w:pPr>
                  <w:r>
                    <w:rPr>
                      <w:color w:val="auto"/>
                      <w:kern w:val="0"/>
                      <w:sz w:val="18"/>
                      <w:szCs w:val="18"/>
                      <w:highlight w:val="none"/>
                    </w:rPr>
                    <w:t>以本次规划环评为契机，制定完善基地层面突发环境事件应急预案，成立环境风险应急小组，完善应急设施建设，并定期组织开展应急演练。</w:t>
                  </w:r>
                </w:p>
              </w:tc>
              <w:tc>
                <w:tcPr>
                  <w:tcW w:w="1024" w:type="pct"/>
                  <w:tcBorders>
                    <w:tl2br w:val="nil"/>
                    <w:tr2bl w:val="nil"/>
                  </w:tcBorders>
                  <w:vAlign w:val="center"/>
                </w:tcPr>
                <w:p w14:paraId="672AD24E">
                  <w:pPr>
                    <w:widowControl/>
                    <w:jc w:val="center"/>
                    <w:rPr>
                      <w:color w:val="auto"/>
                      <w:kern w:val="0"/>
                      <w:sz w:val="18"/>
                      <w:szCs w:val="18"/>
                      <w:highlight w:val="none"/>
                    </w:rPr>
                  </w:pPr>
                  <w:r>
                    <w:rPr>
                      <w:rFonts w:hint="default"/>
                      <w:color w:val="auto"/>
                      <w:kern w:val="0"/>
                      <w:sz w:val="18"/>
                      <w:szCs w:val="18"/>
                      <w:highlight w:val="none"/>
                    </w:rPr>
                    <w:t>本项目不涉及。</w:t>
                  </w:r>
                </w:p>
              </w:tc>
            </w:tr>
            <w:tr w14:paraId="05DEFD4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79" w:type="pct"/>
                  <w:tcBorders>
                    <w:tl2br w:val="nil"/>
                    <w:tr2bl w:val="nil"/>
                  </w:tcBorders>
                  <w:vAlign w:val="center"/>
                </w:tcPr>
                <w:p w14:paraId="687236D9">
                  <w:pPr>
                    <w:widowControl/>
                    <w:jc w:val="center"/>
                    <w:rPr>
                      <w:color w:val="auto"/>
                      <w:kern w:val="0"/>
                      <w:sz w:val="18"/>
                      <w:szCs w:val="18"/>
                      <w:highlight w:val="none"/>
                    </w:rPr>
                  </w:pPr>
                  <w:r>
                    <w:rPr>
                      <w:color w:val="auto"/>
                      <w:kern w:val="0"/>
                      <w:sz w:val="18"/>
                      <w:szCs w:val="18"/>
                      <w:highlight w:val="none"/>
                    </w:rPr>
                    <w:t>资源利用</w:t>
                  </w:r>
                </w:p>
              </w:tc>
              <w:tc>
                <w:tcPr>
                  <w:tcW w:w="179" w:type="pct"/>
                  <w:tcBorders>
                    <w:tl2br w:val="nil"/>
                    <w:tr2bl w:val="nil"/>
                  </w:tcBorders>
                  <w:vAlign w:val="center"/>
                </w:tcPr>
                <w:p w14:paraId="00AF0392">
                  <w:pPr>
                    <w:widowControl/>
                    <w:jc w:val="center"/>
                    <w:rPr>
                      <w:color w:val="auto"/>
                      <w:kern w:val="0"/>
                      <w:sz w:val="18"/>
                      <w:szCs w:val="18"/>
                      <w:highlight w:val="none"/>
                    </w:rPr>
                  </w:pPr>
                  <w:r>
                    <w:rPr>
                      <w:color w:val="auto"/>
                      <w:kern w:val="0"/>
                      <w:sz w:val="18"/>
                      <w:szCs w:val="18"/>
                      <w:highlight w:val="none"/>
                    </w:rPr>
                    <w:t>土地资源</w:t>
                  </w:r>
                </w:p>
              </w:tc>
              <w:tc>
                <w:tcPr>
                  <w:tcW w:w="1440" w:type="pct"/>
                  <w:tcBorders>
                    <w:tl2br w:val="nil"/>
                    <w:tr2bl w:val="nil"/>
                  </w:tcBorders>
                  <w:vAlign w:val="center"/>
                </w:tcPr>
                <w:p w14:paraId="55289842">
                  <w:pPr>
                    <w:widowControl/>
                    <w:rPr>
                      <w:color w:val="auto"/>
                      <w:kern w:val="0"/>
                      <w:sz w:val="18"/>
                      <w:szCs w:val="18"/>
                      <w:highlight w:val="none"/>
                    </w:rPr>
                  </w:pPr>
                  <w:r>
                    <w:rPr>
                      <w:color w:val="auto"/>
                      <w:kern w:val="0"/>
                      <w:sz w:val="18"/>
                      <w:szCs w:val="18"/>
                      <w:highlight w:val="none"/>
                    </w:rPr>
                    <w:t>基地内部原有工业用地与未经改造的村庄建设用地普通存在用地集约化不高的现象，老工业项目盲目圈地现象较为明显，土地集约利用率较低，单位面积土地产出率不高。</w:t>
                  </w:r>
                </w:p>
              </w:tc>
              <w:tc>
                <w:tcPr>
                  <w:tcW w:w="2176" w:type="pct"/>
                  <w:tcBorders>
                    <w:tl2br w:val="nil"/>
                    <w:tr2bl w:val="nil"/>
                  </w:tcBorders>
                  <w:vAlign w:val="center"/>
                </w:tcPr>
                <w:p w14:paraId="1165F9DE">
                  <w:pPr>
                    <w:widowControl/>
                    <w:rPr>
                      <w:color w:val="auto"/>
                      <w:kern w:val="0"/>
                      <w:sz w:val="18"/>
                      <w:szCs w:val="18"/>
                      <w:highlight w:val="none"/>
                    </w:rPr>
                  </w:pPr>
                  <w:r>
                    <w:rPr>
                      <w:color w:val="auto"/>
                      <w:kern w:val="0"/>
                      <w:sz w:val="18"/>
                      <w:szCs w:val="18"/>
                      <w:highlight w:val="none"/>
                    </w:rPr>
                    <w:t>在现状建设的基础上，加强老工业园区以及园中村等存量用地的改造利用，鼓励企业利用现有厂房、土地开展腾笼换鸟、提升改造，并利用地下空间等途径提高建筑容积率和密度，加强土地高效集约利用。同时，通过产业结构优化升级提高土地产出率，并进一步提升基地功能和环境品质。</w:t>
                  </w:r>
                </w:p>
              </w:tc>
              <w:tc>
                <w:tcPr>
                  <w:tcW w:w="1024" w:type="pct"/>
                  <w:tcBorders>
                    <w:tl2br w:val="nil"/>
                    <w:tr2bl w:val="nil"/>
                  </w:tcBorders>
                  <w:vAlign w:val="center"/>
                </w:tcPr>
                <w:p w14:paraId="102F6915">
                  <w:pPr>
                    <w:widowControl/>
                    <w:rPr>
                      <w:color w:val="auto"/>
                      <w:kern w:val="0"/>
                      <w:sz w:val="18"/>
                      <w:szCs w:val="18"/>
                      <w:highlight w:val="none"/>
                    </w:rPr>
                  </w:pPr>
                  <w:r>
                    <w:rPr>
                      <w:color w:val="auto"/>
                      <w:kern w:val="0"/>
                      <w:sz w:val="18"/>
                      <w:szCs w:val="18"/>
                      <w:highlight w:val="none"/>
                    </w:rPr>
                    <w:t>符合。本项目租用</w:t>
                  </w:r>
                  <w:r>
                    <w:rPr>
                      <w:rFonts w:hint="default"/>
                      <w:color w:val="auto"/>
                      <w:kern w:val="0"/>
                      <w:sz w:val="18"/>
                      <w:szCs w:val="18"/>
                      <w:highlight w:val="none"/>
                    </w:rPr>
                    <w:t>浙江东恒肽康医药有限公司现有厂房（位于仁和街道獐山北路9号东恒肽康医药园6幢9楼）进行研发，不新增用地。</w:t>
                  </w:r>
                </w:p>
              </w:tc>
            </w:tr>
          </w:tbl>
          <w:p w14:paraId="56A784E7">
            <w:pPr>
              <w:widowControl/>
              <w:spacing w:line="360" w:lineRule="auto"/>
              <w:ind w:firstLine="420" w:firstLineChars="200"/>
              <w:rPr>
                <w:b w:val="0"/>
                <w:bCs w:val="0"/>
                <w:color w:val="auto"/>
                <w:kern w:val="0"/>
                <w:szCs w:val="21"/>
                <w:highlight w:val="none"/>
              </w:rPr>
            </w:pPr>
            <w:r>
              <w:rPr>
                <w:b w:val="0"/>
                <w:bCs w:val="0"/>
                <w:color w:val="auto"/>
                <w:kern w:val="0"/>
                <w:szCs w:val="21"/>
                <w:highlight w:val="none"/>
              </w:rPr>
              <w:t>由上表可知，本项目的建设符合现有问题整改措施清单中的相关要求。</w:t>
            </w:r>
          </w:p>
          <w:p w14:paraId="73A27246">
            <w:pPr>
              <w:widowControl/>
              <w:spacing w:line="360" w:lineRule="auto"/>
              <w:ind w:firstLine="422" w:firstLineChars="200"/>
              <w:rPr>
                <w:rFonts w:hint="default" w:ascii="Times New Roman" w:hAnsi="Times New Roman" w:cs="Times New Roman"/>
                <w:b/>
                <w:bCs/>
                <w:color w:val="auto"/>
                <w:kern w:val="0"/>
                <w:szCs w:val="21"/>
                <w:highlight w:val="none"/>
              </w:rPr>
            </w:pPr>
            <w:r>
              <w:rPr>
                <w:rFonts w:hint="default" w:ascii="Times New Roman" w:hAnsi="Times New Roman" w:cs="Times New Roman"/>
                <w:b/>
                <w:bCs/>
                <w:color w:val="auto"/>
                <w:kern w:val="0"/>
                <w:szCs w:val="21"/>
                <w:highlight w:val="none"/>
              </w:rPr>
              <w:t>③</w:t>
            </w:r>
            <w:r>
              <w:rPr>
                <w:rFonts w:ascii="Times New Roman" w:hAnsi="Times New Roman" w:cs="Times New Roman"/>
                <w:b/>
                <w:bCs/>
                <w:color w:val="auto"/>
                <w:kern w:val="0"/>
                <w:szCs w:val="21"/>
                <w:highlight w:val="none"/>
              </w:rPr>
              <w:t>污染物排放总量管控限值清单</w:t>
            </w:r>
          </w:p>
          <w:p w14:paraId="1707C701">
            <w:pPr>
              <w:autoSpaceDE w:val="0"/>
              <w:autoSpaceDN w:val="0"/>
              <w:spacing w:line="360" w:lineRule="auto"/>
              <w:ind w:firstLine="420" w:firstLineChars="200"/>
              <w:rPr>
                <w:rFonts w:hint="default" w:eastAsia="宋体"/>
                <w:color w:val="auto"/>
                <w:kern w:val="0"/>
                <w:highlight w:val="none"/>
                <w:lang w:val="en-US" w:eastAsia="zh-CN"/>
              </w:rPr>
            </w:pPr>
            <w:r>
              <w:rPr>
                <w:rFonts w:hint="default"/>
                <w:color w:val="auto"/>
                <w:kern w:val="0"/>
                <w:highlight w:val="none"/>
                <w:lang w:val="en-US" w:eastAsia="zh-CN"/>
              </w:rPr>
              <w:t>项目与</w:t>
            </w:r>
            <w:r>
              <w:rPr>
                <w:color w:val="auto"/>
                <w:kern w:val="0"/>
                <w:highlight w:val="none"/>
              </w:rPr>
              <w:t>污染物排放总量管控限值清单符合性分析</w:t>
            </w:r>
            <w:r>
              <w:rPr>
                <w:rFonts w:hint="default"/>
                <w:color w:val="auto"/>
                <w:kern w:val="0"/>
                <w:highlight w:val="none"/>
                <w:lang w:val="en-US" w:eastAsia="zh-CN"/>
              </w:rPr>
              <w:t>如表1-4所示。</w:t>
            </w:r>
          </w:p>
          <w:p w14:paraId="33955EC2">
            <w:pPr>
              <w:keepNext/>
              <w:keepLines/>
              <w:pageBreakBefore w:val="0"/>
              <w:widowControl w:val="0"/>
              <w:numPr>
                <w:ilvl w:val="0"/>
                <w:numId w:val="1"/>
              </w:numPr>
              <w:tabs>
                <w:tab w:val="left" w:pos="0"/>
              </w:tabs>
              <w:kinsoku/>
              <w:wordWrap/>
              <w:overflowPunct/>
              <w:topLinePunct w:val="0"/>
              <w:autoSpaceDE/>
              <w:autoSpaceDN/>
              <w:bidi w:val="0"/>
              <w:adjustRightInd/>
              <w:snapToGrid/>
              <w:spacing w:line="360" w:lineRule="auto"/>
              <w:ind w:left="0" w:hanging="367" w:hangingChars="175"/>
              <w:jc w:val="center"/>
              <w:textAlignment w:val="auto"/>
              <w:outlineLvl w:val="3"/>
              <w:rPr>
                <w:rFonts w:hint="default" w:ascii="Times New Roman" w:hAnsi="Times New Roman" w:eastAsia="黑体" w:cs="Times New Roman"/>
                <w:b w:val="0"/>
                <w:bCs w:val="0"/>
                <w:color w:val="auto"/>
                <w:szCs w:val="21"/>
                <w:highlight w:val="none"/>
                <w:lang w:val="zh-CN"/>
              </w:rPr>
            </w:pPr>
            <w:r>
              <w:rPr>
                <w:rFonts w:hint="default" w:ascii="Times New Roman" w:hAnsi="Times New Roman" w:eastAsia="黑体" w:cs="Times New Roman"/>
                <w:b w:val="0"/>
                <w:bCs w:val="0"/>
                <w:color w:val="auto"/>
                <w:szCs w:val="21"/>
                <w:highlight w:val="none"/>
                <w:lang w:val="zh-CN"/>
              </w:rPr>
              <w:t>污染物排放总量管控限值清单及符合性分析</w:t>
            </w:r>
          </w:p>
          <w:tbl>
            <w:tblPr>
              <w:tblStyle w:val="24"/>
              <w:tblW w:w="5000" w:type="pct"/>
              <w:tblInd w:w="-1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246"/>
              <w:gridCol w:w="503"/>
              <w:gridCol w:w="1122"/>
              <w:gridCol w:w="843"/>
              <w:gridCol w:w="1268"/>
              <w:gridCol w:w="843"/>
              <w:gridCol w:w="1271"/>
              <w:gridCol w:w="993"/>
              <w:gridCol w:w="746"/>
            </w:tblGrid>
            <w:tr w14:paraId="5CB552F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4" w:hRule="atLeast"/>
                <w:tblHeader/>
              </w:trPr>
              <w:tc>
                <w:tcPr>
                  <w:tcW w:w="3889" w:type="pct"/>
                  <w:gridSpan w:val="7"/>
                  <w:tcBorders>
                    <w:tl2br w:val="nil"/>
                    <w:tr2bl w:val="nil"/>
                  </w:tcBorders>
                  <w:vAlign w:val="center"/>
                </w:tcPr>
                <w:p w14:paraId="046107E8">
                  <w:pPr>
                    <w:ind w:left="-105" w:leftChars="-50" w:right="-105" w:rightChars="-50"/>
                    <w:jc w:val="center"/>
                    <w:rPr>
                      <w:color w:val="auto"/>
                      <w:sz w:val="18"/>
                      <w:szCs w:val="18"/>
                      <w:highlight w:val="none"/>
                    </w:rPr>
                  </w:pPr>
                  <w:r>
                    <w:rPr>
                      <w:color w:val="auto"/>
                      <w:sz w:val="18"/>
                      <w:szCs w:val="18"/>
                      <w:highlight w:val="none"/>
                    </w:rPr>
                    <w:t>具体清单内容</w:t>
                  </w:r>
                </w:p>
              </w:tc>
              <w:tc>
                <w:tcPr>
                  <w:tcW w:w="634" w:type="pct"/>
                  <w:vMerge w:val="restart"/>
                  <w:tcBorders>
                    <w:tl2br w:val="nil"/>
                    <w:tr2bl w:val="nil"/>
                  </w:tcBorders>
                  <w:vAlign w:val="center"/>
                </w:tcPr>
                <w:p w14:paraId="1978F114">
                  <w:pPr>
                    <w:ind w:left="-105" w:leftChars="-50" w:right="-105" w:rightChars="-50"/>
                    <w:jc w:val="center"/>
                    <w:rPr>
                      <w:snapToGrid w:val="0"/>
                      <w:color w:val="auto"/>
                      <w:sz w:val="18"/>
                      <w:szCs w:val="18"/>
                      <w:highlight w:val="none"/>
                    </w:rPr>
                  </w:pPr>
                  <w:r>
                    <w:rPr>
                      <w:color w:val="auto"/>
                      <w:sz w:val="18"/>
                      <w:szCs w:val="18"/>
                      <w:highlight w:val="none"/>
                    </w:rPr>
                    <w:t>本项目情况</w:t>
                  </w:r>
                </w:p>
              </w:tc>
              <w:tc>
                <w:tcPr>
                  <w:tcW w:w="476" w:type="pct"/>
                  <w:vMerge w:val="restart"/>
                  <w:tcBorders>
                    <w:tl2br w:val="nil"/>
                    <w:tr2bl w:val="nil"/>
                  </w:tcBorders>
                  <w:vAlign w:val="center"/>
                </w:tcPr>
                <w:p w14:paraId="4FC53CAB">
                  <w:pPr>
                    <w:ind w:left="-105" w:leftChars="-50" w:right="-105" w:rightChars="-50"/>
                    <w:jc w:val="center"/>
                    <w:rPr>
                      <w:snapToGrid w:val="0"/>
                      <w:color w:val="auto"/>
                      <w:sz w:val="18"/>
                      <w:szCs w:val="18"/>
                      <w:highlight w:val="none"/>
                    </w:rPr>
                  </w:pPr>
                  <w:r>
                    <w:rPr>
                      <w:color w:val="auto"/>
                      <w:sz w:val="18"/>
                      <w:szCs w:val="18"/>
                      <w:highlight w:val="none"/>
                    </w:rPr>
                    <w:t>符合性</w:t>
                  </w:r>
                </w:p>
              </w:tc>
            </w:tr>
            <w:tr w14:paraId="0B47582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4" w:hRule="atLeast"/>
                <w:tblHeader/>
              </w:trPr>
              <w:tc>
                <w:tcPr>
                  <w:tcW w:w="1194" w:type="pct"/>
                  <w:gridSpan w:val="3"/>
                  <w:vMerge w:val="restart"/>
                  <w:tcBorders>
                    <w:tl2br w:val="nil"/>
                    <w:tr2bl w:val="nil"/>
                  </w:tcBorders>
                  <w:vAlign w:val="center"/>
                </w:tcPr>
                <w:p w14:paraId="333DE98A">
                  <w:pPr>
                    <w:ind w:left="-105" w:leftChars="-50" w:right="-105" w:rightChars="-50"/>
                    <w:jc w:val="center"/>
                    <w:rPr>
                      <w:color w:val="auto"/>
                      <w:sz w:val="18"/>
                      <w:szCs w:val="18"/>
                      <w:highlight w:val="none"/>
                    </w:rPr>
                  </w:pPr>
                  <w:r>
                    <w:rPr>
                      <w:color w:val="auto"/>
                      <w:sz w:val="18"/>
                      <w:szCs w:val="18"/>
                      <w:highlight w:val="none"/>
                    </w:rPr>
                    <w:t>规划期</w:t>
                  </w:r>
                </w:p>
              </w:tc>
              <w:tc>
                <w:tcPr>
                  <w:tcW w:w="1347" w:type="pct"/>
                  <w:gridSpan w:val="2"/>
                  <w:tcBorders>
                    <w:tl2br w:val="nil"/>
                    <w:tr2bl w:val="nil"/>
                  </w:tcBorders>
                  <w:vAlign w:val="center"/>
                </w:tcPr>
                <w:p w14:paraId="693511FF">
                  <w:pPr>
                    <w:ind w:left="-105" w:leftChars="-50" w:right="-105" w:rightChars="-50"/>
                    <w:jc w:val="center"/>
                    <w:rPr>
                      <w:color w:val="auto"/>
                      <w:sz w:val="18"/>
                      <w:szCs w:val="18"/>
                      <w:highlight w:val="none"/>
                    </w:rPr>
                  </w:pPr>
                  <w:r>
                    <w:rPr>
                      <w:color w:val="auto"/>
                      <w:sz w:val="18"/>
                      <w:szCs w:val="18"/>
                      <w:highlight w:val="none"/>
                    </w:rPr>
                    <w:t>规划近期</w:t>
                  </w:r>
                </w:p>
              </w:tc>
              <w:tc>
                <w:tcPr>
                  <w:tcW w:w="1348" w:type="pct"/>
                  <w:gridSpan w:val="2"/>
                  <w:tcBorders>
                    <w:tl2br w:val="nil"/>
                    <w:tr2bl w:val="nil"/>
                  </w:tcBorders>
                  <w:vAlign w:val="center"/>
                </w:tcPr>
                <w:p w14:paraId="34004CB0">
                  <w:pPr>
                    <w:ind w:left="-105" w:leftChars="-50" w:right="-105" w:rightChars="-50"/>
                    <w:jc w:val="center"/>
                    <w:rPr>
                      <w:color w:val="auto"/>
                      <w:sz w:val="18"/>
                      <w:szCs w:val="18"/>
                      <w:highlight w:val="none"/>
                    </w:rPr>
                  </w:pPr>
                  <w:r>
                    <w:rPr>
                      <w:color w:val="auto"/>
                      <w:sz w:val="18"/>
                      <w:szCs w:val="18"/>
                      <w:highlight w:val="none"/>
                    </w:rPr>
                    <w:t>规划远期</w:t>
                  </w:r>
                </w:p>
              </w:tc>
              <w:tc>
                <w:tcPr>
                  <w:tcW w:w="634" w:type="pct"/>
                  <w:vMerge w:val="continue"/>
                  <w:tcBorders>
                    <w:tl2br w:val="nil"/>
                    <w:tr2bl w:val="nil"/>
                  </w:tcBorders>
                  <w:vAlign w:val="center"/>
                </w:tcPr>
                <w:p w14:paraId="0A8AC8BE">
                  <w:pPr>
                    <w:ind w:left="-105" w:leftChars="-50" w:right="-105" w:rightChars="-50"/>
                    <w:jc w:val="center"/>
                    <w:rPr>
                      <w:color w:val="auto"/>
                      <w:sz w:val="18"/>
                      <w:szCs w:val="18"/>
                      <w:highlight w:val="none"/>
                    </w:rPr>
                  </w:pPr>
                </w:p>
              </w:tc>
              <w:tc>
                <w:tcPr>
                  <w:tcW w:w="476" w:type="pct"/>
                  <w:vMerge w:val="continue"/>
                  <w:tcBorders>
                    <w:tl2br w:val="nil"/>
                    <w:tr2bl w:val="nil"/>
                  </w:tcBorders>
                  <w:vAlign w:val="center"/>
                </w:tcPr>
                <w:p w14:paraId="0943DB79">
                  <w:pPr>
                    <w:ind w:left="-105" w:leftChars="-50" w:right="-105" w:rightChars="-50"/>
                    <w:jc w:val="center"/>
                    <w:rPr>
                      <w:color w:val="auto"/>
                      <w:sz w:val="18"/>
                      <w:szCs w:val="18"/>
                      <w:highlight w:val="none"/>
                    </w:rPr>
                  </w:pPr>
                </w:p>
              </w:tc>
            </w:tr>
            <w:tr w14:paraId="5F4F332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4" w:hRule="atLeast"/>
                <w:tblHeader/>
              </w:trPr>
              <w:tc>
                <w:tcPr>
                  <w:tcW w:w="1194" w:type="pct"/>
                  <w:gridSpan w:val="3"/>
                  <w:vMerge w:val="continue"/>
                  <w:tcBorders>
                    <w:tl2br w:val="nil"/>
                    <w:tr2bl w:val="nil"/>
                  </w:tcBorders>
                  <w:vAlign w:val="center"/>
                </w:tcPr>
                <w:p w14:paraId="4B0D5D35">
                  <w:pPr>
                    <w:ind w:left="-105" w:leftChars="-50" w:right="-105" w:rightChars="-50"/>
                    <w:jc w:val="center"/>
                    <w:rPr>
                      <w:color w:val="auto"/>
                      <w:sz w:val="18"/>
                      <w:szCs w:val="18"/>
                      <w:highlight w:val="none"/>
                    </w:rPr>
                  </w:pPr>
                </w:p>
              </w:tc>
              <w:tc>
                <w:tcPr>
                  <w:tcW w:w="538" w:type="pct"/>
                  <w:tcBorders>
                    <w:tl2br w:val="nil"/>
                    <w:tr2bl w:val="nil"/>
                  </w:tcBorders>
                  <w:vAlign w:val="center"/>
                </w:tcPr>
                <w:p w14:paraId="5ABD84F5">
                  <w:pPr>
                    <w:ind w:left="-105" w:leftChars="-50" w:right="-105" w:rightChars="-50"/>
                    <w:jc w:val="center"/>
                    <w:rPr>
                      <w:color w:val="auto"/>
                      <w:sz w:val="18"/>
                      <w:szCs w:val="18"/>
                      <w:highlight w:val="none"/>
                    </w:rPr>
                  </w:pPr>
                  <w:r>
                    <w:rPr>
                      <w:color w:val="auto"/>
                      <w:sz w:val="18"/>
                      <w:szCs w:val="18"/>
                      <w:highlight w:val="none"/>
                    </w:rPr>
                    <w:t>总量</w:t>
                  </w:r>
                </w:p>
              </w:tc>
              <w:tc>
                <w:tcPr>
                  <w:tcW w:w="808" w:type="pct"/>
                  <w:tcBorders>
                    <w:tl2br w:val="nil"/>
                    <w:tr2bl w:val="nil"/>
                  </w:tcBorders>
                  <w:vAlign w:val="center"/>
                </w:tcPr>
                <w:p w14:paraId="33A28884">
                  <w:pPr>
                    <w:ind w:left="-105" w:leftChars="-50" w:right="-105" w:rightChars="-50"/>
                    <w:jc w:val="center"/>
                    <w:rPr>
                      <w:color w:val="auto"/>
                      <w:sz w:val="18"/>
                      <w:szCs w:val="18"/>
                      <w:highlight w:val="none"/>
                    </w:rPr>
                  </w:pPr>
                  <w:r>
                    <w:rPr>
                      <w:color w:val="auto"/>
                      <w:sz w:val="18"/>
                      <w:szCs w:val="18"/>
                      <w:highlight w:val="none"/>
                    </w:rPr>
                    <w:t>环境质量变化趋势，能否达环境质量底线</w:t>
                  </w:r>
                </w:p>
              </w:tc>
              <w:tc>
                <w:tcPr>
                  <w:tcW w:w="538" w:type="pct"/>
                  <w:tcBorders>
                    <w:tl2br w:val="nil"/>
                    <w:tr2bl w:val="nil"/>
                  </w:tcBorders>
                  <w:vAlign w:val="center"/>
                </w:tcPr>
                <w:p w14:paraId="7D5BFDCD">
                  <w:pPr>
                    <w:ind w:left="-105" w:leftChars="-50" w:right="-105" w:rightChars="-50"/>
                    <w:jc w:val="center"/>
                    <w:rPr>
                      <w:color w:val="auto"/>
                      <w:sz w:val="18"/>
                      <w:szCs w:val="18"/>
                      <w:highlight w:val="none"/>
                    </w:rPr>
                  </w:pPr>
                  <w:r>
                    <w:rPr>
                      <w:color w:val="auto"/>
                      <w:sz w:val="18"/>
                      <w:szCs w:val="18"/>
                      <w:highlight w:val="none"/>
                    </w:rPr>
                    <w:t>总量</w:t>
                  </w:r>
                </w:p>
              </w:tc>
              <w:tc>
                <w:tcPr>
                  <w:tcW w:w="809" w:type="pct"/>
                  <w:tcBorders>
                    <w:tl2br w:val="nil"/>
                    <w:tr2bl w:val="nil"/>
                  </w:tcBorders>
                  <w:vAlign w:val="center"/>
                </w:tcPr>
                <w:p w14:paraId="4D24971C">
                  <w:pPr>
                    <w:ind w:left="-105" w:leftChars="-50" w:right="-105" w:rightChars="-50"/>
                    <w:jc w:val="center"/>
                    <w:rPr>
                      <w:color w:val="auto"/>
                      <w:sz w:val="18"/>
                      <w:szCs w:val="18"/>
                      <w:highlight w:val="none"/>
                    </w:rPr>
                  </w:pPr>
                  <w:r>
                    <w:rPr>
                      <w:color w:val="auto"/>
                      <w:sz w:val="18"/>
                      <w:szCs w:val="18"/>
                      <w:highlight w:val="none"/>
                    </w:rPr>
                    <w:t>环境质量变化趋势，能否达环境质量底线</w:t>
                  </w:r>
                </w:p>
              </w:tc>
              <w:tc>
                <w:tcPr>
                  <w:tcW w:w="634" w:type="pct"/>
                  <w:vMerge w:val="continue"/>
                  <w:tcBorders>
                    <w:tl2br w:val="nil"/>
                    <w:tr2bl w:val="nil"/>
                  </w:tcBorders>
                  <w:vAlign w:val="center"/>
                </w:tcPr>
                <w:p w14:paraId="0FC5EDE8">
                  <w:pPr>
                    <w:ind w:left="-105" w:leftChars="-50" w:right="-105" w:rightChars="-50"/>
                    <w:jc w:val="center"/>
                    <w:rPr>
                      <w:color w:val="auto"/>
                      <w:sz w:val="18"/>
                      <w:szCs w:val="18"/>
                      <w:highlight w:val="none"/>
                    </w:rPr>
                  </w:pPr>
                </w:p>
              </w:tc>
              <w:tc>
                <w:tcPr>
                  <w:tcW w:w="476" w:type="pct"/>
                  <w:vMerge w:val="continue"/>
                  <w:tcBorders>
                    <w:tl2br w:val="nil"/>
                    <w:tr2bl w:val="nil"/>
                  </w:tcBorders>
                  <w:vAlign w:val="center"/>
                </w:tcPr>
                <w:p w14:paraId="3744A3DD">
                  <w:pPr>
                    <w:ind w:left="-105" w:leftChars="-50" w:right="-105" w:rightChars="-50"/>
                    <w:jc w:val="center"/>
                    <w:rPr>
                      <w:color w:val="auto"/>
                      <w:sz w:val="18"/>
                      <w:szCs w:val="18"/>
                      <w:highlight w:val="none"/>
                    </w:rPr>
                  </w:pPr>
                </w:p>
              </w:tc>
            </w:tr>
            <w:tr w14:paraId="66D38FE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57" w:type="pct"/>
                  <w:vMerge w:val="restart"/>
                  <w:tcBorders>
                    <w:tl2br w:val="nil"/>
                    <w:tr2bl w:val="nil"/>
                  </w:tcBorders>
                  <w:vAlign w:val="center"/>
                </w:tcPr>
                <w:p w14:paraId="7C6AE94F">
                  <w:pPr>
                    <w:ind w:left="-105" w:leftChars="-50" w:right="-105" w:rightChars="-50"/>
                    <w:jc w:val="center"/>
                    <w:rPr>
                      <w:color w:val="auto"/>
                      <w:sz w:val="18"/>
                      <w:szCs w:val="18"/>
                      <w:highlight w:val="none"/>
                    </w:rPr>
                  </w:pPr>
                  <w:r>
                    <w:rPr>
                      <w:color w:val="auto"/>
                      <w:sz w:val="18"/>
                      <w:szCs w:val="18"/>
                      <w:highlight w:val="none"/>
                    </w:rPr>
                    <w:t>水污染物总量管控限值</w:t>
                  </w:r>
                </w:p>
              </w:tc>
              <w:tc>
                <w:tcPr>
                  <w:tcW w:w="320" w:type="pct"/>
                  <w:vMerge w:val="restart"/>
                  <w:tcBorders>
                    <w:tl2br w:val="nil"/>
                    <w:tr2bl w:val="nil"/>
                  </w:tcBorders>
                  <w:vAlign w:val="center"/>
                </w:tcPr>
                <w:p w14:paraId="2C858319">
                  <w:pPr>
                    <w:ind w:left="-105" w:leftChars="-50" w:right="-105" w:rightChars="-50"/>
                    <w:jc w:val="center"/>
                    <w:rPr>
                      <w:color w:val="auto"/>
                      <w:sz w:val="18"/>
                      <w:szCs w:val="18"/>
                      <w:highlight w:val="none"/>
                      <w:vertAlign w:val="subscript"/>
                    </w:rPr>
                  </w:pPr>
                  <w:r>
                    <w:rPr>
                      <w:color w:val="auto"/>
                      <w:sz w:val="18"/>
                      <w:szCs w:val="18"/>
                      <w:highlight w:val="none"/>
                    </w:rPr>
                    <w:t>COD</w:t>
                  </w:r>
                  <w:r>
                    <w:rPr>
                      <w:color w:val="auto"/>
                      <w:sz w:val="18"/>
                      <w:szCs w:val="18"/>
                      <w:highlight w:val="none"/>
                      <w:vertAlign w:val="subscript"/>
                    </w:rPr>
                    <w:t>Cr</w:t>
                  </w:r>
                </w:p>
                <w:p w14:paraId="19031241">
                  <w:pPr>
                    <w:ind w:left="-105" w:leftChars="-50" w:right="-105" w:rightChars="-50"/>
                    <w:jc w:val="center"/>
                    <w:rPr>
                      <w:color w:val="auto"/>
                      <w:sz w:val="18"/>
                      <w:szCs w:val="18"/>
                      <w:highlight w:val="none"/>
                    </w:rPr>
                  </w:pPr>
                  <w:r>
                    <w:rPr>
                      <w:color w:val="auto"/>
                      <w:sz w:val="18"/>
                      <w:szCs w:val="18"/>
                      <w:highlight w:val="none"/>
                    </w:rPr>
                    <w:t>(t/a)</w:t>
                  </w:r>
                </w:p>
              </w:tc>
              <w:tc>
                <w:tcPr>
                  <w:tcW w:w="715" w:type="pct"/>
                  <w:tcBorders>
                    <w:tl2br w:val="nil"/>
                    <w:tr2bl w:val="nil"/>
                  </w:tcBorders>
                  <w:vAlign w:val="center"/>
                </w:tcPr>
                <w:p w14:paraId="25DFF59F">
                  <w:pPr>
                    <w:ind w:left="-105" w:leftChars="-50" w:right="-105" w:rightChars="-50"/>
                    <w:jc w:val="center"/>
                    <w:rPr>
                      <w:color w:val="auto"/>
                      <w:sz w:val="18"/>
                      <w:szCs w:val="18"/>
                      <w:highlight w:val="none"/>
                    </w:rPr>
                  </w:pPr>
                  <w:r>
                    <w:rPr>
                      <w:color w:val="auto"/>
                      <w:sz w:val="18"/>
                      <w:szCs w:val="18"/>
                      <w:highlight w:val="none"/>
                    </w:rPr>
                    <w:t>现状排放量</w:t>
                  </w:r>
                </w:p>
              </w:tc>
              <w:tc>
                <w:tcPr>
                  <w:tcW w:w="538" w:type="pct"/>
                  <w:tcBorders>
                    <w:tl2br w:val="nil"/>
                    <w:tr2bl w:val="nil"/>
                  </w:tcBorders>
                  <w:vAlign w:val="center"/>
                </w:tcPr>
                <w:p w14:paraId="1BDE9C78">
                  <w:pPr>
                    <w:ind w:left="-105" w:leftChars="-50" w:right="-105" w:rightChars="-50"/>
                    <w:jc w:val="center"/>
                    <w:rPr>
                      <w:color w:val="auto"/>
                      <w:sz w:val="18"/>
                      <w:szCs w:val="18"/>
                      <w:highlight w:val="none"/>
                    </w:rPr>
                  </w:pPr>
                  <w:r>
                    <w:rPr>
                      <w:color w:val="auto"/>
                      <w:sz w:val="18"/>
                      <w:szCs w:val="18"/>
                      <w:highlight w:val="none"/>
                    </w:rPr>
                    <w:t>178.74</w:t>
                  </w:r>
                </w:p>
              </w:tc>
              <w:tc>
                <w:tcPr>
                  <w:tcW w:w="808" w:type="pct"/>
                  <w:vMerge w:val="restart"/>
                  <w:tcBorders>
                    <w:tl2br w:val="nil"/>
                    <w:tr2bl w:val="nil"/>
                  </w:tcBorders>
                  <w:vAlign w:val="center"/>
                </w:tcPr>
                <w:p w14:paraId="46257AEA">
                  <w:pPr>
                    <w:ind w:left="-105" w:leftChars="-50" w:right="-105" w:rightChars="-50"/>
                    <w:jc w:val="center"/>
                    <w:rPr>
                      <w:color w:val="auto"/>
                      <w:sz w:val="18"/>
                      <w:szCs w:val="18"/>
                      <w:highlight w:val="none"/>
                    </w:rPr>
                  </w:pPr>
                  <w:r>
                    <w:rPr>
                      <w:color w:val="auto"/>
                      <w:sz w:val="18"/>
                      <w:szCs w:val="18"/>
                      <w:highlight w:val="none"/>
                    </w:rPr>
                    <w:t>在持续推进“五水共治”基础上，规划区域水环境质量呈变好趋势，能达到环境质量底线要求</w:t>
                  </w:r>
                </w:p>
              </w:tc>
              <w:tc>
                <w:tcPr>
                  <w:tcW w:w="538" w:type="pct"/>
                  <w:tcBorders>
                    <w:tl2br w:val="nil"/>
                    <w:tr2bl w:val="nil"/>
                  </w:tcBorders>
                  <w:vAlign w:val="center"/>
                </w:tcPr>
                <w:p w14:paraId="26E93C40">
                  <w:pPr>
                    <w:ind w:left="-105" w:leftChars="-50" w:right="-105" w:rightChars="-50"/>
                    <w:jc w:val="center"/>
                    <w:rPr>
                      <w:color w:val="auto"/>
                      <w:sz w:val="18"/>
                      <w:szCs w:val="18"/>
                      <w:highlight w:val="none"/>
                    </w:rPr>
                  </w:pPr>
                  <w:r>
                    <w:rPr>
                      <w:color w:val="auto"/>
                      <w:sz w:val="18"/>
                      <w:szCs w:val="18"/>
                      <w:highlight w:val="none"/>
                    </w:rPr>
                    <w:t>178.74</w:t>
                  </w:r>
                </w:p>
              </w:tc>
              <w:tc>
                <w:tcPr>
                  <w:tcW w:w="809" w:type="pct"/>
                  <w:vMerge w:val="restart"/>
                  <w:tcBorders>
                    <w:tl2br w:val="nil"/>
                    <w:tr2bl w:val="nil"/>
                  </w:tcBorders>
                  <w:vAlign w:val="center"/>
                </w:tcPr>
                <w:p w14:paraId="5CB92389">
                  <w:pPr>
                    <w:ind w:left="-105" w:leftChars="-50" w:right="-105" w:rightChars="-50"/>
                    <w:jc w:val="center"/>
                    <w:rPr>
                      <w:color w:val="auto"/>
                      <w:sz w:val="18"/>
                      <w:szCs w:val="18"/>
                      <w:highlight w:val="none"/>
                    </w:rPr>
                  </w:pPr>
                  <w:r>
                    <w:rPr>
                      <w:color w:val="auto"/>
                      <w:sz w:val="18"/>
                      <w:szCs w:val="18"/>
                      <w:highlight w:val="none"/>
                    </w:rPr>
                    <w:t>在持续推进“五水共治”基础上，规划区域水环境质量呈变好趋势，能达到环境质量底线要求</w:t>
                  </w:r>
                </w:p>
              </w:tc>
              <w:tc>
                <w:tcPr>
                  <w:tcW w:w="634" w:type="pct"/>
                  <w:vMerge w:val="restart"/>
                  <w:tcBorders>
                    <w:tl2br w:val="nil"/>
                    <w:tr2bl w:val="nil"/>
                  </w:tcBorders>
                  <w:vAlign w:val="center"/>
                </w:tcPr>
                <w:p w14:paraId="45953921">
                  <w:pPr>
                    <w:ind w:left="-105" w:leftChars="-50" w:right="-105" w:rightChars="-50"/>
                    <w:rPr>
                      <w:color w:val="auto"/>
                      <w:sz w:val="18"/>
                      <w:szCs w:val="18"/>
                      <w:highlight w:val="none"/>
                    </w:rPr>
                  </w:pPr>
                  <w:r>
                    <w:rPr>
                      <w:color w:val="auto"/>
                      <w:sz w:val="18"/>
                      <w:szCs w:val="18"/>
                      <w:highlight w:val="none"/>
                    </w:rPr>
                    <w:t>本项目</w:t>
                  </w:r>
                  <w:r>
                    <w:rPr>
                      <w:rFonts w:hint="default"/>
                      <w:color w:val="auto"/>
                      <w:sz w:val="18"/>
                      <w:szCs w:val="18"/>
                      <w:highlight w:val="none"/>
                      <w:lang w:val="en-US" w:eastAsia="zh-CN"/>
                    </w:rPr>
                    <w:t>为研发项目</w:t>
                  </w:r>
                  <w:r>
                    <w:rPr>
                      <w:rFonts w:hint="default"/>
                      <w:color w:val="auto"/>
                      <w:sz w:val="18"/>
                      <w:szCs w:val="18"/>
                      <w:highlight w:val="none"/>
                    </w:rPr>
                    <w:t>，</w:t>
                  </w:r>
                  <w:r>
                    <w:rPr>
                      <w:color w:val="auto"/>
                      <w:sz w:val="18"/>
                      <w:szCs w:val="18"/>
                      <w:highlight w:val="none"/>
                    </w:rPr>
                    <w:t>废水、废气污染物排放量及危险废物产生量均不大，不会突破区域污染物排放总量管控限值。</w:t>
                  </w:r>
                </w:p>
              </w:tc>
              <w:tc>
                <w:tcPr>
                  <w:tcW w:w="476" w:type="pct"/>
                  <w:vMerge w:val="restart"/>
                  <w:tcBorders>
                    <w:tl2br w:val="nil"/>
                    <w:tr2bl w:val="nil"/>
                  </w:tcBorders>
                  <w:vAlign w:val="center"/>
                </w:tcPr>
                <w:p w14:paraId="08BD7238">
                  <w:pPr>
                    <w:ind w:left="-105" w:leftChars="-50" w:right="-105" w:rightChars="-50"/>
                    <w:jc w:val="center"/>
                    <w:rPr>
                      <w:color w:val="auto"/>
                      <w:sz w:val="18"/>
                      <w:szCs w:val="18"/>
                      <w:highlight w:val="none"/>
                    </w:rPr>
                  </w:pPr>
                  <w:r>
                    <w:rPr>
                      <w:color w:val="auto"/>
                      <w:sz w:val="18"/>
                      <w:szCs w:val="18"/>
                      <w:highlight w:val="none"/>
                    </w:rPr>
                    <w:t>符合</w:t>
                  </w:r>
                </w:p>
              </w:tc>
            </w:tr>
            <w:tr w14:paraId="4A033D2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57" w:type="pct"/>
                  <w:vMerge w:val="continue"/>
                  <w:tcBorders>
                    <w:tl2br w:val="nil"/>
                    <w:tr2bl w:val="nil"/>
                  </w:tcBorders>
                  <w:vAlign w:val="center"/>
                </w:tcPr>
                <w:p w14:paraId="5D448EA5">
                  <w:pPr>
                    <w:ind w:left="-105" w:leftChars="-50" w:right="-105" w:rightChars="-50"/>
                    <w:jc w:val="center"/>
                    <w:rPr>
                      <w:color w:val="auto"/>
                      <w:sz w:val="18"/>
                      <w:szCs w:val="18"/>
                      <w:highlight w:val="none"/>
                    </w:rPr>
                  </w:pPr>
                </w:p>
              </w:tc>
              <w:tc>
                <w:tcPr>
                  <w:tcW w:w="320" w:type="pct"/>
                  <w:vMerge w:val="continue"/>
                  <w:tcBorders>
                    <w:tl2br w:val="nil"/>
                    <w:tr2bl w:val="nil"/>
                  </w:tcBorders>
                  <w:vAlign w:val="center"/>
                </w:tcPr>
                <w:p w14:paraId="2A214834">
                  <w:pPr>
                    <w:ind w:left="-105" w:leftChars="-50" w:right="-105" w:rightChars="-50"/>
                    <w:jc w:val="center"/>
                    <w:rPr>
                      <w:color w:val="auto"/>
                      <w:sz w:val="18"/>
                      <w:szCs w:val="18"/>
                      <w:highlight w:val="none"/>
                    </w:rPr>
                  </w:pPr>
                </w:p>
              </w:tc>
              <w:tc>
                <w:tcPr>
                  <w:tcW w:w="715" w:type="pct"/>
                  <w:tcBorders>
                    <w:tl2br w:val="nil"/>
                    <w:tr2bl w:val="nil"/>
                  </w:tcBorders>
                  <w:vAlign w:val="center"/>
                </w:tcPr>
                <w:p w14:paraId="59DBBAD2">
                  <w:pPr>
                    <w:ind w:left="-105" w:leftChars="-50" w:right="-105" w:rightChars="-50"/>
                    <w:jc w:val="center"/>
                    <w:rPr>
                      <w:color w:val="auto"/>
                      <w:sz w:val="18"/>
                      <w:szCs w:val="18"/>
                      <w:highlight w:val="none"/>
                    </w:rPr>
                  </w:pPr>
                  <w:r>
                    <w:rPr>
                      <w:color w:val="auto"/>
                      <w:sz w:val="18"/>
                      <w:szCs w:val="18"/>
                      <w:highlight w:val="none"/>
                    </w:rPr>
                    <w:t>总量管控限值</w:t>
                  </w:r>
                </w:p>
              </w:tc>
              <w:tc>
                <w:tcPr>
                  <w:tcW w:w="538" w:type="pct"/>
                  <w:tcBorders>
                    <w:tl2br w:val="nil"/>
                    <w:tr2bl w:val="nil"/>
                  </w:tcBorders>
                  <w:vAlign w:val="center"/>
                </w:tcPr>
                <w:p w14:paraId="5D9AF283">
                  <w:pPr>
                    <w:ind w:left="-105" w:leftChars="-50" w:right="-105" w:rightChars="-50"/>
                    <w:jc w:val="center"/>
                    <w:rPr>
                      <w:color w:val="auto"/>
                      <w:sz w:val="18"/>
                      <w:szCs w:val="18"/>
                      <w:highlight w:val="none"/>
                    </w:rPr>
                  </w:pPr>
                  <w:r>
                    <w:rPr>
                      <w:color w:val="auto"/>
                      <w:sz w:val="18"/>
                      <w:szCs w:val="18"/>
                      <w:highlight w:val="none"/>
                    </w:rPr>
                    <w:t>388.73</w:t>
                  </w:r>
                </w:p>
              </w:tc>
              <w:tc>
                <w:tcPr>
                  <w:tcW w:w="808" w:type="pct"/>
                  <w:vMerge w:val="continue"/>
                  <w:tcBorders>
                    <w:tl2br w:val="nil"/>
                    <w:tr2bl w:val="nil"/>
                  </w:tcBorders>
                  <w:vAlign w:val="center"/>
                </w:tcPr>
                <w:p w14:paraId="1C567ED5">
                  <w:pPr>
                    <w:ind w:left="-105" w:leftChars="-50" w:right="-105" w:rightChars="-50"/>
                    <w:jc w:val="center"/>
                    <w:rPr>
                      <w:color w:val="auto"/>
                      <w:sz w:val="18"/>
                      <w:szCs w:val="18"/>
                      <w:highlight w:val="none"/>
                    </w:rPr>
                  </w:pPr>
                </w:p>
              </w:tc>
              <w:tc>
                <w:tcPr>
                  <w:tcW w:w="538" w:type="pct"/>
                  <w:tcBorders>
                    <w:tl2br w:val="nil"/>
                    <w:tr2bl w:val="nil"/>
                  </w:tcBorders>
                  <w:vAlign w:val="center"/>
                </w:tcPr>
                <w:p w14:paraId="3D4C72CB">
                  <w:pPr>
                    <w:ind w:left="-105" w:leftChars="-50" w:right="-105" w:rightChars="-50"/>
                    <w:jc w:val="center"/>
                    <w:rPr>
                      <w:color w:val="auto"/>
                      <w:sz w:val="18"/>
                      <w:szCs w:val="18"/>
                      <w:highlight w:val="none"/>
                    </w:rPr>
                  </w:pPr>
                  <w:r>
                    <w:rPr>
                      <w:color w:val="auto"/>
                      <w:sz w:val="18"/>
                      <w:szCs w:val="18"/>
                      <w:highlight w:val="none"/>
                    </w:rPr>
                    <w:t>1396.13</w:t>
                  </w:r>
                </w:p>
              </w:tc>
              <w:tc>
                <w:tcPr>
                  <w:tcW w:w="809" w:type="pct"/>
                  <w:vMerge w:val="continue"/>
                  <w:tcBorders>
                    <w:tl2br w:val="nil"/>
                    <w:tr2bl w:val="nil"/>
                  </w:tcBorders>
                  <w:vAlign w:val="center"/>
                </w:tcPr>
                <w:p w14:paraId="38DC9F2D">
                  <w:pPr>
                    <w:ind w:left="-105" w:leftChars="-50" w:right="-105" w:rightChars="-50"/>
                    <w:jc w:val="center"/>
                    <w:rPr>
                      <w:color w:val="auto"/>
                      <w:sz w:val="18"/>
                      <w:szCs w:val="18"/>
                      <w:highlight w:val="none"/>
                    </w:rPr>
                  </w:pPr>
                </w:p>
              </w:tc>
              <w:tc>
                <w:tcPr>
                  <w:tcW w:w="634" w:type="pct"/>
                  <w:vMerge w:val="continue"/>
                  <w:tcBorders>
                    <w:tl2br w:val="nil"/>
                    <w:tr2bl w:val="nil"/>
                  </w:tcBorders>
                  <w:vAlign w:val="center"/>
                </w:tcPr>
                <w:p w14:paraId="02D35B7E">
                  <w:pPr>
                    <w:ind w:left="-105" w:leftChars="-50" w:right="-105" w:rightChars="-50"/>
                    <w:rPr>
                      <w:color w:val="auto"/>
                      <w:sz w:val="18"/>
                      <w:szCs w:val="18"/>
                      <w:highlight w:val="none"/>
                    </w:rPr>
                  </w:pPr>
                </w:p>
              </w:tc>
              <w:tc>
                <w:tcPr>
                  <w:tcW w:w="476" w:type="pct"/>
                  <w:vMerge w:val="continue"/>
                  <w:tcBorders>
                    <w:tl2br w:val="nil"/>
                    <w:tr2bl w:val="nil"/>
                  </w:tcBorders>
                  <w:vAlign w:val="center"/>
                </w:tcPr>
                <w:p w14:paraId="01699199">
                  <w:pPr>
                    <w:ind w:left="-105" w:leftChars="-50" w:right="-105" w:rightChars="-50"/>
                    <w:jc w:val="center"/>
                    <w:rPr>
                      <w:color w:val="auto"/>
                      <w:sz w:val="18"/>
                      <w:szCs w:val="18"/>
                      <w:highlight w:val="none"/>
                    </w:rPr>
                  </w:pPr>
                </w:p>
              </w:tc>
            </w:tr>
            <w:tr w14:paraId="1EFB5C8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57" w:type="pct"/>
                  <w:vMerge w:val="continue"/>
                  <w:tcBorders>
                    <w:tl2br w:val="nil"/>
                    <w:tr2bl w:val="nil"/>
                  </w:tcBorders>
                  <w:vAlign w:val="center"/>
                </w:tcPr>
                <w:p w14:paraId="794CDB58">
                  <w:pPr>
                    <w:ind w:left="-105" w:leftChars="-50" w:right="-105" w:rightChars="-50"/>
                    <w:jc w:val="center"/>
                    <w:rPr>
                      <w:color w:val="auto"/>
                      <w:sz w:val="18"/>
                      <w:szCs w:val="18"/>
                      <w:highlight w:val="none"/>
                    </w:rPr>
                  </w:pPr>
                </w:p>
              </w:tc>
              <w:tc>
                <w:tcPr>
                  <w:tcW w:w="320" w:type="pct"/>
                  <w:vMerge w:val="continue"/>
                  <w:tcBorders>
                    <w:tl2br w:val="nil"/>
                    <w:tr2bl w:val="nil"/>
                  </w:tcBorders>
                  <w:vAlign w:val="center"/>
                </w:tcPr>
                <w:p w14:paraId="1487AD31">
                  <w:pPr>
                    <w:ind w:left="-105" w:leftChars="-50" w:right="-105" w:rightChars="-50"/>
                    <w:jc w:val="center"/>
                    <w:rPr>
                      <w:color w:val="auto"/>
                      <w:sz w:val="18"/>
                      <w:szCs w:val="18"/>
                      <w:highlight w:val="none"/>
                    </w:rPr>
                  </w:pPr>
                </w:p>
              </w:tc>
              <w:tc>
                <w:tcPr>
                  <w:tcW w:w="715" w:type="pct"/>
                  <w:tcBorders>
                    <w:tl2br w:val="nil"/>
                    <w:tr2bl w:val="nil"/>
                  </w:tcBorders>
                  <w:vAlign w:val="center"/>
                </w:tcPr>
                <w:p w14:paraId="340BEBC5">
                  <w:pPr>
                    <w:ind w:left="-105" w:leftChars="-50" w:right="-105" w:rightChars="-50"/>
                    <w:jc w:val="center"/>
                    <w:rPr>
                      <w:color w:val="auto"/>
                      <w:sz w:val="18"/>
                      <w:szCs w:val="18"/>
                      <w:highlight w:val="none"/>
                    </w:rPr>
                  </w:pPr>
                  <w:r>
                    <w:rPr>
                      <w:color w:val="auto"/>
                      <w:sz w:val="18"/>
                      <w:szCs w:val="18"/>
                      <w:highlight w:val="none"/>
                    </w:rPr>
                    <w:t>增减量</w:t>
                  </w:r>
                </w:p>
              </w:tc>
              <w:tc>
                <w:tcPr>
                  <w:tcW w:w="538" w:type="pct"/>
                  <w:tcBorders>
                    <w:tl2br w:val="nil"/>
                    <w:tr2bl w:val="nil"/>
                  </w:tcBorders>
                  <w:vAlign w:val="center"/>
                </w:tcPr>
                <w:p w14:paraId="4860BC88">
                  <w:pPr>
                    <w:ind w:left="-105" w:leftChars="-50" w:right="-105" w:rightChars="-50"/>
                    <w:jc w:val="center"/>
                    <w:rPr>
                      <w:color w:val="auto"/>
                      <w:sz w:val="18"/>
                      <w:szCs w:val="18"/>
                      <w:highlight w:val="none"/>
                    </w:rPr>
                  </w:pPr>
                  <w:r>
                    <w:rPr>
                      <w:color w:val="auto"/>
                      <w:sz w:val="18"/>
                      <w:szCs w:val="18"/>
                      <w:highlight w:val="none"/>
                    </w:rPr>
                    <w:t>+209.99</w:t>
                  </w:r>
                </w:p>
              </w:tc>
              <w:tc>
                <w:tcPr>
                  <w:tcW w:w="808" w:type="pct"/>
                  <w:vMerge w:val="continue"/>
                  <w:tcBorders>
                    <w:tl2br w:val="nil"/>
                    <w:tr2bl w:val="nil"/>
                  </w:tcBorders>
                  <w:vAlign w:val="center"/>
                </w:tcPr>
                <w:p w14:paraId="422D90B0">
                  <w:pPr>
                    <w:ind w:left="-105" w:leftChars="-50" w:right="-105" w:rightChars="-50"/>
                    <w:jc w:val="center"/>
                    <w:rPr>
                      <w:color w:val="auto"/>
                      <w:sz w:val="18"/>
                      <w:szCs w:val="18"/>
                      <w:highlight w:val="none"/>
                    </w:rPr>
                  </w:pPr>
                </w:p>
              </w:tc>
              <w:tc>
                <w:tcPr>
                  <w:tcW w:w="538" w:type="pct"/>
                  <w:tcBorders>
                    <w:tl2br w:val="nil"/>
                    <w:tr2bl w:val="nil"/>
                  </w:tcBorders>
                  <w:vAlign w:val="center"/>
                </w:tcPr>
                <w:p w14:paraId="69147D43">
                  <w:pPr>
                    <w:ind w:left="-105" w:leftChars="-50" w:right="-105" w:rightChars="-50"/>
                    <w:jc w:val="center"/>
                    <w:rPr>
                      <w:color w:val="auto"/>
                      <w:sz w:val="18"/>
                      <w:szCs w:val="18"/>
                      <w:highlight w:val="none"/>
                    </w:rPr>
                  </w:pPr>
                  <w:r>
                    <w:rPr>
                      <w:color w:val="auto"/>
                      <w:sz w:val="18"/>
                      <w:szCs w:val="18"/>
                      <w:highlight w:val="none"/>
                    </w:rPr>
                    <w:t>+1217.39</w:t>
                  </w:r>
                </w:p>
              </w:tc>
              <w:tc>
                <w:tcPr>
                  <w:tcW w:w="809" w:type="pct"/>
                  <w:vMerge w:val="continue"/>
                  <w:tcBorders>
                    <w:tl2br w:val="nil"/>
                    <w:tr2bl w:val="nil"/>
                  </w:tcBorders>
                  <w:vAlign w:val="center"/>
                </w:tcPr>
                <w:p w14:paraId="52165E90">
                  <w:pPr>
                    <w:ind w:left="-105" w:leftChars="-50" w:right="-105" w:rightChars="-50"/>
                    <w:jc w:val="center"/>
                    <w:rPr>
                      <w:color w:val="auto"/>
                      <w:sz w:val="18"/>
                      <w:szCs w:val="18"/>
                      <w:highlight w:val="none"/>
                    </w:rPr>
                  </w:pPr>
                </w:p>
              </w:tc>
              <w:tc>
                <w:tcPr>
                  <w:tcW w:w="634" w:type="pct"/>
                  <w:vMerge w:val="continue"/>
                  <w:tcBorders>
                    <w:tl2br w:val="nil"/>
                    <w:tr2bl w:val="nil"/>
                  </w:tcBorders>
                  <w:vAlign w:val="center"/>
                </w:tcPr>
                <w:p w14:paraId="3F369161">
                  <w:pPr>
                    <w:ind w:left="-105" w:leftChars="-50" w:right="-105" w:rightChars="-50"/>
                    <w:rPr>
                      <w:color w:val="auto"/>
                      <w:sz w:val="18"/>
                      <w:szCs w:val="18"/>
                      <w:highlight w:val="none"/>
                    </w:rPr>
                  </w:pPr>
                </w:p>
              </w:tc>
              <w:tc>
                <w:tcPr>
                  <w:tcW w:w="476" w:type="pct"/>
                  <w:vMerge w:val="continue"/>
                  <w:tcBorders>
                    <w:tl2br w:val="nil"/>
                    <w:tr2bl w:val="nil"/>
                  </w:tcBorders>
                  <w:vAlign w:val="center"/>
                </w:tcPr>
                <w:p w14:paraId="2B7412A0">
                  <w:pPr>
                    <w:ind w:left="-105" w:leftChars="-50" w:right="-105" w:rightChars="-50"/>
                    <w:jc w:val="center"/>
                    <w:rPr>
                      <w:color w:val="auto"/>
                      <w:sz w:val="18"/>
                      <w:szCs w:val="18"/>
                      <w:highlight w:val="none"/>
                    </w:rPr>
                  </w:pPr>
                </w:p>
              </w:tc>
            </w:tr>
            <w:tr w14:paraId="008B9AD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57" w:type="pct"/>
                  <w:vMerge w:val="continue"/>
                  <w:tcBorders>
                    <w:tl2br w:val="nil"/>
                    <w:tr2bl w:val="nil"/>
                  </w:tcBorders>
                  <w:vAlign w:val="center"/>
                </w:tcPr>
                <w:p w14:paraId="2C1A00DC">
                  <w:pPr>
                    <w:ind w:left="-105" w:leftChars="-50" w:right="-105" w:rightChars="-50"/>
                    <w:jc w:val="center"/>
                    <w:rPr>
                      <w:color w:val="auto"/>
                      <w:sz w:val="18"/>
                      <w:szCs w:val="18"/>
                      <w:highlight w:val="none"/>
                    </w:rPr>
                  </w:pPr>
                </w:p>
              </w:tc>
              <w:tc>
                <w:tcPr>
                  <w:tcW w:w="320" w:type="pct"/>
                  <w:vMerge w:val="restart"/>
                  <w:tcBorders>
                    <w:tl2br w:val="nil"/>
                    <w:tr2bl w:val="nil"/>
                  </w:tcBorders>
                  <w:vAlign w:val="center"/>
                </w:tcPr>
                <w:p w14:paraId="7C9FD2E2">
                  <w:pPr>
                    <w:ind w:left="-105" w:leftChars="-50" w:right="-105" w:rightChars="-50"/>
                    <w:jc w:val="center"/>
                    <w:rPr>
                      <w:color w:val="auto"/>
                      <w:sz w:val="18"/>
                      <w:szCs w:val="18"/>
                      <w:highlight w:val="none"/>
                    </w:rPr>
                  </w:pPr>
                  <w:r>
                    <w:rPr>
                      <w:color w:val="auto"/>
                      <w:sz w:val="18"/>
                      <w:szCs w:val="18"/>
                      <w:highlight w:val="none"/>
                    </w:rPr>
                    <w:t>NH</w:t>
                  </w:r>
                  <w:r>
                    <w:rPr>
                      <w:color w:val="auto"/>
                      <w:sz w:val="18"/>
                      <w:szCs w:val="18"/>
                      <w:highlight w:val="none"/>
                      <w:vertAlign w:val="subscript"/>
                    </w:rPr>
                    <w:t>3</w:t>
                  </w:r>
                  <w:r>
                    <w:rPr>
                      <w:color w:val="auto"/>
                      <w:sz w:val="18"/>
                      <w:szCs w:val="18"/>
                      <w:highlight w:val="none"/>
                    </w:rPr>
                    <w:t>-N</w:t>
                  </w:r>
                </w:p>
                <w:p w14:paraId="1A6A1593">
                  <w:pPr>
                    <w:ind w:left="-105" w:leftChars="-50" w:right="-105" w:rightChars="-50"/>
                    <w:jc w:val="center"/>
                    <w:rPr>
                      <w:color w:val="auto"/>
                      <w:sz w:val="18"/>
                      <w:szCs w:val="18"/>
                      <w:highlight w:val="none"/>
                    </w:rPr>
                  </w:pPr>
                  <w:r>
                    <w:rPr>
                      <w:color w:val="auto"/>
                      <w:sz w:val="18"/>
                      <w:szCs w:val="18"/>
                      <w:highlight w:val="none"/>
                    </w:rPr>
                    <w:t>(t/a)</w:t>
                  </w:r>
                </w:p>
              </w:tc>
              <w:tc>
                <w:tcPr>
                  <w:tcW w:w="715" w:type="pct"/>
                  <w:tcBorders>
                    <w:tl2br w:val="nil"/>
                    <w:tr2bl w:val="nil"/>
                  </w:tcBorders>
                  <w:vAlign w:val="center"/>
                </w:tcPr>
                <w:p w14:paraId="72CA6A69">
                  <w:pPr>
                    <w:ind w:left="-105" w:leftChars="-50" w:right="-105" w:rightChars="-50"/>
                    <w:jc w:val="center"/>
                    <w:rPr>
                      <w:color w:val="auto"/>
                      <w:sz w:val="18"/>
                      <w:szCs w:val="18"/>
                      <w:highlight w:val="none"/>
                    </w:rPr>
                  </w:pPr>
                  <w:r>
                    <w:rPr>
                      <w:color w:val="auto"/>
                      <w:sz w:val="18"/>
                      <w:szCs w:val="18"/>
                      <w:highlight w:val="none"/>
                    </w:rPr>
                    <w:t>现状排放量</w:t>
                  </w:r>
                </w:p>
              </w:tc>
              <w:tc>
                <w:tcPr>
                  <w:tcW w:w="538" w:type="pct"/>
                  <w:tcBorders>
                    <w:tl2br w:val="nil"/>
                    <w:tr2bl w:val="nil"/>
                  </w:tcBorders>
                  <w:vAlign w:val="center"/>
                </w:tcPr>
                <w:p w14:paraId="5A613F52">
                  <w:pPr>
                    <w:ind w:left="-105" w:leftChars="-50" w:right="-105" w:rightChars="-50"/>
                    <w:jc w:val="center"/>
                    <w:rPr>
                      <w:color w:val="auto"/>
                      <w:sz w:val="18"/>
                      <w:szCs w:val="18"/>
                      <w:highlight w:val="none"/>
                    </w:rPr>
                  </w:pPr>
                  <w:r>
                    <w:rPr>
                      <w:color w:val="auto"/>
                      <w:sz w:val="18"/>
                      <w:szCs w:val="18"/>
                      <w:highlight w:val="none"/>
                    </w:rPr>
                    <w:t>18.56</w:t>
                  </w:r>
                </w:p>
              </w:tc>
              <w:tc>
                <w:tcPr>
                  <w:tcW w:w="808" w:type="pct"/>
                  <w:vMerge w:val="continue"/>
                  <w:tcBorders>
                    <w:tl2br w:val="nil"/>
                    <w:tr2bl w:val="nil"/>
                  </w:tcBorders>
                  <w:vAlign w:val="center"/>
                </w:tcPr>
                <w:p w14:paraId="5FC70C52">
                  <w:pPr>
                    <w:ind w:left="-105" w:leftChars="-50" w:right="-105" w:rightChars="-50"/>
                    <w:jc w:val="center"/>
                    <w:rPr>
                      <w:color w:val="auto"/>
                      <w:sz w:val="18"/>
                      <w:szCs w:val="18"/>
                      <w:highlight w:val="none"/>
                    </w:rPr>
                  </w:pPr>
                </w:p>
              </w:tc>
              <w:tc>
                <w:tcPr>
                  <w:tcW w:w="538" w:type="pct"/>
                  <w:tcBorders>
                    <w:tl2br w:val="nil"/>
                    <w:tr2bl w:val="nil"/>
                  </w:tcBorders>
                  <w:vAlign w:val="center"/>
                </w:tcPr>
                <w:p w14:paraId="72309654">
                  <w:pPr>
                    <w:ind w:left="-105" w:leftChars="-50" w:right="-105" w:rightChars="-50"/>
                    <w:jc w:val="center"/>
                    <w:rPr>
                      <w:color w:val="auto"/>
                      <w:sz w:val="18"/>
                      <w:szCs w:val="18"/>
                      <w:highlight w:val="none"/>
                    </w:rPr>
                  </w:pPr>
                  <w:r>
                    <w:rPr>
                      <w:color w:val="auto"/>
                      <w:sz w:val="18"/>
                      <w:szCs w:val="18"/>
                      <w:highlight w:val="none"/>
                    </w:rPr>
                    <w:t>18.56</w:t>
                  </w:r>
                </w:p>
              </w:tc>
              <w:tc>
                <w:tcPr>
                  <w:tcW w:w="809" w:type="pct"/>
                  <w:vMerge w:val="continue"/>
                  <w:tcBorders>
                    <w:tl2br w:val="nil"/>
                    <w:tr2bl w:val="nil"/>
                  </w:tcBorders>
                  <w:vAlign w:val="center"/>
                </w:tcPr>
                <w:p w14:paraId="4D040DF9">
                  <w:pPr>
                    <w:ind w:left="-105" w:leftChars="-50" w:right="-105" w:rightChars="-50"/>
                    <w:jc w:val="center"/>
                    <w:rPr>
                      <w:color w:val="auto"/>
                      <w:sz w:val="18"/>
                      <w:szCs w:val="18"/>
                      <w:highlight w:val="none"/>
                    </w:rPr>
                  </w:pPr>
                </w:p>
              </w:tc>
              <w:tc>
                <w:tcPr>
                  <w:tcW w:w="634" w:type="pct"/>
                  <w:vMerge w:val="continue"/>
                  <w:tcBorders>
                    <w:tl2br w:val="nil"/>
                    <w:tr2bl w:val="nil"/>
                  </w:tcBorders>
                  <w:vAlign w:val="center"/>
                </w:tcPr>
                <w:p w14:paraId="2F98F43B">
                  <w:pPr>
                    <w:ind w:left="-105" w:leftChars="-50" w:right="-105" w:rightChars="-50"/>
                    <w:rPr>
                      <w:color w:val="auto"/>
                      <w:sz w:val="18"/>
                      <w:szCs w:val="18"/>
                      <w:highlight w:val="none"/>
                    </w:rPr>
                  </w:pPr>
                </w:p>
              </w:tc>
              <w:tc>
                <w:tcPr>
                  <w:tcW w:w="476" w:type="pct"/>
                  <w:vMerge w:val="continue"/>
                  <w:tcBorders>
                    <w:tl2br w:val="nil"/>
                    <w:tr2bl w:val="nil"/>
                  </w:tcBorders>
                  <w:vAlign w:val="center"/>
                </w:tcPr>
                <w:p w14:paraId="19DE4F0E">
                  <w:pPr>
                    <w:ind w:left="-105" w:leftChars="-50" w:right="-105" w:rightChars="-50"/>
                    <w:jc w:val="center"/>
                    <w:rPr>
                      <w:color w:val="auto"/>
                      <w:sz w:val="18"/>
                      <w:szCs w:val="18"/>
                      <w:highlight w:val="none"/>
                    </w:rPr>
                  </w:pPr>
                </w:p>
              </w:tc>
            </w:tr>
            <w:tr w14:paraId="508C2C4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57" w:type="pct"/>
                  <w:vMerge w:val="continue"/>
                  <w:tcBorders>
                    <w:tl2br w:val="nil"/>
                    <w:tr2bl w:val="nil"/>
                  </w:tcBorders>
                  <w:vAlign w:val="center"/>
                </w:tcPr>
                <w:p w14:paraId="06BFD9EA">
                  <w:pPr>
                    <w:ind w:left="-105" w:leftChars="-50" w:right="-105" w:rightChars="-50"/>
                    <w:jc w:val="center"/>
                    <w:rPr>
                      <w:color w:val="auto"/>
                      <w:sz w:val="18"/>
                      <w:szCs w:val="18"/>
                      <w:highlight w:val="none"/>
                    </w:rPr>
                  </w:pPr>
                </w:p>
              </w:tc>
              <w:tc>
                <w:tcPr>
                  <w:tcW w:w="320" w:type="pct"/>
                  <w:vMerge w:val="continue"/>
                  <w:tcBorders>
                    <w:tl2br w:val="nil"/>
                    <w:tr2bl w:val="nil"/>
                  </w:tcBorders>
                  <w:vAlign w:val="center"/>
                </w:tcPr>
                <w:p w14:paraId="09179524">
                  <w:pPr>
                    <w:ind w:left="-105" w:leftChars="-50" w:right="-105" w:rightChars="-50"/>
                    <w:jc w:val="center"/>
                    <w:rPr>
                      <w:color w:val="auto"/>
                      <w:sz w:val="18"/>
                      <w:szCs w:val="18"/>
                      <w:highlight w:val="none"/>
                    </w:rPr>
                  </w:pPr>
                </w:p>
              </w:tc>
              <w:tc>
                <w:tcPr>
                  <w:tcW w:w="715" w:type="pct"/>
                  <w:tcBorders>
                    <w:tl2br w:val="nil"/>
                    <w:tr2bl w:val="nil"/>
                  </w:tcBorders>
                  <w:vAlign w:val="center"/>
                </w:tcPr>
                <w:p w14:paraId="68C14EB8">
                  <w:pPr>
                    <w:ind w:left="-105" w:leftChars="-50" w:right="-105" w:rightChars="-50"/>
                    <w:jc w:val="center"/>
                    <w:rPr>
                      <w:color w:val="auto"/>
                      <w:sz w:val="18"/>
                      <w:szCs w:val="18"/>
                      <w:highlight w:val="none"/>
                    </w:rPr>
                  </w:pPr>
                  <w:r>
                    <w:rPr>
                      <w:color w:val="auto"/>
                      <w:sz w:val="18"/>
                      <w:szCs w:val="18"/>
                      <w:highlight w:val="none"/>
                    </w:rPr>
                    <w:t>总量管控限值</w:t>
                  </w:r>
                </w:p>
              </w:tc>
              <w:tc>
                <w:tcPr>
                  <w:tcW w:w="538" w:type="pct"/>
                  <w:tcBorders>
                    <w:tl2br w:val="nil"/>
                    <w:tr2bl w:val="nil"/>
                  </w:tcBorders>
                  <w:vAlign w:val="center"/>
                </w:tcPr>
                <w:p w14:paraId="5AF5D9B9">
                  <w:pPr>
                    <w:ind w:left="-105" w:leftChars="-50" w:right="-105" w:rightChars="-50"/>
                    <w:jc w:val="center"/>
                    <w:rPr>
                      <w:color w:val="auto"/>
                      <w:sz w:val="18"/>
                      <w:szCs w:val="18"/>
                      <w:highlight w:val="none"/>
                    </w:rPr>
                  </w:pPr>
                  <w:r>
                    <w:rPr>
                      <w:color w:val="auto"/>
                      <w:sz w:val="18"/>
                      <w:szCs w:val="18"/>
                      <w:highlight w:val="none"/>
                    </w:rPr>
                    <w:t>38.87</w:t>
                  </w:r>
                </w:p>
              </w:tc>
              <w:tc>
                <w:tcPr>
                  <w:tcW w:w="808" w:type="pct"/>
                  <w:vMerge w:val="continue"/>
                  <w:tcBorders>
                    <w:tl2br w:val="nil"/>
                    <w:tr2bl w:val="nil"/>
                  </w:tcBorders>
                  <w:vAlign w:val="center"/>
                </w:tcPr>
                <w:p w14:paraId="24AE6D85">
                  <w:pPr>
                    <w:ind w:left="-105" w:leftChars="-50" w:right="-105" w:rightChars="-50"/>
                    <w:jc w:val="center"/>
                    <w:rPr>
                      <w:color w:val="auto"/>
                      <w:sz w:val="18"/>
                      <w:szCs w:val="18"/>
                      <w:highlight w:val="none"/>
                    </w:rPr>
                  </w:pPr>
                </w:p>
              </w:tc>
              <w:tc>
                <w:tcPr>
                  <w:tcW w:w="538" w:type="pct"/>
                  <w:tcBorders>
                    <w:tl2br w:val="nil"/>
                    <w:tr2bl w:val="nil"/>
                  </w:tcBorders>
                  <w:vAlign w:val="center"/>
                </w:tcPr>
                <w:p w14:paraId="52AC3C97">
                  <w:pPr>
                    <w:ind w:left="-105" w:leftChars="-50" w:right="-105" w:rightChars="-50"/>
                    <w:jc w:val="center"/>
                    <w:rPr>
                      <w:color w:val="auto"/>
                      <w:sz w:val="18"/>
                      <w:szCs w:val="18"/>
                      <w:highlight w:val="none"/>
                    </w:rPr>
                  </w:pPr>
                  <w:r>
                    <w:rPr>
                      <w:color w:val="auto"/>
                      <w:sz w:val="18"/>
                      <w:szCs w:val="18"/>
                      <w:highlight w:val="none"/>
                    </w:rPr>
                    <w:t>139.61</w:t>
                  </w:r>
                </w:p>
              </w:tc>
              <w:tc>
                <w:tcPr>
                  <w:tcW w:w="809" w:type="pct"/>
                  <w:vMerge w:val="continue"/>
                  <w:tcBorders>
                    <w:tl2br w:val="nil"/>
                    <w:tr2bl w:val="nil"/>
                  </w:tcBorders>
                  <w:vAlign w:val="center"/>
                </w:tcPr>
                <w:p w14:paraId="349D4C51">
                  <w:pPr>
                    <w:ind w:left="-105" w:leftChars="-50" w:right="-105" w:rightChars="-50"/>
                    <w:jc w:val="center"/>
                    <w:rPr>
                      <w:color w:val="auto"/>
                      <w:sz w:val="18"/>
                      <w:szCs w:val="18"/>
                      <w:highlight w:val="none"/>
                    </w:rPr>
                  </w:pPr>
                </w:p>
              </w:tc>
              <w:tc>
                <w:tcPr>
                  <w:tcW w:w="634" w:type="pct"/>
                  <w:vMerge w:val="continue"/>
                  <w:tcBorders>
                    <w:tl2br w:val="nil"/>
                    <w:tr2bl w:val="nil"/>
                  </w:tcBorders>
                  <w:vAlign w:val="center"/>
                </w:tcPr>
                <w:p w14:paraId="118582A4">
                  <w:pPr>
                    <w:ind w:left="-105" w:leftChars="-50" w:right="-105" w:rightChars="-50"/>
                    <w:rPr>
                      <w:color w:val="auto"/>
                      <w:sz w:val="18"/>
                      <w:szCs w:val="18"/>
                      <w:highlight w:val="none"/>
                    </w:rPr>
                  </w:pPr>
                </w:p>
              </w:tc>
              <w:tc>
                <w:tcPr>
                  <w:tcW w:w="476" w:type="pct"/>
                  <w:vMerge w:val="continue"/>
                  <w:tcBorders>
                    <w:tl2br w:val="nil"/>
                    <w:tr2bl w:val="nil"/>
                  </w:tcBorders>
                  <w:vAlign w:val="center"/>
                </w:tcPr>
                <w:p w14:paraId="49F17E6E">
                  <w:pPr>
                    <w:ind w:left="-105" w:leftChars="-50" w:right="-105" w:rightChars="-50"/>
                    <w:jc w:val="center"/>
                    <w:rPr>
                      <w:color w:val="auto"/>
                      <w:sz w:val="18"/>
                      <w:szCs w:val="18"/>
                      <w:highlight w:val="none"/>
                    </w:rPr>
                  </w:pPr>
                </w:p>
              </w:tc>
            </w:tr>
            <w:tr w14:paraId="12EC603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57" w:type="pct"/>
                  <w:vMerge w:val="continue"/>
                  <w:tcBorders>
                    <w:tl2br w:val="nil"/>
                    <w:tr2bl w:val="nil"/>
                  </w:tcBorders>
                  <w:vAlign w:val="center"/>
                </w:tcPr>
                <w:p w14:paraId="2C8BBCB2">
                  <w:pPr>
                    <w:ind w:left="-105" w:leftChars="-50" w:right="-105" w:rightChars="-50"/>
                    <w:jc w:val="center"/>
                    <w:rPr>
                      <w:color w:val="auto"/>
                      <w:sz w:val="18"/>
                      <w:szCs w:val="18"/>
                      <w:highlight w:val="none"/>
                    </w:rPr>
                  </w:pPr>
                </w:p>
              </w:tc>
              <w:tc>
                <w:tcPr>
                  <w:tcW w:w="320" w:type="pct"/>
                  <w:vMerge w:val="continue"/>
                  <w:tcBorders>
                    <w:tl2br w:val="nil"/>
                    <w:tr2bl w:val="nil"/>
                  </w:tcBorders>
                  <w:vAlign w:val="center"/>
                </w:tcPr>
                <w:p w14:paraId="07D2B9C8">
                  <w:pPr>
                    <w:ind w:left="-105" w:leftChars="-50" w:right="-105" w:rightChars="-50"/>
                    <w:jc w:val="center"/>
                    <w:rPr>
                      <w:color w:val="auto"/>
                      <w:sz w:val="18"/>
                      <w:szCs w:val="18"/>
                      <w:highlight w:val="none"/>
                    </w:rPr>
                  </w:pPr>
                </w:p>
              </w:tc>
              <w:tc>
                <w:tcPr>
                  <w:tcW w:w="715" w:type="pct"/>
                  <w:tcBorders>
                    <w:tl2br w:val="nil"/>
                    <w:tr2bl w:val="nil"/>
                  </w:tcBorders>
                  <w:vAlign w:val="center"/>
                </w:tcPr>
                <w:p w14:paraId="3A2DDB37">
                  <w:pPr>
                    <w:ind w:left="-105" w:leftChars="-50" w:right="-105" w:rightChars="-50"/>
                    <w:jc w:val="center"/>
                    <w:rPr>
                      <w:color w:val="auto"/>
                      <w:sz w:val="18"/>
                      <w:szCs w:val="18"/>
                      <w:highlight w:val="none"/>
                    </w:rPr>
                  </w:pPr>
                  <w:r>
                    <w:rPr>
                      <w:color w:val="auto"/>
                      <w:sz w:val="18"/>
                      <w:szCs w:val="18"/>
                      <w:highlight w:val="none"/>
                    </w:rPr>
                    <w:t>增减量</w:t>
                  </w:r>
                </w:p>
              </w:tc>
              <w:tc>
                <w:tcPr>
                  <w:tcW w:w="538" w:type="pct"/>
                  <w:tcBorders>
                    <w:tl2br w:val="nil"/>
                    <w:tr2bl w:val="nil"/>
                  </w:tcBorders>
                  <w:vAlign w:val="center"/>
                </w:tcPr>
                <w:p w14:paraId="0C3F913E">
                  <w:pPr>
                    <w:ind w:left="-105" w:leftChars="-50" w:right="-105" w:rightChars="-50"/>
                    <w:jc w:val="center"/>
                    <w:rPr>
                      <w:color w:val="auto"/>
                      <w:sz w:val="18"/>
                      <w:szCs w:val="18"/>
                      <w:highlight w:val="none"/>
                    </w:rPr>
                  </w:pPr>
                  <w:r>
                    <w:rPr>
                      <w:color w:val="auto"/>
                      <w:sz w:val="18"/>
                      <w:szCs w:val="18"/>
                      <w:highlight w:val="none"/>
                    </w:rPr>
                    <w:t>+20.31</w:t>
                  </w:r>
                </w:p>
              </w:tc>
              <w:tc>
                <w:tcPr>
                  <w:tcW w:w="808" w:type="pct"/>
                  <w:vMerge w:val="continue"/>
                  <w:tcBorders>
                    <w:tl2br w:val="nil"/>
                    <w:tr2bl w:val="nil"/>
                  </w:tcBorders>
                  <w:vAlign w:val="center"/>
                </w:tcPr>
                <w:p w14:paraId="7DB3BD34">
                  <w:pPr>
                    <w:ind w:left="-105" w:leftChars="-50" w:right="-105" w:rightChars="-50"/>
                    <w:jc w:val="center"/>
                    <w:rPr>
                      <w:color w:val="auto"/>
                      <w:sz w:val="18"/>
                      <w:szCs w:val="18"/>
                      <w:highlight w:val="none"/>
                    </w:rPr>
                  </w:pPr>
                </w:p>
              </w:tc>
              <w:tc>
                <w:tcPr>
                  <w:tcW w:w="538" w:type="pct"/>
                  <w:tcBorders>
                    <w:tl2br w:val="nil"/>
                    <w:tr2bl w:val="nil"/>
                  </w:tcBorders>
                  <w:vAlign w:val="center"/>
                </w:tcPr>
                <w:p w14:paraId="736E713E">
                  <w:pPr>
                    <w:ind w:left="-105" w:leftChars="-50" w:right="-105" w:rightChars="-50"/>
                    <w:jc w:val="center"/>
                    <w:rPr>
                      <w:color w:val="auto"/>
                      <w:sz w:val="18"/>
                      <w:szCs w:val="18"/>
                      <w:highlight w:val="none"/>
                    </w:rPr>
                  </w:pPr>
                  <w:r>
                    <w:rPr>
                      <w:color w:val="auto"/>
                      <w:sz w:val="18"/>
                      <w:szCs w:val="18"/>
                      <w:highlight w:val="none"/>
                    </w:rPr>
                    <w:t>+121.05</w:t>
                  </w:r>
                </w:p>
              </w:tc>
              <w:tc>
                <w:tcPr>
                  <w:tcW w:w="809" w:type="pct"/>
                  <w:vMerge w:val="continue"/>
                  <w:tcBorders>
                    <w:tl2br w:val="nil"/>
                    <w:tr2bl w:val="nil"/>
                  </w:tcBorders>
                  <w:vAlign w:val="center"/>
                </w:tcPr>
                <w:p w14:paraId="6EFB5361">
                  <w:pPr>
                    <w:ind w:left="-105" w:leftChars="-50" w:right="-105" w:rightChars="-50"/>
                    <w:jc w:val="center"/>
                    <w:rPr>
                      <w:color w:val="auto"/>
                      <w:sz w:val="18"/>
                      <w:szCs w:val="18"/>
                      <w:highlight w:val="none"/>
                    </w:rPr>
                  </w:pPr>
                </w:p>
              </w:tc>
              <w:tc>
                <w:tcPr>
                  <w:tcW w:w="634" w:type="pct"/>
                  <w:vMerge w:val="continue"/>
                  <w:tcBorders>
                    <w:tl2br w:val="nil"/>
                    <w:tr2bl w:val="nil"/>
                  </w:tcBorders>
                  <w:vAlign w:val="center"/>
                </w:tcPr>
                <w:p w14:paraId="3ABA93D2">
                  <w:pPr>
                    <w:ind w:left="-105" w:leftChars="-50" w:right="-105" w:rightChars="-50"/>
                    <w:rPr>
                      <w:color w:val="auto"/>
                      <w:sz w:val="18"/>
                      <w:szCs w:val="18"/>
                      <w:highlight w:val="none"/>
                    </w:rPr>
                  </w:pPr>
                </w:p>
              </w:tc>
              <w:tc>
                <w:tcPr>
                  <w:tcW w:w="476" w:type="pct"/>
                  <w:vMerge w:val="continue"/>
                  <w:tcBorders>
                    <w:tl2br w:val="nil"/>
                    <w:tr2bl w:val="nil"/>
                  </w:tcBorders>
                  <w:vAlign w:val="center"/>
                </w:tcPr>
                <w:p w14:paraId="22C5A234">
                  <w:pPr>
                    <w:ind w:left="-105" w:leftChars="-50" w:right="-105" w:rightChars="-50"/>
                    <w:jc w:val="center"/>
                    <w:rPr>
                      <w:color w:val="auto"/>
                      <w:sz w:val="18"/>
                      <w:szCs w:val="18"/>
                      <w:highlight w:val="none"/>
                    </w:rPr>
                  </w:pPr>
                </w:p>
              </w:tc>
            </w:tr>
            <w:tr w14:paraId="454F903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57" w:type="pct"/>
                  <w:vMerge w:val="continue"/>
                  <w:tcBorders>
                    <w:tl2br w:val="nil"/>
                    <w:tr2bl w:val="nil"/>
                  </w:tcBorders>
                  <w:vAlign w:val="center"/>
                </w:tcPr>
                <w:p w14:paraId="1134B23F">
                  <w:pPr>
                    <w:ind w:left="-105" w:leftChars="-50" w:right="-105" w:rightChars="-50"/>
                    <w:jc w:val="center"/>
                    <w:rPr>
                      <w:color w:val="auto"/>
                      <w:sz w:val="18"/>
                      <w:szCs w:val="18"/>
                      <w:highlight w:val="none"/>
                    </w:rPr>
                  </w:pPr>
                </w:p>
              </w:tc>
              <w:tc>
                <w:tcPr>
                  <w:tcW w:w="320" w:type="pct"/>
                  <w:vMerge w:val="restart"/>
                  <w:tcBorders>
                    <w:tl2br w:val="nil"/>
                    <w:tr2bl w:val="nil"/>
                  </w:tcBorders>
                  <w:vAlign w:val="center"/>
                </w:tcPr>
                <w:p w14:paraId="2DA6C333">
                  <w:pPr>
                    <w:ind w:left="-105" w:leftChars="-50" w:right="-105" w:rightChars="-50"/>
                    <w:jc w:val="center"/>
                    <w:rPr>
                      <w:color w:val="auto"/>
                      <w:sz w:val="18"/>
                      <w:szCs w:val="18"/>
                      <w:highlight w:val="none"/>
                    </w:rPr>
                  </w:pPr>
                  <w:r>
                    <w:rPr>
                      <w:color w:val="auto"/>
                      <w:sz w:val="18"/>
                      <w:szCs w:val="18"/>
                      <w:highlight w:val="none"/>
                    </w:rPr>
                    <w:t>TP</w:t>
                  </w:r>
                </w:p>
                <w:p w14:paraId="719B4AB9">
                  <w:pPr>
                    <w:ind w:left="-105" w:leftChars="-50" w:right="-105" w:rightChars="-50"/>
                    <w:jc w:val="center"/>
                    <w:rPr>
                      <w:color w:val="auto"/>
                      <w:sz w:val="18"/>
                      <w:szCs w:val="18"/>
                      <w:highlight w:val="none"/>
                    </w:rPr>
                  </w:pPr>
                  <w:r>
                    <w:rPr>
                      <w:color w:val="auto"/>
                      <w:sz w:val="18"/>
                      <w:szCs w:val="18"/>
                      <w:highlight w:val="none"/>
                    </w:rPr>
                    <w:t>(t/a)</w:t>
                  </w:r>
                </w:p>
              </w:tc>
              <w:tc>
                <w:tcPr>
                  <w:tcW w:w="715" w:type="pct"/>
                  <w:tcBorders>
                    <w:tl2br w:val="nil"/>
                    <w:tr2bl w:val="nil"/>
                  </w:tcBorders>
                  <w:vAlign w:val="center"/>
                </w:tcPr>
                <w:p w14:paraId="6D8E9B2F">
                  <w:pPr>
                    <w:ind w:left="-105" w:leftChars="-50" w:right="-105" w:rightChars="-50"/>
                    <w:jc w:val="center"/>
                    <w:rPr>
                      <w:color w:val="auto"/>
                      <w:sz w:val="18"/>
                      <w:szCs w:val="18"/>
                      <w:highlight w:val="none"/>
                    </w:rPr>
                  </w:pPr>
                  <w:r>
                    <w:rPr>
                      <w:color w:val="auto"/>
                      <w:sz w:val="18"/>
                      <w:szCs w:val="18"/>
                      <w:highlight w:val="none"/>
                    </w:rPr>
                    <w:t>现状排放量</w:t>
                  </w:r>
                </w:p>
              </w:tc>
              <w:tc>
                <w:tcPr>
                  <w:tcW w:w="538" w:type="pct"/>
                  <w:tcBorders>
                    <w:tl2br w:val="nil"/>
                    <w:tr2bl w:val="nil"/>
                  </w:tcBorders>
                  <w:vAlign w:val="center"/>
                </w:tcPr>
                <w:p w14:paraId="12E43D35">
                  <w:pPr>
                    <w:ind w:left="-105" w:leftChars="-50" w:right="-105" w:rightChars="-50"/>
                    <w:jc w:val="center"/>
                    <w:rPr>
                      <w:color w:val="auto"/>
                      <w:sz w:val="18"/>
                      <w:szCs w:val="18"/>
                      <w:highlight w:val="none"/>
                    </w:rPr>
                  </w:pPr>
                  <w:r>
                    <w:rPr>
                      <w:color w:val="auto"/>
                      <w:sz w:val="18"/>
                      <w:szCs w:val="18"/>
                      <w:highlight w:val="none"/>
                    </w:rPr>
                    <w:t>1.93</w:t>
                  </w:r>
                </w:p>
              </w:tc>
              <w:tc>
                <w:tcPr>
                  <w:tcW w:w="808" w:type="pct"/>
                  <w:vMerge w:val="continue"/>
                  <w:tcBorders>
                    <w:tl2br w:val="nil"/>
                    <w:tr2bl w:val="nil"/>
                  </w:tcBorders>
                  <w:vAlign w:val="center"/>
                </w:tcPr>
                <w:p w14:paraId="590CD9B8">
                  <w:pPr>
                    <w:ind w:left="-105" w:leftChars="-50" w:right="-105" w:rightChars="-50"/>
                    <w:jc w:val="center"/>
                    <w:rPr>
                      <w:color w:val="auto"/>
                      <w:sz w:val="18"/>
                      <w:szCs w:val="18"/>
                      <w:highlight w:val="none"/>
                    </w:rPr>
                  </w:pPr>
                </w:p>
              </w:tc>
              <w:tc>
                <w:tcPr>
                  <w:tcW w:w="538" w:type="pct"/>
                  <w:tcBorders>
                    <w:tl2br w:val="nil"/>
                    <w:tr2bl w:val="nil"/>
                  </w:tcBorders>
                  <w:vAlign w:val="center"/>
                </w:tcPr>
                <w:p w14:paraId="5D093BE9">
                  <w:pPr>
                    <w:ind w:left="-105" w:leftChars="-50" w:right="-105" w:rightChars="-50"/>
                    <w:jc w:val="center"/>
                    <w:rPr>
                      <w:color w:val="auto"/>
                      <w:sz w:val="18"/>
                      <w:szCs w:val="18"/>
                      <w:highlight w:val="none"/>
                    </w:rPr>
                  </w:pPr>
                  <w:r>
                    <w:rPr>
                      <w:color w:val="auto"/>
                      <w:sz w:val="18"/>
                      <w:szCs w:val="18"/>
                      <w:highlight w:val="none"/>
                    </w:rPr>
                    <w:t>1.93</w:t>
                  </w:r>
                </w:p>
              </w:tc>
              <w:tc>
                <w:tcPr>
                  <w:tcW w:w="809" w:type="pct"/>
                  <w:vMerge w:val="continue"/>
                  <w:tcBorders>
                    <w:tl2br w:val="nil"/>
                    <w:tr2bl w:val="nil"/>
                  </w:tcBorders>
                  <w:vAlign w:val="center"/>
                </w:tcPr>
                <w:p w14:paraId="464C5234">
                  <w:pPr>
                    <w:ind w:left="-105" w:leftChars="-50" w:right="-105" w:rightChars="-50"/>
                    <w:jc w:val="center"/>
                    <w:rPr>
                      <w:color w:val="auto"/>
                      <w:sz w:val="18"/>
                      <w:szCs w:val="18"/>
                      <w:highlight w:val="none"/>
                    </w:rPr>
                  </w:pPr>
                </w:p>
              </w:tc>
              <w:tc>
                <w:tcPr>
                  <w:tcW w:w="634" w:type="pct"/>
                  <w:vMerge w:val="continue"/>
                  <w:tcBorders>
                    <w:tl2br w:val="nil"/>
                    <w:tr2bl w:val="nil"/>
                  </w:tcBorders>
                  <w:vAlign w:val="center"/>
                </w:tcPr>
                <w:p w14:paraId="78FA78B1">
                  <w:pPr>
                    <w:ind w:left="-105" w:leftChars="-50" w:right="-105" w:rightChars="-50"/>
                    <w:rPr>
                      <w:color w:val="auto"/>
                      <w:sz w:val="18"/>
                      <w:szCs w:val="18"/>
                      <w:highlight w:val="none"/>
                    </w:rPr>
                  </w:pPr>
                </w:p>
              </w:tc>
              <w:tc>
                <w:tcPr>
                  <w:tcW w:w="476" w:type="pct"/>
                  <w:vMerge w:val="continue"/>
                  <w:tcBorders>
                    <w:tl2br w:val="nil"/>
                    <w:tr2bl w:val="nil"/>
                  </w:tcBorders>
                  <w:vAlign w:val="center"/>
                </w:tcPr>
                <w:p w14:paraId="3BF51C68">
                  <w:pPr>
                    <w:ind w:left="-105" w:leftChars="-50" w:right="-105" w:rightChars="-50"/>
                    <w:jc w:val="center"/>
                    <w:rPr>
                      <w:color w:val="auto"/>
                      <w:sz w:val="18"/>
                      <w:szCs w:val="18"/>
                      <w:highlight w:val="none"/>
                    </w:rPr>
                  </w:pPr>
                </w:p>
              </w:tc>
            </w:tr>
            <w:tr w14:paraId="312EE1D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57" w:type="pct"/>
                  <w:vMerge w:val="continue"/>
                  <w:tcBorders>
                    <w:tl2br w:val="nil"/>
                    <w:tr2bl w:val="nil"/>
                  </w:tcBorders>
                  <w:vAlign w:val="center"/>
                </w:tcPr>
                <w:p w14:paraId="185D0818">
                  <w:pPr>
                    <w:ind w:left="-105" w:leftChars="-50" w:right="-105" w:rightChars="-50"/>
                    <w:jc w:val="center"/>
                    <w:rPr>
                      <w:color w:val="auto"/>
                      <w:sz w:val="18"/>
                      <w:szCs w:val="18"/>
                      <w:highlight w:val="none"/>
                    </w:rPr>
                  </w:pPr>
                </w:p>
              </w:tc>
              <w:tc>
                <w:tcPr>
                  <w:tcW w:w="320" w:type="pct"/>
                  <w:vMerge w:val="continue"/>
                  <w:tcBorders>
                    <w:tl2br w:val="nil"/>
                    <w:tr2bl w:val="nil"/>
                  </w:tcBorders>
                  <w:vAlign w:val="center"/>
                </w:tcPr>
                <w:p w14:paraId="440C4055">
                  <w:pPr>
                    <w:ind w:left="-105" w:leftChars="-50" w:right="-105" w:rightChars="-50"/>
                    <w:jc w:val="center"/>
                    <w:rPr>
                      <w:color w:val="auto"/>
                      <w:sz w:val="18"/>
                      <w:szCs w:val="18"/>
                      <w:highlight w:val="none"/>
                    </w:rPr>
                  </w:pPr>
                </w:p>
              </w:tc>
              <w:tc>
                <w:tcPr>
                  <w:tcW w:w="715" w:type="pct"/>
                  <w:tcBorders>
                    <w:tl2br w:val="nil"/>
                    <w:tr2bl w:val="nil"/>
                  </w:tcBorders>
                  <w:vAlign w:val="center"/>
                </w:tcPr>
                <w:p w14:paraId="250CDEE3">
                  <w:pPr>
                    <w:ind w:left="-105" w:leftChars="-50" w:right="-105" w:rightChars="-50"/>
                    <w:jc w:val="center"/>
                    <w:rPr>
                      <w:color w:val="auto"/>
                      <w:sz w:val="18"/>
                      <w:szCs w:val="18"/>
                      <w:highlight w:val="none"/>
                    </w:rPr>
                  </w:pPr>
                  <w:r>
                    <w:rPr>
                      <w:color w:val="auto"/>
                      <w:sz w:val="18"/>
                      <w:szCs w:val="18"/>
                      <w:highlight w:val="none"/>
                    </w:rPr>
                    <w:t>总量管控限值</w:t>
                  </w:r>
                </w:p>
              </w:tc>
              <w:tc>
                <w:tcPr>
                  <w:tcW w:w="538" w:type="pct"/>
                  <w:tcBorders>
                    <w:tl2br w:val="nil"/>
                    <w:tr2bl w:val="nil"/>
                  </w:tcBorders>
                  <w:vAlign w:val="center"/>
                </w:tcPr>
                <w:p w14:paraId="79CF746A">
                  <w:pPr>
                    <w:ind w:left="-105" w:leftChars="-50" w:right="-105" w:rightChars="-50"/>
                    <w:jc w:val="center"/>
                    <w:rPr>
                      <w:color w:val="auto"/>
                      <w:sz w:val="18"/>
                      <w:szCs w:val="18"/>
                      <w:highlight w:val="none"/>
                    </w:rPr>
                  </w:pPr>
                  <w:r>
                    <w:rPr>
                      <w:color w:val="auto"/>
                      <w:sz w:val="18"/>
                      <w:szCs w:val="18"/>
                      <w:highlight w:val="none"/>
                    </w:rPr>
                    <w:t>3.89</w:t>
                  </w:r>
                </w:p>
              </w:tc>
              <w:tc>
                <w:tcPr>
                  <w:tcW w:w="808" w:type="pct"/>
                  <w:vMerge w:val="continue"/>
                  <w:tcBorders>
                    <w:tl2br w:val="nil"/>
                    <w:tr2bl w:val="nil"/>
                  </w:tcBorders>
                  <w:vAlign w:val="center"/>
                </w:tcPr>
                <w:p w14:paraId="26B2116D">
                  <w:pPr>
                    <w:ind w:left="-105" w:leftChars="-50" w:right="-105" w:rightChars="-50"/>
                    <w:jc w:val="center"/>
                    <w:rPr>
                      <w:color w:val="auto"/>
                      <w:sz w:val="18"/>
                      <w:szCs w:val="18"/>
                      <w:highlight w:val="none"/>
                    </w:rPr>
                  </w:pPr>
                </w:p>
              </w:tc>
              <w:tc>
                <w:tcPr>
                  <w:tcW w:w="538" w:type="pct"/>
                  <w:tcBorders>
                    <w:tl2br w:val="nil"/>
                    <w:tr2bl w:val="nil"/>
                  </w:tcBorders>
                  <w:vAlign w:val="center"/>
                </w:tcPr>
                <w:p w14:paraId="18535373">
                  <w:pPr>
                    <w:ind w:left="-105" w:leftChars="-50" w:right="-105" w:rightChars="-50"/>
                    <w:jc w:val="center"/>
                    <w:rPr>
                      <w:color w:val="auto"/>
                      <w:sz w:val="18"/>
                      <w:szCs w:val="18"/>
                      <w:highlight w:val="none"/>
                    </w:rPr>
                  </w:pPr>
                  <w:r>
                    <w:rPr>
                      <w:color w:val="auto"/>
                      <w:sz w:val="18"/>
                      <w:szCs w:val="18"/>
                      <w:highlight w:val="none"/>
                    </w:rPr>
                    <w:t>13.96</w:t>
                  </w:r>
                </w:p>
              </w:tc>
              <w:tc>
                <w:tcPr>
                  <w:tcW w:w="809" w:type="pct"/>
                  <w:vMerge w:val="continue"/>
                  <w:tcBorders>
                    <w:tl2br w:val="nil"/>
                    <w:tr2bl w:val="nil"/>
                  </w:tcBorders>
                  <w:vAlign w:val="center"/>
                </w:tcPr>
                <w:p w14:paraId="4FB515E1">
                  <w:pPr>
                    <w:ind w:left="-105" w:leftChars="-50" w:right="-105" w:rightChars="-50"/>
                    <w:jc w:val="center"/>
                    <w:rPr>
                      <w:color w:val="auto"/>
                      <w:sz w:val="18"/>
                      <w:szCs w:val="18"/>
                      <w:highlight w:val="none"/>
                    </w:rPr>
                  </w:pPr>
                </w:p>
              </w:tc>
              <w:tc>
                <w:tcPr>
                  <w:tcW w:w="634" w:type="pct"/>
                  <w:vMerge w:val="continue"/>
                  <w:tcBorders>
                    <w:tl2br w:val="nil"/>
                    <w:tr2bl w:val="nil"/>
                  </w:tcBorders>
                  <w:vAlign w:val="center"/>
                </w:tcPr>
                <w:p w14:paraId="71152DEE">
                  <w:pPr>
                    <w:ind w:left="-105" w:leftChars="-50" w:right="-105" w:rightChars="-50"/>
                    <w:rPr>
                      <w:color w:val="auto"/>
                      <w:sz w:val="18"/>
                      <w:szCs w:val="18"/>
                      <w:highlight w:val="none"/>
                    </w:rPr>
                  </w:pPr>
                </w:p>
              </w:tc>
              <w:tc>
                <w:tcPr>
                  <w:tcW w:w="476" w:type="pct"/>
                  <w:vMerge w:val="continue"/>
                  <w:tcBorders>
                    <w:tl2br w:val="nil"/>
                    <w:tr2bl w:val="nil"/>
                  </w:tcBorders>
                  <w:vAlign w:val="center"/>
                </w:tcPr>
                <w:p w14:paraId="548FF174">
                  <w:pPr>
                    <w:ind w:left="-105" w:leftChars="-50" w:right="-105" w:rightChars="-50"/>
                    <w:jc w:val="center"/>
                    <w:rPr>
                      <w:color w:val="auto"/>
                      <w:sz w:val="18"/>
                      <w:szCs w:val="18"/>
                      <w:highlight w:val="none"/>
                    </w:rPr>
                  </w:pPr>
                </w:p>
              </w:tc>
            </w:tr>
            <w:tr w14:paraId="554915D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57" w:type="pct"/>
                  <w:vMerge w:val="continue"/>
                  <w:tcBorders>
                    <w:tl2br w:val="nil"/>
                    <w:tr2bl w:val="nil"/>
                  </w:tcBorders>
                  <w:vAlign w:val="center"/>
                </w:tcPr>
                <w:p w14:paraId="6E9B6BEB">
                  <w:pPr>
                    <w:ind w:left="-105" w:leftChars="-50" w:right="-105" w:rightChars="-50"/>
                    <w:jc w:val="center"/>
                    <w:rPr>
                      <w:color w:val="auto"/>
                      <w:sz w:val="18"/>
                      <w:szCs w:val="18"/>
                      <w:highlight w:val="none"/>
                    </w:rPr>
                  </w:pPr>
                </w:p>
              </w:tc>
              <w:tc>
                <w:tcPr>
                  <w:tcW w:w="320" w:type="pct"/>
                  <w:vMerge w:val="continue"/>
                  <w:tcBorders>
                    <w:tl2br w:val="nil"/>
                    <w:tr2bl w:val="nil"/>
                  </w:tcBorders>
                  <w:vAlign w:val="center"/>
                </w:tcPr>
                <w:p w14:paraId="5B87FCA6">
                  <w:pPr>
                    <w:ind w:left="-105" w:leftChars="-50" w:right="-105" w:rightChars="-50"/>
                    <w:jc w:val="center"/>
                    <w:rPr>
                      <w:color w:val="auto"/>
                      <w:sz w:val="18"/>
                      <w:szCs w:val="18"/>
                      <w:highlight w:val="none"/>
                    </w:rPr>
                  </w:pPr>
                </w:p>
              </w:tc>
              <w:tc>
                <w:tcPr>
                  <w:tcW w:w="715" w:type="pct"/>
                  <w:tcBorders>
                    <w:tl2br w:val="nil"/>
                    <w:tr2bl w:val="nil"/>
                  </w:tcBorders>
                  <w:vAlign w:val="center"/>
                </w:tcPr>
                <w:p w14:paraId="0AF443E6">
                  <w:pPr>
                    <w:ind w:left="-105" w:leftChars="-50" w:right="-105" w:rightChars="-50"/>
                    <w:jc w:val="center"/>
                    <w:rPr>
                      <w:color w:val="auto"/>
                      <w:sz w:val="18"/>
                      <w:szCs w:val="18"/>
                      <w:highlight w:val="none"/>
                    </w:rPr>
                  </w:pPr>
                  <w:r>
                    <w:rPr>
                      <w:color w:val="auto"/>
                      <w:sz w:val="18"/>
                      <w:szCs w:val="18"/>
                      <w:highlight w:val="none"/>
                    </w:rPr>
                    <w:t>增减量</w:t>
                  </w:r>
                </w:p>
              </w:tc>
              <w:tc>
                <w:tcPr>
                  <w:tcW w:w="538" w:type="pct"/>
                  <w:tcBorders>
                    <w:tl2br w:val="nil"/>
                    <w:tr2bl w:val="nil"/>
                  </w:tcBorders>
                  <w:vAlign w:val="center"/>
                </w:tcPr>
                <w:p w14:paraId="57DD8EFE">
                  <w:pPr>
                    <w:ind w:left="-105" w:leftChars="-50" w:right="-105" w:rightChars="-50"/>
                    <w:jc w:val="center"/>
                    <w:rPr>
                      <w:color w:val="auto"/>
                      <w:sz w:val="18"/>
                      <w:szCs w:val="18"/>
                      <w:highlight w:val="none"/>
                    </w:rPr>
                  </w:pPr>
                  <w:r>
                    <w:rPr>
                      <w:color w:val="auto"/>
                      <w:sz w:val="18"/>
                      <w:szCs w:val="18"/>
                      <w:highlight w:val="none"/>
                    </w:rPr>
                    <w:t>+1.96</w:t>
                  </w:r>
                </w:p>
              </w:tc>
              <w:tc>
                <w:tcPr>
                  <w:tcW w:w="808" w:type="pct"/>
                  <w:vMerge w:val="continue"/>
                  <w:tcBorders>
                    <w:tl2br w:val="nil"/>
                    <w:tr2bl w:val="nil"/>
                  </w:tcBorders>
                  <w:vAlign w:val="center"/>
                </w:tcPr>
                <w:p w14:paraId="69C38834">
                  <w:pPr>
                    <w:ind w:left="-105" w:leftChars="-50" w:right="-105" w:rightChars="-50"/>
                    <w:jc w:val="center"/>
                    <w:rPr>
                      <w:color w:val="auto"/>
                      <w:sz w:val="18"/>
                      <w:szCs w:val="18"/>
                      <w:highlight w:val="none"/>
                    </w:rPr>
                  </w:pPr>
                </w:p>
              </w:tc>
              <w:tc>
                <w:tcPr>
                  <w:tcW w:w="538" w:type="pct"/>
                  <w:tcBorders>
                    <w:tl2br w:val="nil"/>
                    <w:tr2bl w:val="nil"/>
                  </w:tcBorders>
                  <w:vAlign w:val="center"/>
                </w:tcPr>
                <w:p w14:paraId="0D4D1C3E">
                  <w:pPr>
                    <w:ind w:left="-105" w:leftChars="-50" w:right="-105" w:rightChars="-50"/>
                    <w:jc w:val="center"/>
                    <w:rPr>
                      <w:color w:val="auto"/>
                      <w:sz w:val="18"/>
                      <w:szCs w:val="18"/>
                      <w:highlight w:val="none"/>
                    </w:rPr>
                  </w:pPr>
                  <w:r>
                    <w:rPr>
                      <w:color w:val="auto"/>
                      <w:sz w:val="18"/>
                      <w:szCs w:val="18"/>
                      <w:highlight w:val="none"/>
                    </w:rPr>
                    <w:t>+12.03</w:t>
                  </w:r>
                </w:p>
              </w:tc>
              <w:tc>
                <w:tcPr>
                  <w:tcW w:w="809" w:type="pct"/>
                  <w:vMerge w:val="continue"/>
                  <w:tcBorders>
                    <w:tl2br w:val="nil"/>
                    <w:tr2bl w:val="nil"/>
                  </w:tcBorders>
                  <w:vAlign w:val="center"/>
                </w:tcPr>
                <w:p w14:paraId="624138D5">
                  <w:pPr>
                    <w:ind w:left="-105" w:leftChars="-50" w:right="-105" w:rightChars="-50"/>
                    <w:jc w:val="center"/>
                    <w:rPr>
                      <w:color w:val="auto"/>
                      <w:sz w:val="18"/>
                      <w:szCs w:val="18"/>
                      <w:highlight w:val="none"/>
                    </w:rPr>
                  </w:pPr>
                </w:p>
              </w:tc>
              <w:tc>
                <w:tcPr>
                  <w:tcW w:w="634" w:type="pct"/>
                  <w:vMerge w:val="continue"/>
                  <w:tcBorders>
                    <w:tl2br w:val="nil"/>
                    <w:tr2bl w:val="nil"/>
                  </w:tcBorders>
                  <w:vAlign w:val="center"/>
                </w:tcPr>
                <w:p w14:paraId="7B2E3A10">
                  <w:pPr>
                    <w:ind w:left="-105" w:leftChars="-50" w:right="-105" w:rightChars="-50"/>
                    <w:rPr>
                      <w:color w:val="auto"/>
                      <w:sz w:val="18"/>
                      <w:szCs w:val="18"/>
                      <w:highlight w:val="none"/>
                    </w:rPr>
                  </w:pPr>
                </w:p>
              </w:tc>
              <w:tc>
                <w:tcPr>
                  <w:tcW w:w="476" w:type="pct"/>
                  <w:vMerge w:val="continue"/>
                  <w:tcBorders>
                    <w:tl2br w:val="nil"/>
                    <w:tr2bl w:val="nil"/>
                  </w:tcBorders>
                  <w:vAlign w:val="center"/>
                </w:tcPr>
                <w:p w14:paraId="37766D3A">
                  <w:pPr>
                    <w:ind w:left="-105" w:leftChars="-50" w:right="-105" w:rightChars="-50"/>
                    <w:jc w:val="center"/>
                    <w:rPr>
                      <w:color w:val="auto"/>
                      <w:sz w:val="18"/>
                      <w:szCs w:val="18"/>
                      <w:highlight w:val="none"/>
                    </w:rPr>
                  </w:pPr>
                </w:p>
              </w:tc>
            </w:tr>
            <w:tr w14:paraId="6220ED2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57" w:type="pct"/>
                  <w:vMerge w:val="restart"/>
                  <w:tcBorders>
                    <w:tl2br w:val="nil"/>
                    <w:tr2bl w:val="nil"/>
                  </w:tcBorders>
                  <w:vAlign w:val="center"/>
                </w:tcPr>
                <w:p w14:paraId="6FD70BA1">
                  <w:pPr>
                    <w:ind w:left="-105" w:leftChars="-50" w:right="-105" w:rightChars="-50"/>
                    <w:jc w:val="center"/>
                    <w:rPr>
                      <w:color w:val="auto"/>
                      <w:sz w:val="18"/>
                      <w:szCs w:val="18"/>
                      <w:highlight w:val="none"/>
                    </w:rPr>
                  </w:pPr>
                  <w:r>
                    <w:rPr>
                      <w:color w:val="auto"/>
                      <w:sz w:val="18"/>
                      <w:szCs w:val="18"/>
                      <w:highlight w:val="none"/>
                    </w:rPr>
                    <w:t>大气污染物总量管控限值</w:t>
                  </w:r>
                </w:p>
              </w:tc>
              <w:tc>
                <w:tcPr>
                  <w:tcW w:w="320" w:type="pct"/>
                  <w:vMerge w:val="restart"/>
                  <w:tcBorders>
                    <w:tl2br w:val="nil"/>
                    <w:tr2bl w:val="nil"/>
                  </w:tcBorders>
                  <w:vAlign w:val="center"/>
                </w:tcPr>
                <w:p w14:paraId="27E6005F">
                  <w:pPr>
                    <w:ind w:left="-105" w:leftChars="-50" w:right="-105" w:rightChars="-50"/>
                    <w:jc w:val="center"/>
                    <w:rPr>
                      <w:color w:val="auto"/>
                      <w:sz w:val="18"/>
                      <w:szCs w:val="18"/>
                      <w:highlight w:val="none"/>
                      <w:vertAlign w:val="subscript"/>
                    </w:rPr>
                  </w:pPr>
                  <w:r>
                    <w:rPr>
                      <w:color w:val="auto"/>
                      <w:sz w:val="18"/>
                      <w:szCs w:val="18"/>
                      <w:highlight w:val="none"/>
                    </w:rPr>
                    <w:t>SO</w:t>
                  </w:r>
                  <w:r>
                    <w:rPr>
                      <w:color w:val="auto"/>
                      <w:sz w:val="18"/>
                      <w:szCs w:val="18"/>
                      <w:highlight w:val="none"/>
                      <w:vertAlign w:val="subscript"/>
                    </w:rPr>
                    <w:t>2</w:t>
                  </w:r>
                </w:p>
                <w:p w14:paraId="3DA9111B">
                  <w:pPr>
                    <w:ind w:left="-105" w:leftChars="-50" w:right="-105" w:rightChars="-50"/>
                    <w:jc w:val="center"/>
                    <w:rPr>
                      <w:color w:val="auto"/>
                      <w:sz w:val="18"/>
                      <w:szCs w:val="18"/>
                      <w:highlight w:val="none"/>
                    </w:rPr>
                  </w:pPr>
                  <w:r>
                    <w:rPr>
                      <w:color w:val="auto"/>
                      <w:sz w:val="18"/>
                      <w:szCs w:val="18"/>
                      <w:highlight w:val="none"/>
                    </w:rPr>
                    <w:t>(t/a)</w:t>
                  </w:r>
                </w:p>
              </w:tc>
              <w:tc>
                <w:tcPr>
                  <w:tcW w:w="715" w:type="pct"/>
                  <w:tcBorders>
                    <w:tl2br w:val="nil"/>
                    <w:tr2bl w:val="nil"/>
                  </w:tcBorders>
                  <w:vAlign w:val="center"/>
                </w:tcPr>
                <w:p w14:paraId="1A02156C">
                  <w:pPr>
                    <w:ind w:left="-105" w:leftChars="-50" w:right="-105" w:rightChars="-50"/>
                    <w:jc w:val="center"/>
                    <w:rPr>
                      <w:color w:val="auto"/>
                      <w:sz w:val="18"/>
                      <w:szCs w:val="18"/>
                      <w:highlight w:val="none"/>
                    </w:rPr>
                  </w:pPr>
                  <w:r>
                    <w:rPr>
                      <w:color w:val="auto"/>
                      <w:sz w:val="18"/>
                      <w:szCs w:val="18"/>
                      <w:highlight w:val="none"/>
                    </w:rPr>
                    <w:t>现状排放量</w:t>
                  </w:r>
                </w:p>
              </w:tc>
              <w:tc>
                <w:tcPr>
                  <w:tcW w:w="538" w:type="pct"/>
                  <w:tcBorders>
                    <w:tl2br w:val="nil"/>
                    <w:tr2bl w:val="nil"/>
                  </w:tcBorders>
                  <w:vAlign w:val="center"/>
                </w:tcPr>
                <w:p w14:paraId="5CFC9731">
                  <w:pPr>
                    <w:ind w:left="-105" w:leftChars="-50" w:right="-105" w:rightChars="-50"/>
                    <w:jc w:val="center"/>
                    <w:rPr>
                      <w:color w:val="auto"/>
                      <w:sz w:val="18"/>
                      <w:szCs w:val="18"/>
                      <w:highlight w:val="none"/>
                    </w:rPr>
                  </w:pPr>
                  <w:r>
                    <w:rPr>
                      <w:color w:val="auto"/>
                      <w:sz w:val="18"/>
                      <w:szCs w:val="18"/>
                      <w:highlight w:val="none"/>
                    </w:rPr>
                    <w:t>57.65</w:t>
                  </w:r>
                </w:p>
              </w:tc>
              <w:tc>
                <w:tcPr>
                  <w:tcW w:w="808" w:type="pct"/>
                  <w:vMerge w:val="restart"/>
                  <w:tcBorders>
                    <w:tl2br w:val="nil"/>
                    <w:tr2bl w:val="nil"/>
                  </w:tcBorders>
                  <w:vAlign w:val="center"/>
                </w:tcPr>
                <w:p w14:paraId="61410D2A">
                  <w:pPr>
                    <w:ind w:left="-105" w:leftChars="-50" w:right="-105" w:rightChars="-50"/>
                    <w:jc w:val="center"/>
                    <w:rPr>
                      <w:color w:val="auto"/>
                      <w:sz w:val="18"/>
                      <w:szCs w:val="18"/>
                      <w:highlight w:val="none"/>
                    </w:rPr>
                  </w:pPr>
                  <w:r>
                    <w:rPr>
                      <w:color w:val="auto"/>
                      <w:sz w:val="18"/>
                      <w:szCs w:val="18"/>
                      <w:highlight w:val="none"/>
                    </w:rPr>
                    <w:t>在实现大区域环境治理基础上，规划区域大气环境质量呈变好趋势，能达到环境质量底线要求</w:t>
                  </w:r>
                </w:p>
              </w:tc>
              <w:tc>
                <w:tcPr>
                  <w:tcW w:w="538" w:type="pct"/>
                  <w:tcBorders>
                    <w:tl2br w:val="nil"/>
                    <w:tr2bl w:val="nil"/>
                  </w:tcBorders>
                  <w:vAlign w:val="center"/>
                </w:tcPr>
                <w:p w14:paraId="17A2E059">
                  <w:pPr>
                    <w:ind w:left="-105" w:leftChars="-50" w:right="-105" w:rightChars="-50"/>
                    <w:jc w:val="center"/>
                    <w:rPr>
                      <w:color w:val="auto"/>
                      <w:sz w:val="18"/>
                      <w:szCs w:val="18"/>
                      <w:highlight w:val="none"/>
                    </w:rPr>
                  </w:pPr>
                  <w:r>
                    <w:rPr>
                      <w:color w:val="auto"/>
                      <w:sz w:val="18"/>
                      <w:szCs w:val="18"/>
                      <w:highlight w:val="none"/>
                    </w:rPr>
                    <w:t>57.65</w:t>
                  </w:r>
                </w:p>
              </w:tc>
              <w:tc>
                <w:tcPr>
                  <w:tcW w:w="809" w:type="pct"/>
                  <w:vMerge w:val="restart"/>
                  <w:tcBorders>
                    <w:tl2br w:val="nil"/>
                    <w:tr2bl w:val="nil"/>
                  </w:tcBorders>
                  <w:vAlign w:val="center"/>
                </w:tcPr>
                <w:p w14:paraId="5E8572DF">
                  <w:pPr>
                    <w:ind w:left="-105" w:leftChars="-50" w:right="-105" w:rightChars="-50"/>
                    <w:jc w:val="center"/>
                    <w:rPr>
                      <w:color w:val="auto"/>
                      <w:sz w:val="18"/>
                      <w:szCs w:val="18"/>
                      <w:highlight w:val="none"/>
                    </w:rPr>
                  </w:pPr>
                  <w:r>
                    <w:rPr>
                      <w:color w:val="auto"/>
                      <w:sz w:val="18"/>
                      <w:szCs w:val="18"/>
                      <w:highlight w:val="none"/>
                    </w:rPr>
                    <w:t>在实现大区域环境治理基础上，规划区域大气环境质量呈变好趋势，能达到环境质量底线要求</w:t>
                  </w:r>
                </w:p>
              </w:tc>
              <w:tc>
                <w:tcPr>
                  <w:tcW w:w="634" w:type="pct"/>
                  <w:vMerge w:val="continue"/>
                  <w:tcBorders>
                    <w:tl2br w:val="nil"/>
                    <w:tr2bl w:val="nil"/>
                  </w:tcBorders>
                  <w:vAlign w:val="center"/>
                </w:tcPr>
                <w:p w14:paraId="4094CC39">
                  <w:pPr>
                    <w:ind w:left="-105" w:leftChars="-50" w:right="-105" w:rightChars="-50"/>
                    <w:rPr>
                      <w:color w:val="auto"/>
                      <w:sz w:val="18"/>
                      <w:szCs w:val="18"/>
                      <w:highlight w:val="none"/>
                    </w:rPr>
                  </w:pPr>
                </w:p>
              </w:tc>
              <w:tc>
                <w:tcPr>
                  <w:tcW w:w="476" w:type="pct"/>
                  <w:vMerge w:val="restart"/>
                  <w:tcBorders>
                    <w:tl2br w:val="nil"/>
                    <w:tr2bl w:val="nil"/>
                  </w:tcBorders>
                  <w:vAlign w:val="center"/>
                </w:tcPr>
                <w:p w14:paraId="276B802C">
                  <w:pPr>
                    <w:ind w:left="-105" w:leftChars="-50" w:right="-105" w:rightChars="-50"/>
                    <w:jc w:val="center"/>
                    <w:rPr>
                      <w:color w:val="auto"/>
                      <w:sz w:val="18"/>
                      <w:szCs w:val="18"/>
                      <w:highlight w:val="none"/>
                    </w:rPr>
                  </w:pPr>
                  <w:r>
                    <w:rPr>
                      <w:color w:val="auto"/>
                      <w:sz w:val="18"/>
                      <w:szCs w:val="18"/>
                      <w:highlight w:val="none"/>
                    </w:rPr>
                    <w:t>符合</w:t>
                  </w:r>
                </w:p>
              </w:tc>
            </w:tr>
            <w:tr w14:paraId="2A1708C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57" w:type="pct"/>
                  <w:vMerge w:val="continue"/>
                  <w:tcBorders>
                    <w:tl2br w:val="nil"/>
                    <w:tr2bl w:val="nil"/>
                  </w:tcBorders>
                  <w:vAlign w:val="center"/>
                </w:tcPr>
                <w:p w14:paraId="2437C558">
                  <w:pPr>
                    <w:ind w:left="-105" w:leftChars="-50" w:right="-105" w:rightChars="-50"/>
                    <w:jc w:val="center"/>
                    <w:rPr>
                      <w:color w:val="auto"/>
                      <w:sz w:val="18"/>
                      <w:szCs w:val="18"/>
                      <w:highlight w:val="none"/>
                    </w:rPr>
                  </w:pPr>
                </w:p>
              </w:tc>
              <w:tc>
                <w:tcPr>
                  <w:tcW w:w="320" w:type="pct"/>
                  <w:vMerge w:val="continue"/>
                  <w:tcBorders>
                    <w:tl2br w:val="nil"/>
                    <w:tr2bl w:val="nil"/>
                  </w:tcBorders>
                  <w:vAlign w:val="center"/>
                </w:tcPr>
                <w:p w14:paraId="0A9A8D53">
                  <w:pPr>
                    <w:ind w:left="-105" w:leftChars="-50" w:right="-105" w:rightChars="-50"/>
                    <w:jc w:val="center"/>
                    <w:rPr>
                      <w:color w:val="auto"/>
                      <w:sz w:val="18"/>
                      <w:szCs w:val="18"/>
                      <w:highlight w:val="none"/>
                    </w:rPr>
                  </w:pPr>
                </w:p>
              </w:tc>
              <w:tc>
                <w:tcPr>
                  <w:tcW w:w="715" w:type="pct"/>
                  <w:tcBorders>
                    <w:tl2br w:val="nil"/>
                    <w:tr2bl w:val="nil"/>
                  </w:tcBorders>
                  <w:vAlign w:val="center"/>
                </w:tcPr>
                <w:p w14:paraId="662C6026">
                  <w:pPr>
                    <w:ind w:left="-105" w:leftChars="-50" w:right="-105" w:rightChars="-50"/>
                    <w:jc w:val="center"/>
                    <w:rPr>
                      <w:color w:val="auto"/>
                      <w:sz w:val="18"/>
                      <w:szCs w:val="18"/>
                      <w:highlight w:val="none"/>
                    </w:rPr>
                  </w:pPr>
                  <w:r>
                    <w:rPr>
                      <w:color w:val="auto"/>
                      <w:sz w:val="18"/>
                      <w:szCs w:val="18"/>
                      <w:highlight w:val="none"/>
                    </w:rPr>
                    <w:t>总量管控限值</w:t>
                  </w:r>
                </w:p>
              </w:tc>
              <w:tc>
                <w:tcPr>
                  <w:tcW w:w="538" w:type="pct"/>
                  <w:tcBorders>
                    <w:tl2br w:val="nil"/>
                    <w:tr2bl w:val="nil"/>
                  </w:tcBorders>
                  <w:vAlign w:val="center"/>
                </w:tcPr>
                <w:p w14:paraId="4F717815">
                  <w:pPr>
                    <w:ind w:left="-105" w:leftChars="-50" w:right="-105" w:rightChars="-50"/>
                    <w:jc w:val="center"/>
                    <w:rPr>
                      <w:color w:val="auto"/>
                      <w:sz w:val="18"/>
                      <w:szCs w:val="18"/>
                      <w:highlight w:val="none"/>
                    </w:rPr>
                  </w:pPr>
                  <w:r>
                    <w:rPr>
                      <w:color w:val="auto"/>
                      <w:sz w:val="18"/>
                      <w:szCs w:val="18"/>
                      <w:highlight w:val="none"/>
                    </w:rPr>
                    <w:t>40.52</w:t>
                  </w:r>
                </w:p>
              </w:tc>
              <w:tc>
                <w:tcPr>
                  <w:tcW w:w="808" w:type="pct"/>
                  <w:vMerge w:val="continue"/>
                  <w:tcBorders>
                    <w:tl2br w:val="nil"/>
                    <w:tr2bl w:val="nil"/>
                  </w:tcBorders>
                  <w:vAlign w:val="center"/>
                </w:tcPr>
                <w:p w14:paraId="4F189525">
                  <w:pPr>
                    <w:ind w:left="-105" w:leftChars="-50" w:right="-105" w:rightChars="-50"/>
                    <w:jc w:val="center"/>
                    <w:rPr>
                      <w:color w:val="auto"/>
                      <w:sz w:val="18"/>
                      <w:szCs w:val="18"/>
                      <w:highlight w:val="none"/>
                    </w:rPr>
                  </w:pPr>
                </w:p>
              </w:tc>
              <w:tc>
                <w:tcPr>
                  <w:tcW w:w="538" w:type="pct"/>
                  <w:tcBorders>
                    <w:tl2br w:val="nil"/>
                    <w:tr2bl w:val="nil"/>
                  </w:tcBorders>
                  <w:vAlign w:val="center"/>
                </w:tcPr>
                <w:p w14:paraId="7D1E8C45">
                  <w:pPr>
                    <w:ind w:left="-105" w:leftChars="-50" w:right="-105" w:rightChars="-50"/>
                    <w:jc w:val="center"/>
                    <w:rPr>
                      <w:color w:val="auto"/>
                      <w:sz w:val="18"/>
                      <w:szCs w:val="18"/>
                      <w:highlight w:val="none"/>
                    </w:rPr>
                  </w:pPr>
                  <w:r>
                    <w:rPr>
                      <w:color w:val="auto"/>
                      <w:sz w:val="18"/>
                      <w:szCs w:val="18"/>
                      <w:highlight w:val="none"/>
                    </w:rPr>
                    <w:t>77.09</w:t>
                  </w:r>
                </w:p>
              </w:tc>
              <w:tc>
                <w:tcPr>
                  <w:tcW w:w="809" w:type="pct"/>
                  <w:vMerge w:val="continue"/>
                  <w:tcBorders>
                    <w:tl2br w:val="nil"/>
                    <w:tr2bl w:val="nil"/>
                  </w:tcBorders>
                  <w:vAlign w:val="center"/>
                </w:tcPr>
                <w:p w14:paraId="17F83F7C">
                  <w:pPr>
                    <w:ind w:left="-105" w:leftChars="-50" w:right="-105" w:rightChars="-50"/>
                    <w:jc w:val="center"/>
                    <w:rPr>
                      <w:color w:val="auto"/>
                      <w:sz w:val="18"/>
                      <w:szCs w:val="18"/>
                      <w:highlight w:val="none"/>
                    </w:rPr>
                  </w:pPr>
                </w:p>
              </w:tc>
              <w:tc>
                <w:tcPr>
                  <w:tcW w:w="634" w:type="pct"/>
                  <w:vMerge w:val="continue"/>
                  <w:tcBorders>
                    <w:tl2br w:val="nil"/>
                    <w:tr2bl w:val="nil"/>
                  </w:tcBorders>
                  <w:vAlign w:val="center"/>
                </w:tcPr>
                <w:p w14:paraId="29A83ACF">
                  <w:pPr>
                    <w:ind w:left="-105" w:leftChars="-50" w:right="-105" w:rightChars="-50"/>
                    <w:jc w:val="center"/>
                    <w:rPr>
                      <w:color w:val="auto"/>
                      <w:sz w:val="18"/>
                      <w:szCs w:val="18"/>
                      <w:highlight w:val="none"/>
                    </w:rPr>
                  </w:pPr>
                </w:p>
              </w:tc>
              <w:tc>
                <w:tcPr>
                  <w:tcW w:w="476" w:type="pct"/>
                  <w:vMerge w:val="continue"/>
                  <w:tcBorders>
                    <w:tl2br w:val="nil"/>
                    <w:tr2bl w:val="nil"/>
                  </w:tcBorders>
                  <w:vAlign w:val="center"/>
                </w:tcPr>
                <w:p w14:paraId="35E4EAF8">
                  <w:pPr>
                    <w:ind w:left="-105" w:leftChars="-50" w:right="-105" w:rightChars="-50"/>
                    <w:jc w:val="center"/>
                    <w:rPr>
                      <w:color w:val="auto"/>
                      <w:sz w:val="18"/>
                      <w:szCs w:val="18"/>
                      <w:highlight w:val="none"/>
                    </w:rPr>
                  </w:pPr>
                </w:p>
              </w:tc>
            </w:tr>
            <w:tr w14:paraId="2B3DCD1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57" w:type="pct"/>
                  <w:vMerge w:val="continue"/>
                  <w:tcBorders>
                    <w:tl2br w:val="nil"/>
                    <w:tr2bl w:val="nil"/>
                  </w:tcBorders>
                  <w:vAlign w:val="center"/>
                </w:tcPr>
                <w:p w14:paraId="50B8AE95">
                  <w:pPr>
                    <w:ind w:left="-105" w:leftChars="-50" w:right="-105" w:rightChars="-50"/>
                    <w:jc w:val="center"/>
                    <w:rPr>
                      <w:color w:val="auto"/>
                      <w:sz w:val="18"/>
                      <w:szCs w:val="18"/>
                      <w:highlight w:val="none"/>
                    </w:rPr>
                  </w:pPr>
                </w:p>
              </w:tc>
              <w:tc>
                <w:tcPr>
                  <w:tcW w:w="320" w:type="pct"/>
                  <w:vMerge w:val="continue"/>
                  <w:tcBorders>
                    <w:tl2br w:val="nil"/>
                    <w:tr2bl w:val="nil"/>
                  </w:tcBorders>
                  <w:vAlign w:val="center"/>
                </w:tcPr>
                <w:p w14:paraId="580E605F">
                  <w:pPr>
                    <w:ind w:left="-105" w:leftChars="-50" w:right="-105" w:rightChars="-50"/>
                    <w:jc w:val="center"/>
                    <w:rPr>
                      <w:color w:val="auto"/>
                      <w:sz w:val="18"/>
                      <w:szCs w:val="18"/>
                      <w:highlight w:val="none"/>
                    </w:rPr>
                  </w:pPr>
                </w:p>
              </w:tc>
              <w:tc>
                <w:tcPr>
                  <w:tcW w:w="715" w:type="pct"/>
                  <w:tcBorders>
                    <w:tl2br w:val="nil"/>
                    <w:tr2bl w:val="nil"/>
                  </w:tcBorders>
                  <w:vAlign w:val="center"/>
                </w:tcPr>
                <w:p w14:paraId="3A93F8F9">
                  <w:pPr>
                    <w:ind w:left="-105" w:leftChars="-50" w:right="-105" w:rightChars="-50"/>
                    <w:jc w:val="center"/>
                    <w:rPr>
                      <w:color w:val="auto"/>
                      <w:sz w:val="18"/>
                      <w:szCs w:val="18"/>
                      <w:highlight w:val="none"/>
                    </w:rPr>
                  </w:pPr>
                  <w:r>
                    <w:rPr>
                      <w:color w:val="auto"/>
                      <w:sz w:val="18"/>
                      <w:szCs w:val="18"/>
                      <w:highlight w:val="none"/>
                    </w:rPr>
                    <w:t>增减量</w:t>
                  </w:r>
                </w:p>
              </w:tc>
              <w:tc>
                <w:tcPr>
                  <w:tcW w:w="538" w:type="pct"/>
                  <w:tcBorders>
                    <w:tl2br w:val="nil"/>
                    <w:tr2bl w:val="nil"/>
                  </w:tcBorders>
                  <w:vAlign w:val="center"/>
                </w:tcPr>
                <w:p w14:paraId="59C347D7">
                  <w:pPr>
                    <w:ind w:left="-105" w:leftChars="-50" w:right="-105" w:rightChars="-50"/>
                    <w:jc w:val="center"/>
                    <w:rPr>
                      <w:color w:val="auto"/>
                      <w:sz w:val="18"/>
                      <w:szCs w:val="18"/>
                      <w:highlight w:val="none"/>
                    </w:rPr>
                  </w:pPr>
                  <w:r>
                    <w:rPr>
                      <w:color w:val="auto"/>
                      <w:sz w:val="18"/>
                      <w:szCs w:val="18"/>
                      <w:highlight w:val="none"/>
                    </w:rPr>
                    <w:t>-17.13</w:t>
                  </w:r>
                </w:p>
              </w:tc>
              <w:tc>
                <w:tcPr>
                  <w:tcW w:w="808" w:type="pct"/>
                  <w:vMerge w:val="continue"/>
                  <w:tcBorders>
                    <w:tl2br w:val="nil"/>
                    <w:tr2bl w:val="nil"/>
                  </w:tcBorders>
                  <w:vAlign w:val="center"/>
                </w:tcPr>
                <w:p w14:paraId="33A7E5B6">
                  <w:pPr>
                    <w:ind w:left="-105" w:leftChars="-50" w:right="-105" w:rightChars="-50"/>
                    <w:jc w:val="center"/>
                    <w:rPr>
                      <w:color w:val="auto"/>
                      <w:sz w:val="18"/>
                      <w:szCs w:val="18"/>
                      <w:highlight w:val="none"/>
                    </w:rPr>
                  </w:pPr>
                </w:p>
              </w:tc>
              <w:tc>
                <w:tcPr>
                  <w:tcW w:w="538" w:type="pct"/>
                  <w:tcBorders>
                    <w:tl2br w:val="nil"/>
                    <w:tr2bl w:val="nil"/>
                  </w:tcBorders>
                  <w:vAlign w:val="center"/>
                </w:tcPr>
                <w:p w14:paraId="4B245274">
                  <w:pPr>
                    <w:ind w:left="-105" w:leftChars="-50" w:right="-105" w:rightChars="-50"/>
                    <w:jc w:val="center"/>
                    <w:rPr>
                      <w:color w:val="auto"/>
                      <w:sz w:val="18"/>
                      <w:szCs w:val="18"/>
                      <w:highlight w:val="none"/>
                    </w:rPr>
                  </w:pPr>
                  <w:r>
                    <w:rPr>
                      <w:color w:val="auto"/>
                      <w:sz w:val="18"/>
                      <w:szCs w:val="18"/>
                      <w:highlight w:val="none"/>
                    </w:rPr>
                    <w:t>+19.44</w:t>
                  </w:r>
                </w:p>
              </w:tc>
              <w:tc>
                <w:tcPr>
                  <w:tcW w:w="809" w:type="pct"/>
                  <w:vMerge w:val="continue"/>
                  <w:tcBorders>
                    <w:tl2br w:val="nil"/>
                    <w:tr2bl w:val="nil"/>
                  </w:tcBorders>
                  <w:vAlign w:val="center"/>
                </w:tcPr>
                <w:p w14:paraId="4B7C1617">
                  <w:pPr>
                    <w:ind w:left="-105" w:leftChars="-50" w:right="-105" w:rightChars="-50"/>
                    <w:jc w:val="center"/>
                    <w:rPr>
                      <w:color w:val="auto"/>
                      <w:sz w:val="18"/>
                      <w:szCs w:val="18"/>
                      <w:highlight w:val="none"/>
                    </w:rPr>
                  </w:pPr>
                </w:p>
              </w:tc>
              <w:tc>
                <w:tcPr>
                  <w:tcW w:w="634" w:type="pct"/>
                  <w:vMerge w:val="continue"/>
                  <w:tcBorders>
                    <w:tl2br w:val="nil"/>
                    <w:tr2bl w:val="nil"/>
                  </w:tcBorders>
                  <w:vAlign w:val="center"/>
                </w:tcPr>
                <w:p w14:paraId="7268440C">
                  <w:pPr>
                    <w:ind w:left="-105" w:leftChars="-50" w:right="-105" w:rightChars="-50"/>
                    <w:jc w:val="center"/>
                    <w:rPr>
                      <w:color w:val="auto"/>
                      <w:sz w:val="18"/>
                      <w:szCs w:val="18"/>
                      <w:highlight w:val="none"/>
                    </w:rPr>
                  </w:pPr>
                </w:p>
              </w:tc>
              <w:tc>
                <w:tcPr>
                  <w:tcW w:w="476" w:type="pct"/>
                  <w:vMerge w:val="continue"/>
                  <w:tcBorders>
                    <w:tl2br w:val="nil"/>
                    <w:tr2bl w:val="nil"/>
                  </w:tcBorders>
                  <w:vAlign w:val="center"/>
                </w:tcPr>
                <w:p w14:paraId="25077C71">
                  <w:pPr>
                    <w:ind w:left="-105" w:leftChars="-50" w:right="-105" w:rightChars="-50"/>
                    <w:jc w:val="center"/>
                    <w:rPr>
                      <w:color w:val="auto"/>
                      <w:sz w:val="18"/>
                      <w:szCs w:val="18"/>
                      <w:highlight w:val="none"/>
                    </w:rPr>
                  </w:pPr>
                </w:p>
              </w:tc>
            </w:tr>
            <w:tr w14:paraId="6F2137E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57" w:type="pct"/>
                  <w:vMerge w:val="continue"/>
                  <w:tcBorders>
                    <w:tl2br w:val="nil"/>
                    <w:tr2bl w:val="nil"/>
                  </w:tcBorders>
                  <w:vAlign w:val="center"/>
                </w:tcPr>
                <w:p w14:paraId="7CF20DF2">
                  <w:pPr>
                    <w:ind w:left="-105" w:leftChars="-50" w:right="-105" w:rightChars="-50"/>
                    <w:jc w:val="center"/>
                    <w:rPr>
                      <w:color w:val="auto"/>
                      <w:sz w:val="18"/>
                      <w:szCs w:val="18"/>
                      <w:highlight w:val="none"/>
                    </w:rPr>
                  </w:pPr>
                </w:p>
              </w:tc>
              <w:tc>
                <w:tcPr>
                  <w:tcW w:w="320" w:type="pct"/>
                  <w:vMerge w:val="restart"/>
                  <w:tcBorders>
                    <w:tl2br w:val="nil"/>
                    <w:tr2bl w:val="nil"/>
                  </w:tcBorders>
                  <w:vAlign w:val="center"/>
                </w:tcPr>
                <w:p w14:paraId="6D0E0342">
                  <w:pPr>
                    <w:ind w:left="-105" w:leftChars="-50" w:right="-105" w:rightChars="-50"/>
                    <w:jc w:val="center"/>
                    <w:rPr>
                      <w:color w:val="auto"/>
                      <w:sz w:val="18"/>
                      <w:szCs w:val="18"/>
                      <w:highlight w:val="none"/>
                      <w:vertAlign w:val="subscript"/>
                    </w:rPr>
                  </w:pPr>
                  <w:r>
                    <w:rPr>
                      <w:color w:val="auto"/>
                      <w:sz w:val="18"/>
                      <w:szCs w:val="18"/>
                      <w:highlight w:val="none"/>
                    </w:rPr>
                    <w:t>NO</w:t>
                  </w:r>
                  <w:r>
                    <w:rPr>
                      <w:color w:val="auto"/>
                      <w:sz w:val="18"/>
                      <w:szCs w:val="18"/>
                      <w:highlight w:val="none"/>
                      <w:vertAlign w:val="subscript"/>
                    </w:rPr>
                    <w:t>x</w:t>
                  </w:r>
                </w:p>
                <w:p w14:paraId="4D9FEF0A">
                  <w:pPr>
                    <w:ind w:left="-105" w:leftChars="-50" w:right="-105" w:rightChars="-50"/>
                    <w:jc w:val="center"/>
                    <w:rPr>
                      <w:color w:val="auto"/>
                      <w:sz w:val="18"/>
                      <w:szCs w:val="18"/>
                      <w:highlight w:val="none"/>
                    </w:rPr>
                  </w:pPr>
                  <w:r>
                    <w:rPr>
                      <w:color w:val="auto"/>
                      <w:sz w:val="18"/>
                      <w:szCs w:val="18"/>
                      <w:highlight w:val="none"/>
                    </w:rPr>
                    <w:t>(t/a)</w:t>
                  </w:r>
                </w:p>
              </w:tc>
              <w:tc>
                <w:tcPr>
                  <w:tcW w:w="715" w:type="pct"/>
                  <w:tcBorders>
                    <w:tl2br w:val="nil"/>
                    <w:tr2bl w:val="nil"/>
                  </w:tcBorders>
                  <w:vAlign w:val="center"/>
                </w:tcPr>
                <w:p w14:paraId="0BA23A69">
                  <w:pPr>
                    <w:ind w:left="-105" w:leftChars="-50" w:right="-105" w:rightChars="-50"/>
                    <w:jc w:val="center"/>
                    <w:rPr>
                      <w:color w:val="auto"/>
                      <w:sz w:val="18"/>
                      <w:szCs w:val="18"/>
                      <w:highlight w:val="none"/>
                    </w:rPr>
                  </w:pPr>
                  <w:r>
                    <w:rPr>
                      <w:color w:val="auto"/>
                      <w:sz w:val="18"/>
                      <w:szCs w:val="18"/>
                      <w:highlight w:val="none"/>
                    </w:rPr>
                    <w:t>现状排放量</w:t>
                  </w:r>
                </w:p>
              </w:tc>
              <w:tc>
                <w:tcPr>
                  <w:tcW w:w="538" w:type="pct"/>
                  <w:tcBorders>
                    <w:tl2br w:val="nil"/>
                    <w:tr2bl w:val="nil"/>
                  </w:tcBorders>
                  <w:vAlign w:val="center"/>
                </w:tcPr>
                <w:p w14:paraId="69A79792">
                  <w:pPr>
                    <w:ind w:left="-105" w:leftChars="-50" w:right="-105" w:rightChars="-50"/>
                    <w:jc w:val="center"/>
                    <w:rPr>
                      <w:color w:val="auto"/>
                      <w:sz w:val="18"/>
                      <w:szCs w:val="18"/>
                      <w:highlight w:val="none"/>
                    </w:rPr>
                  </w:pPr>
                  <w:r>
                    <w:rPr>
                      <w:color w:val="auto"/>
                      <w:sz w:val="18"/>
                      <w:szCs w:val="18"/>
                      <w:highlight w:val="none"/>
                    </w:rPr>
                    <w:t>80.33</w:t>
                  </w:r>
                </w:p>
              </w:tc>
              <w:tc>
                <w:tcPr>
                  <w:tcW w:w="808" w:type="pct"/>
                  <w:vMerge w:val="continue"/>
                  <w:tcBorders>
                    <w:tl2br w:val="nil"/>
                    <w:tr2bl w:val="nil"/>
                  </w:tcBorders>
                  <w:vAlign w:val="center"/>
                </w:tcPr>
                <w:p w14:paraId="5D6EBC8A">
                  <w:pPr>
                    <w:ind w:left="-105" w:leftChars="-50" w:right="-105" w:rightChars="-50"/>
                    <w:jc w:val="center"/>
                    <w:rPr>
                      <w:color w:val="auto"/>
                      <w:sz w:val="18"/>
                      <w:szCs w:val="18"/>
                      <w:highlight w:val="none"/>
                    </w:rPr>
                  </w:pPr>
                </w:p>
              </w:tc>
              <w:tc>
                <w:tcPr>
                  <w:tcW w:w="538" w:type="pct"/>
                  <w:tcBorders>
                    <w:tl2br w:val="nil"/>
                    <w:tr2bl w:val="nil"/>
                  </w:tcBorders>
                  <w:vAlign w:val="center"/>
                </w:tcPr>
                <w:p w14:paraId="7C43E7AD">
                  <w:pPr>
                    <w:ind w:left="-105" w:leftChars="-50" w:right="-105" w:rightChars="-50"/>
                    <w:jc w:val="center"/>
                    <w:rPr>
                      <w:color w:val="auto"/>
                      <w:sz w:val="18"/>
                      <w:szCs w:val="18"/>
                      <w:highlight w:val="none"/>
                    </w:rPr>
                  </w:pPr>
                  <w:r>
                    <w:rPr>
                      <w:color w:val="auto"/>
                      <w:sz w:val="18"/>
                      <w:szCs w:val="18"/>
                      <w:highlight w:val="none"/>
                    </w:rPr>
                    <w:t>80.33</w:t>
                  </w:r>
                </w:p>
              </w:tc>
              <w:tc>
                <w:tcPr>
                  <w:tcW w:w="809" w:type="pct"/>
                  <w:vMerge w:val="continue"/>
                  <w:tcBorders>
                    <w:tl2br w:val="nil"/>
                    <w:tr2bl w:val="nil"/>
                  </w:tcBorders>
                  <w:vAlign w:val="center"/>
                </w:tcPr>
                <w:p w14:paraId="541BC71E">
                  <w:pPr>
                    <w:ind w:left="-105" w:leftChars="-50" w:right="-105" w:rightChars="-50"/>
                    <w:jc w:val="center"/>
                    <w:rPr>
                      <w:color w:val="auto"/>
                      <w:sz w:val="18"/>
                      <w:szCs w:val="18"/>
                      <w:highlight w:val="none"/>
                    </w:rPr>
                  </w:pPr>
                </w:p>
              </w:tc>
              <w:tc>
                <w:tcPr>
                  <w:tcW w:w="634" w:type="pct"/>
                  <w:vMerge w:val="continue"/>
                  <w:tcBorders>
                    <w:tl2br w:val="nil"/>
                    <w:tr2bl w:val="nil"/>
                  </w:tcBorders>
                  <w:vAlign w:val="center"/>
                </w:tcPr>
                <w:p w14:paraId="48B299B2">
                  <w:pPr>
                    <w:ind w:left="-105" w:leftChars="-50" w:right="-105" w:rightChars="-50"/>
                    <w:jc w:val="center"/>
                    <w:rPr>
                      <w:color w:val="auto"/>
                      <w:sz w:val="18"/>
                      <w:szCs w:val="18"/>
                      <w:highlight w:val="none"/>
                    </w:rPr>
                  </w:pPr>
                </w:p>
              </w:tc>
              <w:tc>
                <w:tcPr>
                  <w:tcW w:w="476" w:type="pct"/>
                  <w:vMerge w:val="continue"/>
                  <w:tcBorders>
                    <w:tl2br w:val="nil"/>
                    <w:tr2bl w:val="nil"/>
                  </w:tcBorders>
                  <w:vAlign w:val="center"/>
                </w:tcPr>
                <w:p w14:paraId="06BF2CAA">
                  <w:pPr>
                    <w:ind w:left="-105" w:leftChars="-50" w:right="-105" w:rightChars="-50"/>
                    <w:jc w:val="center"/>
                    <w:rPr>
                      <w:color w:val="auto"/>
                      <w:sz w:val="18"/>
                      <w:szCs w:val="18"/>
                      <w:highlight w:val="none"/>
                    </w:rPr>
                  </w:pPr>
                </w:p>
              </w:tc>
            </w:tr>
            <w:tr w14:paraId="7537796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57" w:type="pct"/>
                  <w:vMerge w:val="continue"/>
                  <w:tcBorders>
                    <w:tl2br w:val="nil"/>
                    <w:tr2bl w:val="nil"/>
                  </w:tcBorders>
                  <w:vAlign w:val="center"/>
                </w:tcPr>
                <w:p w14:paraId="686B1B1E">
                  <w:pPr>
                    <w:ind w:left="-105" w:leftChars="-50" w:right="-105" w:rightChars="-50"/>
                    <w:jc w:val="center"/>
                    <w:rPr>
                      <w:color w:val="auto"/>
                      <w:sz w:val="18"/>
                      <w:szCs w:val="18"/>
                      <w:highlight w:val="none"/>
                    </w:rPr>
                  </w:pPr>
                </w:p>
              </w:tc>
              <w:tc>
                <w:tcPr>
                  <w:tcW w:w="320" w:type="pct"/>
                  <w:vMerge w:val="continue"/>
                  <w:tcBorders>
                    <w:tl2br w:val="nil"/>
                    <w:tr2bl w:val="nil"/>
                  </w:tcBorders>
                  <w:vAlign w:val="center"/>
                </w:tcPr>
                <w:p w14:paraId="6FFC4BB3">
                  <w:pPr>
                    <w:ind w:left="-105" w:leftChars="-50" w:right="-105" w:rightChars="-50"/>
                    <w:jc w:val="center"/>
                    <w:rPr>
                      <w:color w:val="auto"/>
                      <w:sz w:val="18"/>
                      <w:szCs w:val="18"/>
                      <w:highlight w:val="none"/>
                    </w:rPr>
                  </w:pPr>
                </w:p>
              </w:tc>
              <w:tc>
                <w:tcPr>
                  <w:tcW w:w="715" w:type="pct"/>
                  <w:tcBorders>
                    <w:tl2br w:val="nil"/>
                    <w:tr2bl w:val="nil"/>
                  </w:tcBorders>
                  <w:vAlign w:val="center"/>
                </w:tcPr>
                <w:p w14:paraId="3CF11142">
                  <w:pPr>
                    <w:ind w:left="-105" w:leftChars="-50" w:right="-105" w:rightChars="-50"/>
                    <w:jc w:val="center"/>
                    <w:rPr>
                      <w:color w:val="auto"/>
                      <w:sz w:val="18"/>
                      <w:szCs w:val="18"/>
                      <w:highlight w:val="none"/>
                    </w:rPr>
                  </w:pPr>
                  <w:r>
                    <w:rPr>
                      <w:color w:val="auto"/>
                      <w:sz w:val="18"/>
                      <w:szCs w:val="18"/>
                      <w:highlight w:val="none"/>
                    </w:rPr>
                    <w:t>总量管控限值</w:t>
                  </w:r>
                </w:p>
              </w:tc>
              <w:tc>
                <w:tcPr>
                  <w:tcW w:w="538" w:type="pct"/>
                  <w:tcBorders>
                    <w:tl2br w:val="nil"/>
                    <w:tr2bl w:val="nil"/>
                  </w:tcBorders>
                  <w:vAlign w:val="center"/>
                </w:tcPr>
                <w:p w14:paraId="072FD4F1">
                  <w:pPr>
                    <w:ind w:left="-105" w:leftChars="-50" w:right="-105" w:rightChars="-50"/>
                    <w:jc w:val="center"/>
                    <w:rPr>
                      <w:color w:val="auto"/>
                      <w:sz w:val="18"/>
                      <w:szCs w:val="18"/>
                      <w:highlight w:val="none"/>
                    </w:rPr>
                  </w:pPr>
                  <w:r>
                    <w:rPr>
                      <w:color w:val="auto"/>
                      <w:sz w:val="18"/>
                      <w:szCs w:val="18"/>
                      <w:highlight w:val="none"/>
                    </w:rPr>
                    <w:t>57.72</w:t>
                  </w:r>
                </w:p>
              </w:tc>
              <w:tc>
                <w:tcPr>
                  <w:tcW w:w="808" w:type="pct"/>
                  <w:vMerge w:val="continue"/>
                  <w:tcBorders>
                    <w:tl2br w:val="nil"/>
                    <w:tr2bl w:val="nil"/>
                  </w:tcBorders>
                  <w:vAlign w:val="center"/>
                </w:tcPr>
                <w:p w14:paraId="5108CB5C">
                  <w:pPr>
                    <w:ind w:left="-105" w:leftChars="-50" w:right="-105" w:rightChars="-50"/>
                    <w:jc w:val="center"/>
                    <w:rPr>
                      <w:color w:val="auto"/>
                      <w:sz w:val="18"/>
                      <w:szCs w:val="18"/>
                      <w:highlight w:val="none"/>
                    </w:rPr>
                  </w:pPr>
                </w:p>
              </w:tc>
              <w:tc>
                <w:tcPr>
                  <w:tcW w:w="538" w:type="pct"/>
                  <w:tcBorders>
                    <w:tl2br w:val="nil"/>
                    <w:tr2bl w:val="nil"/>
                  </w:tcBorders>
                  <w:vAlign w:val="center"/>
                </w:tcPr>
                <w:p w14:paraId="596E6FE6">
                  <w:pPr>
                    <w:ind w:left="-105" w:leftChars="-50" w:right="-105" w:rightChars="-50"/>
                    <w:jc w:val="center"/>
                    <w:rPr>
                      <w:color w:val="auto"/>
                      <w:sz w:val="18"/>
                      <w:szCs w:val="18"/>
                      <w:highlight w:val="none"/>
                    </w:rPr>
                  </w:pPr>
                  <w:r>
                    <w:rPr>
                      <w:color w:val="auto"/>
                      <w:sz w:val="18"/>
                      <w:szCs w:val="18"/>
                      <w:highlight w:val="none"/>
                    </w:rPr>
                    <w:t>112.57</w:t>
                  </w:r>
                </w:p>
              </w:tc>
              <w:tc>
                <w:tcPr>
                  <w:tcW w:w="809" w:type="pct"/>
                  <w:vMerge w:val="continue"/>
                  <w:tcBorders>
                    <w:tl2br w:val="nil"/>
                    <w:tr2bl w:val="nil"/>
                  </w:tcBorders>
                  <w:vAlign w:val="center"/>
                </w:tcPr>
                <w:p w14:paraId="7CC79E79">
                  <w:pPr>
                    <w:ind w:left="-105" w:leftChars="-50" w:right="-105" w:rightChars="-50"/>
                    <w:jc w:val="center"/>
                    <w:rPr>
                      <w:color w:val="auto"/>
                      <w:sz w:val="18"/>
                      <w:szCs w:val="18"/>
                      <w:highlight w:val="none"/>
                    </w:rPr>
                  </w:pPr>
                </w:p>
              </w:tc>
              <w:tc>
                <w:tcPr>
                  <w:tcW w:w="634" w:type="pct"/>
                  <w:vMerge w:val="continue"/>
                  <w:tcBorders>
                    <w:tl2br w:val="nil"/>
                    <w:tr2bl w:val="nil"/>
                  </w:tcBorders>
                  <w:vAlign w:val="center"/>
                </w:tcPr>
                <w:p w14:paraId="11177295">
                  <w:pPr>
                    <w:ind w:left="-105" w:leftChars="-50" w:right="-105" w:rightChars="-50"/>
                    <w:jc w:val="center"/>
                    <w:rPr>
                      <w:color w:val="auto"/>
                      <w:sz w:val="18"/>
                      <w:szCs w:val="18"/>
                      <w:highlight w:val="none"/>
                    </w:rPr>
                  </w:pPr>
                </w:p>
              </w:tc>
              <w:tc>
                <w:tcPr>
                  <w:tcW w:w="476" w:type="pct"/>
                  <w:vMerge w:val="continue"/>
                  <w:tcBorders>
                    <w:tl2br w:val="nil"/>
                    <w:tr2bl w:val="nil"/>
                  </w:tcBorders>
                  <w:vAlign w:val="center"/>
                </w:tcPr>
                <w:p w14:paraId="4B9383E3">
                  <w:pPr>
                    <w:ind w:left="-105" w:leftChars="-50" w:right="-105" w:rightChars="-50"/>
                    <w:jc w:val="center"/>
                    <w:rPr>
                      <w:color w:val="auto"/>
                      <w:sz w:val="18"/>
                      <w:szCs w:val="18"/>
                      <w:highlight w:val="none"/>
                    </w:rPr>
                  </w:pPr>
                </w:p>
              </w:tc>
            </w:tr>
            <w:tr w14:paraId="7D147BF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57" w:type="pct"/>
                  <w:vMerge w:val="continue"/>
                  <w:tcBorders>
                    <w:tl2br w:val="nil"/>
                    <w:tr2bl w:val="nil"/>
                  </w:tcBorders>
                  <w:vAlign w:val="center"/>
                </w:tcPr>
                <w:p w14:paraId="6C3A1BE4">
                  <w:pPr>
                    <w:ind w:left="-105" w:leftChars="-50" w:right="-105" w:rightChars="-50"/>
                    <w:jc w:val="center"/>
                    <w:rPr>
                      <w:color w:val="auto"/>
                      <w:sz w:val="18"/>
                      <w:szCs w:val="18"/>
                      <w:highlight w:val="none"/>
                    </w:rPr>
                  </w:pPr>
                </w:p>
              </w:tc>
              <w:tc>
                <w:tcPr>
                  <w:tcW w:w="320" w:type="pct"/>
                  <w:vMerge w:val="continue"/>
                  <w:tcBorders>
                    <w:tl2br w:val="nil"/>
                    <w:tr2bl w:val="nil"/>
                  </w:tcBorders>
                  <w:vAlign w:val="center"/>
                </w:tcPr>
                <w:p w14:paraId="0C4CFD2E">
                  <w:pPr>
                    <w:ind w:left="-105" w:leftChars="-50" w:right="-105" w:rightChars="-50"/>
                    <w:jc w:val="center"/>
                    <w:rPr>
                      <w:color w:val="auto"/>
                      <w:sz w:val="18"/>
                      <w:szCs w:val="18"/>
                      <w:highlight w:val="none"/>
                    </w:rPr>
                  </w:pPr>
                </w:p>
              </w:tc>
              <w:tc>
                <w:tcPr>
                  <w:tcW w:w="715" w:type="pct"/>
                  <w:tcBorders>
                    <w:tl2br w:val="nil"/>
                    <w:tr2bl w:val="nil"/>
                  </w:tcBorders>
                  <w:vAlign w:val="center"/>
                </w:tcPr>
                <w:p w14:paraId="0099913A">
                  <w:pPr>
                    <w:ind w:left="-105" w:leftChars="-50" w:right="-105" w:rightChars="-50"/>
                    <w:jc w:val="center"/>
                    <w:rPr>
                      <w:color w:val="auto"/>
                      <w:sz w:val="18"/>
                      <w:szCs w:val="18"/>
                      <w:highlight w:val="none"/>
                    </w:rPr>
                  </w:pPr>
                  <w:r>
                    <w:rPr>
                      <w:color w:val="auto"/>
                      <w:sz w:val="18"/>
                      <w:szCs w:val="18"/>
                      <w:highlight w:val="none"/>
                    </w:rPr>
                    <w:t>增减量</w:t>
                  </w:r>
                </w:p>
              </w:tc>
              <w:tc>
                <w:tcPr>
                  <w:tcW w:w="538" w:type="pct"/>
                  <w:tcBorders>
                    <w:tl2br w:val="nil"/>
                    <w:tr2bl w:val="nil"/>
                  </w:tcBorders>
                  <w:vAlign w:val="center"/>
                </w:tcPr>
                <w:p w14:paraId="1E650470">
                  <w:pPr>
                    <w:ind w:left="-105" w:leftChars="-50" w:right="-105" w:rightChars="-50"/>
                    <w:jc w:val="center"/>
                    <w:rPr>
                      <w:color w:val="auto"/>
                      <w:sz w:val="18"/>
                      <w:szCs w:val="18"/>
                      <w:highlight w:val="none"/>
                    </w:rPr>
                  </w:pPr>
                  <w:r>
                    <w:rPr>
                      <w:color w:val="auto"/>
                      <w:sz w:val="18"/>
                      <w:szCs w:val="18"/>
                      <w:highlight w:val="none"/>
                    </w:rPr>
                    <w:t>-22.61</w:t>
                  </w:r>
                </w:p>
              </w:tc>
              <w:tc>
                <w:tcPr>
                  <w:tcW w:w="808" w:type="pct"/>
                  <w:vMerge w:val="continue"/>
                  <w:tcBorders>
                    <w:tl2br w:val="nil"/>
                    <w:tr2bl w:val="nil"/>
                  </w:tcBorders>
                  <w:vAlign w:val="center"/>
                </w:tcPr>
                <w:p w14:paraId="2467F02B">
                  <w:pPr>
                    <w:ind w:left="-105" w:leftChars="-50" w:right="-105" w:rightChars="-50"/>
                    <w:jc w:val="center"/>
                    <w:rPr>
                      <w:color w:val="auto"/>
                      <w:sz w:val="18"/>
                      <w:szCs w:val="18"/>
                      <w:highlight w:val="none"/>
                    </w:rPr>
                  </w:pPr>
                </w:p>
              </w:tc>
              <w:tc>
                <w:tcPr>
                  <w:tcW w:w="538" w:type="pct"/>
                  <w:tcBorders>
                    <w:tl2br w:val="nil"/>
                    <w:tr2bl w:val="nil"/>
                  </w:tcBorders>
                  <w:vAlign w:val="center"/>
                </w:tcPr>
                <w:p w14:paraId="4275586E">
                  <w:pPr>
                    <w:ind w:left="-105" w:leftChars="-50" w:right="-105" w:rightChars="-50"/>
                    <w:jc w:val="center"/>
                    <w:rPr>
                      <w:color w:val="auto"/>
                      <w:sz w:val="18"/>
                      <w:szCs w:val="18"/>
                      <w:highlight w:val="none"/>
                    </w:rPr>
                  </w:pPr>
                  <w:r>
                    <w:rPr>
                      <w:color w:val="auto"/>
                      <w:sz w:val="18"/>
                      <w:szCs w:val="18"/>
                      <w:highlight w:val="none"/>
                    </w:rPr>
                    <w:t>+32.24</w:t>
                  </w:r>
                </w:p>
              </w:tc>
              <w:tc>
                <w:tcPr>
                  <w:tcW w:w="809" w:type="pct"/>
                  <w:vMerge w:val="continue"/>
                  <w:tcBorders>
                    <w:tl2br w:val="nil"/>
                    <w:tr2bl w:val="nil"/>
                  </w:tcBorders>
                  <w:vAlign w:val="center"/>
                </w:tcPr>
                <w:p w14:paraId="2ACE5C00">
                  <w:pPr>
                    <w:ind w:left="-105" w:leftChars="-50" w:right="-105" w:rightChars="-50"/>
                    <w:jc w:val="center"/>
                    <w:rPr>
                      <w:color w:val="auto"/>
                      <w:sz w:val="18"/>
                      <w:szCs w:val="18"/>
                      <w:highlight w:val="none"/>
                    </w:rPr>
                  </w:pPr>
                </w:p>
              </w:tc>
              <w:tc>
                <w:tcPr>
                  <w:tcW w:w="634" w:type="pct"/>
                  <w:vMerge w:val="continue"/>
                  <w:tcBorders>
                    <w:tl2br w:val="nil"/>
                    <w:tr2bl w:val="nil"/>
                  </w:tcBorders>
                  <w:vAlign w:val="center"/>
                </w:tcPr>
                <w:p w14:paraId="49AC3AAD">
                  <w:pPr>
                    <w:ind w:left="-105" w:leftChars="-50" w:right="-105" w:rightChars="-50"/>
                    <w:jc w:val="center"/>
                    <w:rPr>
                      <w:color w:val="auto"/>
                      <w:sz w:val="18"/>
                      <w:szCs w:val="18"/>
                      <w:highlight w:val="none"/>
                    </w:rPr>
                  </w:pPr>
                </w:p>
              </w:tc>
              <w:tc>
                <w:tcPr>
                  <w:tcW w:w="476" w:type="pct"/>
                  <w:vMerge w:val="continue"/>
                  <w:tcBorders>
                    <w:tl2br w:val="nil"/>
                    <w:tr2bl w:val="nil"/>
                  </w:tcBorders>
                  <w:vAlign w:val="center"/>
                </w:tcPr>
                <w:p w14:paraId="6F53CE0B">
                  <w:pPr>
                    <w:ind w:left="-105" w:leftChars="-50" w:right="-105" w:rightChars="-50"/>
                    <w:jc w:val="center"/>
                    <w:rPr>
                      <w:color w:val="auto"/>
                      <w:sz w:val="18"/>
                      <w:szCs w:val="18"/>
                      <w:highlight w:val="none"/>
                    </w:rPr>
                  </w:pPr>
                </w:p>
              </w:tc>
            </w:tr>
            <w:tr w14:paraId="50BC74E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57" w:type="pct"/>
                  <w:vMerge w:val="continue"/>
                  <w:tcBorders>
                    <w:tl2br w:val="nil"/>
                    <w:tr2bl w:val="nil"/>
                  </w:tcBorders>
                  <w:vAlign w:val="center"/>
                </w:tcPr>
                <w:p w14:paraId="15E4E297">
                  <w:pPr>
                    <w:ind w:left="-105" w:leftChars="-50" w:right="-105" w:rightChars="-50"/>
                    <w:jc w:val="center"/>
                    <w:rPr>
                      <w:color w:val="auto"/>
                      <w:sz w:val="18"/>
                      <w:szCs w:val="18"/>
                      <w:highlight w:val="none"/>
                    </w:rPr>
                  </w:pPr>
                </w:p>
              </w:tc>
              <w:tc>
                <w:tcPr>
                  <w:tcW w:w="320" w:type="pct"/>
                  <w:vMerge w:val="restart"/>
                  <w:tcBorders>
                    <w:tl2br w:val="nil"/>
                    <w:tr2bl w:val="nil"/>
                  </w:tcBorders>
                  <w:vAlign w:val="center"/>
                </w:tcPr>
                <w:p w14:paraId="08D57A53">
                  <w:pPr>
                    <w:ind w:left="-105" w:leftChars="-50" w:right="-105" w:rightChars="-50"/>
                    <w:jc w:val="center"/>
                    <w:rPr>
                      <w:color w:val="auto"/>
                      <w:sz w:val="18"/>
                      <w:szCs w:val="18"/>
                      <w:highlight w:val="none"/>
                    </w:rPr>
                  </w:pPr>
                  <w:r>
                    <w:rPr>
                      <w:color w:val="auto"/>
                      <w:sz w:val="18"/>
                      <w:szCs w:val="18"/>
                      <w:highlight w:val="none"/>
                    </w:rPr>
                    <w:t>烟粉尘</w:t>
                  </w:r>
                </w:p>
                <w:p w14:paraId="00C26FDD">
                  <w:pPr>
                    <w:ind w:left="-105" w:leftChars="-50" w:right="-105" w:rightChars="-50"/>
                    <w:jc w:val="center"/>
                    <w:rPr>
                      <w:color w:val="auto"/>
                      <w:sz w:val="18"/>
                      <w:szCs w:val="18"/>
                      <w:highlight w:val="none"/>
                    </w:rPr>
                  </w:pPr>
                  <w:r>
                    <w:rPr>
                      <w:color w:val="auto"/>
                      <w:sz w:val="18"/>
                      <w:szCs w:val="18"/>
                      <w:highlight w:val="none"/>
                    </w:rPr>
                    <w:t>(t/a)</w:t>
                  </w:r>
                </w:p>
              </w:tc>
              <w:tc>
                <w:tcPr>
                  <w:tcW w:w="715" w:type="pct"/>
                  <w:tcBorders>
                    <w:tl2br w:val="nil"/>
                    <w:tr2bl w:val="nil"/>
                  </w:tcBorders>
                  <w:vAlign w:val="center"/>
                </w:tcPr>
                <w:p w14:paraId="3E4A1D1E">
                  <w:pPr>
                    <w:ind w:left="-105" w:leftChars="-50" w:right="-105" w:rightChars="-50"/>
                    <w:jc w:val="center"/>
                    <w:rPr>
                      <w:color w:val="auto"/>
                      <w:sz w:val="18"/>
                      <w:szCs w:val="18"/>
                      <w:highlight w:val="none"/>
                    </w:rPr>
                  </w:pPr>
                  <w:r>
                    <w:rPr>
                      <w:color w:val="auto"/>
                      <w:sz w:val="18"/>
                      <w:szCs w:val="18"/>
                      <w:highlight w:val="none"/>
                    </w:rPr>
                    <w:t>现状排放量</w:t>
                  </w:r>
                </w:p>
              </w:tc>
              <w:tc>
                <w:tcPr>
                  <w:tcW w:w="538" w:type="pct"/>
                  <w:tcBorders>
                    <w:tl2br w:val="nil"/>
                    <w:tr2bl w:val="nil"/>
                  </w:tcBorders>
                  <w:vAlign w:val="center"/>
                </w:tcPr>
                <w:p w14:paraId="3C4BEBB4">
                  <w:pPr>
                    <w:ind w:left="-105" w:leftChars="-50" w:right="-105" w:rightChars="-50"/>
                    <w:jc w:val="center"/>
                    <w:rPr>
                      <w:color w:val="auto"/>
                      <w:sz w:val="18"/>
                      <w:szCs w:val="18"/>
                      <w:highlight w:val="none"/>
                    </w:rPr>
                  </w:pPr>
                  <w:r>
                    <w:rPr>
                      <w:color w:val="auto"/>
                      <w:sz w:val="18"/>
                      <w:szCs w:val="18"/>
                      <w:highlight w:val="none"/>
                    </w:rPr>
                    <w:t>115.47</w:t>
                  </w:r>
                </w:p>
              </w:tc>
              <w:tc>
                <w:tcPr>
                  <w:tcW w:w="808" w:type="pct"/>
                  <w:vMerge w:val="continue"/>
                  <w:tcBorders>
                    <w:tl2br w:val="nil"/>
                    <w:tr2bl w:val="nil"/>
                  </w:tcBorders>
                  <w:vAlign w:val="center"/>
                </w:tcPr>
                <w:p w14:paraId="479E3B98">
                  <w:pPr>
                    <w:ind w:left="-105" w:leftChars="-50" w:right="-105" w:rightChars="-50"/>
                    <w:jc w:val="center"/>
                    <w:rPr>
                      <w:color w:val="auto"/>
                      <w:sz w:val="18"/>
                      <w:szCs w:val="18"/>
                      <w:highlight w:val="none"/>
                    </w:rPr>
                  </w:pPr>
                </w:p>
              </w:tc>
              <w:tc>
                <w:tcPr>
                  <w:tcW w:w="538" w:type="pct"/>
                  <w:tcBorders>
                    <w:tl2br w:val="nil"/>
                    <w:tr2bl w:val="nil"/>
                  </w:tcBorders>
                  <w:vAlign w:val="center"/>
                </w:tcPr>
                <w:p w14:paraId="1C6122F1">
                  <w:pPr>
                    <w:ind w:left="-105" w:leftChars="-50" w:right="-105" w:rightChars="-50"/>
                    <w:jc w:val="center"/>
                    <w:rPr>
                      <w:color w:val="auto"/>
                      <w:sz w:val="18"/>
                      <w:szCs w:val="18"/>
                      <w:highlight w:val="none"/>
                    </w:rPr>
                  </w:pPr>
                  <w:r>
                    <w:rPr>
                      <w:color w:val="auto"/>
                      <w:sz w:val="18"/>
                      <w:szCs w:val="18"/>
                      <w:highlight w:val="none"/>
                    </w:rPr>
                    <w:t>115.47</w:t>
                  </w:r>
                </w:p>
              </w:tc>
              <w:tc>
                <w:tcPr>
                  <w:tcW w:w="809" w:type="pct"/>
                  <w:vMerge w:val="continue"/>
                  <w:tcBorders>
                    <w:tl2br w:val="nil"/>
                    <w:tr2bl w:val="nil"/>
                  </w:tcBorders>
                  <w:vAlign w:val="center"/>
                </w:tcPr>
                <w:p w14:paraId="55864088">
                  <w:pPr>
                    <w:ind w:left="-105" w:leftChars="-50" w:right="-105" w:rightChars="-50"/>
                    <w:jc w:val="center"/>
                    <w:rPr>
                      <w:color w:val="auto"/>
                      <w:sz w:val="18"/>
                      <w:szCs w:val="18"/>
                      <w:highlight w:val="none"/>
                    </w:rPr>
                  </w:pPr>
                </w:p>
              </w:tc>
              <w:tc>
                <w:tcPr>
                  <w:tcW w:w="634" w:type="pct"/>
                  <w:vMerge w:val="continue"/>
                  <w:tcBorders>
                    <w:tl2br w:val="nil"/>
                    <w:tr2bl w:val="nil"/>
                  </w:tcBorders>
                  <w:vAlign w:val="center"/>
                </w:tcPr>
                <w:p w14:paraId="1A66781A">
                  <w:pPr>
                    <w:ind w:left="-105" w:leftChars="-50" w:right="-105" w:rightChars="-50"/>
                    <w:jc w:val="center"/>
                    <w:rPr>
                      <w:color w:val="auto"/>
                      <w:sz w:val="18"/>
                      <w:szCs w:val="18"/>
                      <w:highlight w:val="none"/>
                    </w:rPr>
                  </w:pPr>
                </w:p>
              </w:tc>
              <w:tc>
                <w:tcPr>
                  <w:tcW w:w="476" w:type="pct"/>
                  <w:vMerge w:val="continue"/>
                  <w:tcBorders>
                    <w:tl2br w:val="nil"/>
                    <w:tr2bl w:val="nil"/>
                  </w:tcBorders>
                  <w:vAlign w:val="center"/>
                </w:tcPr>
                <w:p w14:paraId="681A36FD">
                  <w:pPr>
                    <w:ind w:left="-105" w:leftChars="-50" w:right="-105" w:rightChars="-50"/>
                    <w:jc w:val="center"/>
                    <w:rPr>
                      <w:color w:val="auto"/>
                      <w:sz w:val="18"/>
                      <w:szCs w:val="18"/>
                      <w:highlight w:val="none"/>
                    </w:rPr>
                  </w:pPr>
                </w:p>
              </w:tc>
            </w:tr>
            <w:tr w14:paraId="7EB650F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57" w:type="pct"/>
                  <w:vMerge w:val="continue"/>
                  <w:tcBorders>
                    <w:tl2br w:val="nil"/>
                    <w:tr2bl w:val="nil"/>
                  </w:tcBorders>
                  <w:vAlign w:val="center"/>
                </w:tcPr>
                <w:p w14:paraId="68DEB350">
                  <w:pPr>
                    <w:ind w:left="-105" w:leftChars="-50" w:right="-105" w:rightChars="-50"/>
                    <w:jc w:val="center"/>
                    <w:rPr>
                      <w:color w:val="auto"/>
                      <w:sz w:val="18"/>
                      <w:szCs w:val="18"/>
                      <w:highlight w:val="none"/>
                    </w:rPr>
                  </w:pPr>
                </w:p>
              </w:tc>
              <w:tc>
                <w:tcPr>
                  <w:tcW w:w="320" w:type="pct"/>
                  <w:vMerge w:val="continue"/>
                  <w:tcBorders>
                    <w:tl2br w:val="nil"/>
                    <w:tr2bl w:val="nil"/>
                  </w:tcBorders>
                  <w:vAlign w:val="center"/>
                </w:tcPr>
                <w:p w14:paraId="4291F0A2">
                  <w:pPr>
                    <w:ind w:left="-105" w:leftChars="-50" w:right="-105" w:rightChars="-50"/>
                    <w:jc w:val="center"/>
                    <w:rPr>
                      <w:color w:val="auto"/>
                      <w:sz w:val="18"/>
                      <w:szCs w:val="18"/>
                      <w:highlight w:val="none"/>
                    </w:rPr>
                  </w:pPr>
                </w:p>
              </w:tc>
              <w:tc>
                <w:tcPr>
                  <w:tcW w:w="715" w:type="pct"/>
                  <w:tcBorders>
                    <w:tl2br w:val="nil"/>
                    <w:tr2bl w:val="nil"/>
                  </w:tcBorders>
                  <w:vAlign w:val="center"/>
                </w:tcPr>
                <w:p w14:paraId="73C95841">
                  <w:pPr>
                    <w:ind w:left="-105" w:leftChars="-50" w:right="-105" w:rightChars="-50"/>
                    <w:jc w:val="center"/>
                    <w:rPr>
                      <w:color w:val="auto"/>
                      <w:sz w:val="18"/>
                      <w:szCs w:val="18"/>
                      <w:highlight w:val="none"/>
                    </w:rPr>
                  </w:pPr>
                  <w:r>
                    <w:rPr>
                      <w:color w:val="auto"/>
                      <w:sz w:val="18"/>
                      <w:szCs w:val="18"/>
                      <w:highlight w:val="none"/>
                    </w:rPr>
                    <w:t>总量管控限值</w:t>
                  </w:r>
                </w:p>
              </w:tc>
              <w:tc>
                <w:tcPr>
                  <w:tcW w:w="538" w:type="pct"/>
                  <w:tcBorders>
                    <w:tl2br w:val="nil"/>
                    <w:tr2bl w:val="nil"/>
                  </w:tcBorders>
                  <w:vAlign w:val="center"/>
                </w:tcPr>
                <w:p w14:paraId="0E4BBAEA">
                  <w:pPr>
                    <w:ind w:left="-105" w:leftChars="-50" w:right="-105" w:rightChars="-50"/>
                    <w:jc w:val="center"/>
                    <w:rPr>
                      <w:color w:val="auto"/>
                      <w:sz w:val="18"/>
                      <w:szCs w:val="18"/>
                      <w:highlight w:val="none"/>
                    </w:rPr>
                  </w:pPr>
                  <w:r>
                    <w:rPr>
                      <w:color w:val="auto"/>
                      <w:sz w:val="18"/>
                      <w:szCs w:val="18"/>
                      <w:highlight w:val="none"/>
                    </w:rPr>
                    <w:t>156.51</w:t>
                  </w:r>
                </w:p>
              </w:tc>
              <w:tc>
                <w:tcPr>
                  <w:tcW w:w="808" w:type="pct"/>
                  <w:vMerge w:val="continue"/>
                  <w:tcBorders>
                    <w:tl2br w:val="nil"/>
                    <w:tr2bl w:val="nil"/>
                  </w:tcBorders>
                  <w:vAlign w:val="center"/>
                </w:tcPr>
                <w:p w14:paraId="0A4E5BE2">
                  <w:pPr>
                    <w:ind w:left="-105" w:leftChars="-50" w:right="-105" w:rightChars="-50"/>
                    <w:jc w:val="center"/>
                    <w:rPr>
                      <w:color w:val="auto"/>
                      <w:sz w:val="18"/>
                      <w:szCs w:val="18"/>
                      <w:highlight w:val="none"/>
                    </w:rPr>
                  </w:pPr>
                </w:p>
              </w:tc>
              <w:tc>
                <w:tcPr>
                  <w:tcW w:w="538" w:type="pct"/>
                  <w:tcBorders>
                    <w:tl2br w:val="nil"/>
                    <w:tr2bl w:val="nil"/>
                  </w:tcBorders>
                  <w:vAlign w:val="center"/>
                </w:tcPr>
                <w:p w14:paraId="7B279B67">
                  <w:pPr>
                    <w:ind w:left="-105" w:leftChars="-50" w:right="-105" w:rightChars="-50"/>
                    <w:jc w:val="center"/>
                    <w:rPr>
                      <w:color w:val="auto"/>
                      <w:sz w:val="18"/>
                      <w:szCs w:val="18"/>
                      <w:highlight w:val="none"/>
                    </w:rPr>
                  </w:pPr>
                  <w:r>
                    <w:rPr>
                      <w:color w:val="auto"/>
                      <w:sz w:val="18"/>
                      <w:szCs w:val="18"/>
                      <w:highlight w:val="none"/>
                    </w:rPr>
                    <w:t>181.18</w:t>
                  </w:r>
                </w:p>
              </w:tc>
              <w:tc>
                <w:tcPr>
                  <w:tcW w:w="809" w:type="pct"/>
                  <w:vMerge w:val="continue"/>
                  <w:tcBorders>
                    <w:tl2br w:val="nil"/>
                    <w:tr2bl w:val="nil"/>
                  </w:tcBorders>
                  <w:vAlign w:val="center"/>
                </w:tcPr>
                <w:p w14:paraId="3981C85D">
                  <w:pPr>
                    <w:ind w:left="-105" w:leftChars="-50" w:right="-105" w:rightChars="-50"/>
                    <w:jc w:val="center"/>
                    <w:rPr>
                      <w:color w:val="auto"/>
                      <w:sz w:val="18"/>
                      <w:szCs w:val="18"/>
                      <w:highlight w:val="none"/>
                    </w:rPr>
                  </w:pPr>
                </w:p>
              </w:tc>
              <w:tc>
                <w:tcPr>
                  <w:tcW w:w="634" w:type="pct"/>
                  <w:vMerge w:val="continue"/>
                  <w:tcBorders>
                    <w:tl2br w:val="nil"/>
                    <w:tr2bl w:val="nil"/>
                  </w:tcBorders>
                  <w:vAlign w:val="center"/>
                </w:tcPr>
                <w:p w14:paraId="42F05AB2">
                  <w:pPr>
                    <w:ind w:left="-105" w:leftChars="-50" w:right="-105" w:rightChars="-50"/>
                    <w:jc w:val="center"/>
                    <w:rPr>
                      <w:color w:val="auto"/>
                      <w:sz w:val="18"/>
                      <w:szCs w:val="18"/>
                      <w:highlight w:val="none"/>
                    </w:rPr>
                  </w:pPr>
                </w:p>
              </w:tc>
              <w:tc>
                <w:tcPr>
                  <w:tcW w:w="476" w:type="pct"/>
                  <w:vMerge w:val="continue"/>
                  <w:tcBorders>
                    <w:tl2br w:val="nil"/>
                    <w:tr2bl w:val="nil"/>
                  </w:tcBorders>
                  <w:vAlign w:val="center"/>
                </w:tcPr>
                <w:p w14:paraId="19D44060">
                  <w:pPr>
                    <w:ind w:left="-105" w:leftChars="-50" w:right="-105" w:rightChars="-50"/>
                    <w:jc w:val="center"/>
                    <w:rPr>
                      <w:color w:val="auto"/>
                      <w:sz w:val="18"/>
                      <w:szCs w:val="18"/>
                      <w:highlight w:val="none"/>
                    </w:rPr>
                  </w:pPr>
                </w:p>
              </w:tc>
            </w:tr>
            <w:tr w14:paraId="2F1CE6E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57" w:type="pct"/>
                  <w:vMerge w:val="continue"/>
                  <w:tcBorders>
                    <w:tl2br w:val="nil"/>
                    <w:tr2bl w:val="nil"/>
                  </w:tcBorders>
                  <w:vAlign w:val="center"/>
                </w:tcPr>
                <w:p w14:paraId="334C95AE">
                  <w:pPr>
                    <w:ind w:left="-105" w:leftChars="-50" w:right="-105" w:rightChars="-50"/>
                    <w:jc w:val="center"/>
                    <w:rPr>
                      <w:color w:val="auto"/>
                      <w:sz w:val="18"/>
                      <w:szCs w:val="18"/>
                      <w:highlight w:val="none"/>
                    </w:rPr>
                  </w:pPr>
                </w:p>
              </w:tc>
              <w:tc>
                <w:tcPr>
                  <w:tcW w:w="320" w:type="pct"/>
                  <w:vMerge w:val="continue"/>
                  <w:tcBorders>
                    <w:tl2br w:val="nil"/>
                    <w:tr2bl w:val="nil"/>
                  </w:tcBorders>
                  <w:vAlign w:val="center"/>
                </w:tcPr>
                <w:p w14:paraId="1C170390">
                  <w:pPr>
                    <w:ind w:left="-105" w:leftChars="-50" w:right="-105" w:rightChars="-50"/>
                    <w:jc w:val="center"/>
                    <w:rPr>
                      <w:color w:val="auto"/>
                      <w:sz w:val="18"/>
                      <w:szCs w:val="18"/>
                      <w:highlight w:val="none"/>
                    </w:rPr>
                  </w:pPr>
                </w:p>
              </w:tc>
              <w:tc>
                <w:tcPr>
                  <w:tcW w:w="715" w:type="pct"/>
                  <w:tcBorders>
                    <w:tl2br w:val="nil"/>
                    <w:tr2bl w:val="nil"/>
                  </w:tcBorders>
                  <w:vAlign w:val="center"/>
                </w:tcPr>
                <w:p w14:paraId="39F06C80">
                  <w:pPr>
                    <w:ind w:left="-105" w:leftChars="-50" w:right="-105" w:rightChars="-50"/>
                    <w:jc w:val="center"/>
                    <w:rPr>
                      <w:color w:val="auto"/>
                      <w:sz w:val="18"/>
                      <w:szCs w:val="18"/>
                      <w:highlight w:val="none"/>
                    </w:rPr>
                  </w:pPr>
                  <w:r>
                    <w:rPr>
                      <w:color w:val="auto"/>
                      <w:sz w:val="18"/>
                      <w:szCs w:val="18"/>
                      <w:highlight w:val="none"/>
                    </w:rPr>
                    <w:t>增减量</w:t>
                  </w:r>
                </w:p>
              </w:tc>
              <w:tc>
                <w:tcPr>
                  <w:tcW w:w="538" w:type="pct"/>
                  <w:tcBorders>
                    <w:tl2br w:val="nil"/>
                    <w:tr2bl w:val="nil"/>
                  </w:tcBorders>
                  <w:vAlign w:val="center"/>
                </w:tcPr>
                <w:p w14:paraId="577F4563">
                  <w:pPr>
                    <w:ind w:left="-105" w:leftChars="-50" w:right="-105" w:rightChars="-50"/>
                    <w:jc w:val="center"/>
                    <w:rPr>
                      <w:color w:val="auto"/>
                      <w:sz w:val="18"/>
                      <w:szCs w:val="18"/>
                      <w:highlight w:val="none"/>
                    </w:rPr>
                  </w:pPr>
                  <w:r>
                    <w:rPr>
                      <w:color w:val="auto"/>
                      <w:sz w:val="18"/>
                      <w:szCs w:val="18"/>
                      <w:highlight w:val="none"/>
                    </w:rPr>
                    <w:t>+41.04</w:t>
                  </w:r>
                </w:p>
              </w:tc>
              <w:tc>
                <w:tcPr>
                  <w:tcW w:w="808" w:type="pct"/>
                  <w:vMerge w:val="continue"/>
                  <w:tcBorders>
                    <w:tl2br w:val="nil"/>
                    <w:tr2bl w:val="nil"/>
                  </w:tcBorders>
                  <w:vAlign w:val="center"/>
                </w:tcPr>
                <w:p w14:paraId="4895CD77">
                  <w:pPr>
                    <w:ind w:left="-105" w:leftChars="-50" w:right="-105" w:rightChars="-50"/>
                    <w:jc w:val="center"/>
                    <w:rPr>
                      <w:color w:val="auto"/>
                      <w:sz w:val="18"/>
                      <w:szCs w:val="18"/>
                      <w:highlight w:val="none"/>
                    </w:rPr>
                  </w:pPr>
                </w:p>
              </w:tc>
              <w:tc>
                <w:tcPr>
                  <w:tcW w:w="538" w:type="pct"/>
                  <w:tcBorders>
                    <w:tl2br w:val="nil"/>
                    <w:tr2bl w:val="nil"/>
                  </w:tcBorders>
                  <w:vAlign w:val="center"/>
                </w:tcPr>
                <w:p w14:paraId="35F83AA7">
                  <w:pPr>
                    <w:ind w:left="-105" w:leftChars="-50" w:right="-105" w:rightChars="-50"/>
                    <w:jc w:val="center"/>
                    <w:rPr>
                      <w:color w:val="auto"/>
                      <w:sz w:val="18"/>
                      <w:szCs w:val="18"/>
                      <w:highlight w:val="none"/>
                    </w:rPr>
                  </w:pPr>
                  <w:r>
                    <w:rPr>
                      <w:color w:val="auto"/>
                      <w:sz w:val="18"/>
                      <w:szCs w:val="18"/>
                      <w:highlight w:val="none"/>
                    </w:rPr>
                    <w:t>+65.71</w:t>
                  </w:r>
                </w:p>
              </w:tc>
              <w:tc>
                <w:tcPr>
                  <w:tcW w:w="809" w:type="pct"/>
                  <w:vMerge w:val="continue"/>
                  <w:tcBorders>
                    <w:tl2br w:val="nil"/>
                    <w:tr2bl w:val="nil"/>
                  </w:tcBorders>
                  <w:vAlign w:val="center"/>
                </w:tcPr>
                <w:p w14:paraId="0EEEEC24">
                  <w:pPr>
                    <w:ind w:left="-105" w:leftChars="-50" w:right="-105" w:rightChars="-50"/>
                    <w:jc w:val="center"/>
                    <w:rPr>
                      <w:color w:val="auto"/>
                      <w:sz w:val="18"/>
                      <w:szCs w:val="18"/>
                      <w:highlight w:val="none"/>
                    </w:rPr>
                  </w:pPr>
                </w:p>
              </w:tc>
              <w:tc>
                <w:tcPr>
                  <w:tcW w:w="634" w:type="pct"/>
                  <w:vMerge w:val="continue"/>
                  <w:tcBorders>
                    <w:tl2br w:val="nil"/>
                    <w:tr2bl w:val="nil"/>
                  </w:tcBorders>
                  <w:vAlign w:val="center"/>
                </w:tcPr>
                <w:p w14:paraId="7EE5E1E3">
                  <w:pPr>
                    <w:ind w:left="-105" w:leftChars="-50" w:right="-105" w:rightChars="-50"/>
                    <w:jc w:val="center"/>
                    <w:rPr>
                      <w:color w:val="auto"/>
                      <w:sz w:val="18"/>
                      <w:szCs w:val="18"/>
                      <w:highlight w:val="none"/>
                    </w:rPr>
                  </w:pPr>
                </w:p>
              </w:tc>
              <w:tc>
                <w:tcPr>
                  <w:tcW w:w="476" w:type="pct"/>
                  <w:vMerge w:val="continue"/>
                  <w:tcBorders>
                    <w:tl2br w:val="nil"/>
                    <w:tr2bl w:val="nil"/>
                  </w:tcBorders>
                  <w:vAlign w:val="center"/>
                </w:tcPr>
                <w:p w14:paraId="5417C63D">
                  <w:pPr>
                    <w:ind w:left="-105" w:leftChars="-50" w:right="-105" w:rightChars="-50"/>
                    <w:jc w:val="center"/>
                    <w:rPr>
                      <w:color w:val="auto"/>
                      <w:sz w:val="18"/>
                      <w:szCs w:val="18"/>
                      <w:highlight w:val="none"/>
                    </w:rPr>
                  </w:pPr>
                </w:p>
              </w:tc>
            </w:tr>
            <w:tr w14:paraId="24E9652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57" w:type="pct"/>
                  <w:vMerge w:val="continue"/>
                  <w:tcBorders>
                    <w:tl2br w:val="nil"/>
                    <w:tr2bl w:val="nil"/>
                  </w:tcBorders>
                  <w:vAlign w:val="center"/>
                </w:tcPr>
                <w:p w14:paraId="02D31678">
                  <w:pPr>
                    <w:ind w:left="-105" w:leftChars="-50" w:right="-105" w:rightChars="-50"/>
                    <w:jc w:val="center"/>
                    <w:rPr>
                      <w:color w:val="auto"/>
                      <w:sz w:val="18"/>
                      <w:szCs w:val="18"/>
                      <w:highlight w:val="none"/>
                    </w:rPr>
                  </w:pPr>
                </w:p>
              </w:tc>
              <w:tc>
                <w:tcPr>
                  <w:tcW w:w="320" w:type="pct"/>
                  <w:vMerge w:val="restart"/>
                  <w:tcBorders>
                    <w:tl2br w:val="nil"/>
                    <w:tr2bl w:val="nil"/>
                  </w:tcBorders>
                  <w:vAlign w:val="center"/>
                </w:tcPr>
                <w:p w14:paraId="7711B84E">
                  <w:pPr>
                    <w:ind w:left="-105" w:leftChars="-50" w:right="-105" w:rightChars="-50"/>
                    <w:jc w:val="center"/>
                    <w:rPr>
                      <w:color w:val="auto"/>
                      <w:sz w:val="18"/>
                      <w:szCs w:val="18"/>
                      <w:highlight w:val="none"/>
                    </w:rPr>
                  </w:pPr>
                  <w:r>
                    <w:rPr>
                      <w:color w:val="auto"/>
                      <w:sz w:val="18"/>
                      <w:szCs w:val="18"/>
                      <w:highlight w:val="none"/>
                    </w:rPr>
                    <w:t>VOCs</w:t>
                  </w:r>
                </w:p>
                <w:p w14:paraId="7DD889D0">
                  <w:pPr>
                    <w:ind w:left="-105" w:leftChars="-50" w:right="-105" w:rightChars="-50"/>
                    <w:jc w:val="center"/>
                    <w:rPr>
                      <w:color w:val="auto"/>
                      <w:sz w:val="18"/>
                      <w:szCs w:val="18"/>
                      <w:highlight w:val="none"/>
                    </w:rPr>
                  </w:pPr>
                  <w:r>
                    <w:rPr>
                      <w:color w:val="auto"/>
                      <w:sz w:val="18"/>
                      <w:szCs w:val="18"/>
                      <w:highlight w:val="none"/>
                    </w:rPr>
                    <w:t>(t/a)</w:t>
                  </w:r>
                </w:p>
              </w:tc>
              <w:tc>
                <w:tcPr>
                  <w:tcW w:w="715" w:type="pct"/>
                  <w:tcBorders>
                    <w:tl2br w:val="nil"/>
                    <w:tr2bl w:val="nil"/>
                  </w:tcBorders>
                  <w:vAlign w:val="center"/>
                </w:tcPr>
                <w:p w14:paraId="772BDCAE">
                  <w:pPr>
                    <w:ind w:left="-105" w:leftChars="-50" w:right="-105" w:rightChars="-50"/>
                    <w:jc w:val="center"/>
                    <w:rPr>
                      <w:color w:val="auto"/>
                      <w:sz w:val="18"/>
                      <w:szCs w:val="18"/>
                      <w:highlight w:val="none"/>
                    </w:rPr>
                  </w:pPr>
                  <w:r>
                    <w:rPr>
                      <w:color w:val="auto"/>
                      <w:sz w:val="18"/>
                      <w:szCs w:val="18"/>
                      <w:highlight w:val="none"/>
                    </w:rPr>
                    <w:t>现状排放量</w:t>
                  </w:r>
                </w:p>
              </w:tc>
              <w:tc>
                <w:tcPr>
                  <w:tcW w:w="538" w:type="pct"/>
                  <w:tcBorders>
                    <w:tl2br w:val="nil"/>
                    <w:tr2bl w:val="nil"/>
                  </w:tcBorders>
                  <w:vAlign w:val="center"/>
                </w:tcPr>
                <w:p w14:paraId="68BE039B">
                  <w:pPr>
                    <w:ind w:left="-105" w:leftChars="-50" w:right="-105" w:rightChars="-50"/>
                    <w:jc w:val="center"/>
                    <w:rPr>
                      <w:color w:val="auto"/>
                      <w:sz w:val="18"/>
                      <w:szCs w:val="18"/>
                      <w:highlight w:val="none"/>
                    </w:rPr>
                  </w:pPr>
                  <w:r>
                    <w:rPr>
                      <w:color w:val="auto"/>
                      <w:sz w:val="18"/>
                      <w:szCs w:val="18"/>
                      <w:highlight w:val="none"/>
                    </w:rPr>
                    <w:t>84.4</w:t>
                  </w:r>
                </w:p>
              </w:tc>
              <w:tc>
                <w:tcPr>
                  <w:tcW w:w="808" w:type="pct"/>
                  <w:vMerge w:val="continue"/>
                  <w:tcBorders>
                    <w:tl2br w:val="nil"/>
                    <w:tr2bl w:val="nil"/>
                  </w:tcBorders>
                  <w:vAlign w:val="center"/>
                </w:tcPr>
                <w:p w14:paraId="5C9D5003">
                  <w:pPr>
                    <w:ind w:left="-105" w:leftChars="-50" w:right="-105" w:rightChars="-50"/>
                    <w:jc w:val="center"/>
                    <w:rPr>
                      <w:color w:val="auto"/>
                      <w:sz w:val="18"/>
                      <w:szCs w:val="18"/>
                      <w:highlight w:val="none"/>
                    </w:rPr>
                  </w:pPr>
                </w:p>
              </w:tc>
              <w:tc>
                <w:tcPr>
                  <w:tcW w:w="538" w:type="pct"/>
                  <w:tcBorders>
                    <w:tl2br w:val="nil"/>
                    <w:tr2bl w:val="nil"/>
                  </w:tcBorders>
                  <w:vAlign w:val="center"/>
                </w:tcPr>
                <w:p w14:paraId="1A1362DA">
                  <w:pPr>
                    <w:ind w:left="-105" w:leftChars="-50" w:right="-105" w:rightChars="-50"/>
                    <w:jc w:val="center"/>
                    <w:rPr>
                      <w:color w:val="auto"/>
                      <w:sz w:val="18"/>
                      <w:szCs w:val="18"/>
                      <w:highlight w:val="none"/>
                    </w:rPr>
                  </w:pPr>
                  <w:r>
                    <w:rPr>
                      <w:color w:val="auto"/>
                      <w:sz w:val="18"/>
                      <w:szCs w:val="18"/>
                      <w:highlight w:val="none"/>
                    </w:rPr>
                    <w:t>84.4</w:t>
                  </w:r>
                </w:p>
              </w:tc>
              <w:tc>
                <w:tcPr>
                  <w:tcW w:w="809" w:type="pct"/>
                  <w:vMerge w:val="continue"/>
                  <w:tcBorders>
                    <w:tl2br w:val="nil"/>
                    <w:tr2bl w:val="nil"/>
                  </w:tcBorders>
                  <w:vAlign w:val="center"/>
                </w:tcPr>
                <w:p w14:paraId="74C3FDEA">
                  <w:pPr>
                    <w:ind w:left="-105" w:leftChars="-50" w:right="-105" w:rightChars="-50"/>
                    <w:jc w:val="center"/>
                    <w:rPr>
                      <w:color w:val="auto"/>
                      <w:sz w:val="18"/>
                      <w:szCs w:val="18"/>
                      <w:highlight w:val="none"/>
                    </w:rPr>
                  </w:pPr>
                </w:p>
              </w:tc>
              <w:tc>
                <w:tcPr>
                  <w:tcW w:w="634" w:type="pct"/>
                  <w:vMerge w:val="continue"/>
                  <w:tcBorders>
                    <w:tl2br w:val="nil"/>
                    <w:tr2bl w:val="nil"/>
                  </w:tcBorders>
                  <w:vAlign w:val="center"/>
                </w:tcPr>
                <w:p w14:paraId="1DF0E71B">
                  <w:pPr>
                    <w:ind w:left="-105" w:leftChars="-50" w:right="-105" w:rightChars="-50"/>
                    <w:jc w:val="center"/>
                    <w:rPr>
                      <w:color w:val="auto"/>
                      <w:sz w:val="18"/>
                      <w:szCs w:val="18"/>
                      <w:highlight w:val="none"/>
                    </w:rPr>
                  </w:pPr>
                </w:p>
              </w:tc>
              <w:tc>
                <w:tcPr>
                  <w:tcW w:w="476" w:type="pct"/>
                  <w:vMerge w:val="continue"/>
                  <w:tcBorders>
                    <w:tl2br w:val="nil"/>
                    <w:tr2bl w:val="nil"/>
                  </w:tcBorders>
                  <w:vAlign w:val="center"/>
                </w:tcPr>
                <w:p w14:paraId="3DDEBC45">
                  <w:pPr>
                    <w:ind w:left="-105" w:leftChars="-50" w:right="-105" w:rightChars="-50"/>
                    <w:jc w:val="center"/>
                    <w:rPr>
                      <w:color w:val="auto"/>
                      <w:sz w:val="18"/>
                      <w:szCs w:val="18"/>
                      <w:highlight w:val="none"/>
                    </w:rPr>
                  </w:pPr>
                </w:p>
              </w:tc>
            </w:tr>
            <w:tr w14:paraId="1922872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57" w:type="pct"/>
                  <w:vMerge w:val="continue"/>
                  <w:tcBorders>
                    <w:tl2br w:val="nil"/>
                    <w:tr2bl w:val="nil"/>
                  </w:tcBorders>
                  <w:vAlign w:val="center"/>
                </w:tcPr>
                <w:p w14:paraId="28DA6AF3">
                  <w:pPr>
                    <w:ind w:left="-105" w:leftChars="-50" w:right="-105" w:rightChars="-50"/>
                    <w:jc w:val="center"/>
                    <w:rPr>
                      <w:color w:val="auto"/>
                      <w:sz w:val="18"/>
                      <w:szCs w:val="18"/>
                      <w:highlight w:val="none"/>
                    </w:rPr>
                  </w:pPr>
                </w:p>
              </w:tc>
              <w:tc>
                <w:tcPr>
                  <w:tcW w:w="320" w:type="pct"/>
                  <w:vMerge w:val="continue"/>
                  <w:tcBorders>
                    <w:tl2br w:val="nil"/>
                    <w:tr2bl w:val="nil"/>
                  </w:tcBorders>
                  <w:vAlign w:val="center"/>
                </w:tcPr>
                <w:p w14:paraId="5E45C7B0">
                  <w:pPr>
                    <w:ind w:left="-105" w:leftChars="-50" w:right="-105" w:rightChars="-50"/>
                    <w:jc w:val="center"/>
                    <w:rPr>
                      <w:color w:val="auto"/>
                      <w:sz w:val="18"/>
                      <w:szCs w:val="18"/>
                      <w:highlight w:val="none"/>
                    </w:rPr>
                  </w:pPr>
                </w:p>
              </w:tc>
              <w:tc>
                <w:tcPr>
                  <w:tcW w:w="715" w:type="pct"/>
                  <w:tcBorders>
                    <w:tl2br w:val="nil"/>
                    <w:tr2bl w:val="nil"/>
                  </w:tcBorders>
                  <w:vAlign w:val="center"/>
                </w:tcPr>
                <w:p w14:paraId="360A9BDB">
                  <w:pPr>
                    <w:ind w:left="-105" w:leftChars="-50" w:right="-105" w:rightChars="-50"/>
                    <w:jc w:val="center"/>
                    <w:rPr>
                      <w:color w:val="auto"/>
                      <w:sz w:val="18"/>
                      <w:szCs w:val="18"/>
                      <w:highlight w:val="none"/>
                    </w:rPr>
                  </w:pPr>
                  <w:r>
                    <w:rPr>
                      <w:color w:val="auto"/>
                      <w:sz w:val="18"/>
                      <w:szCs w:val="18"/>
                      <w:highlight w:val="none"/>
                    </w:rPr>
                    <w:t>总量管控限值</w:t>
                  </w:r>
                </w:p>
              </w:tc>
              <w:tc>
                <w:tcPr>
                  <w:tcW w:w="538" w:type="pct"/>
                  <w:tcBorders>
                    <w:tl2br w:val="nil"/>
                    <w:tr2bl w:val="nil"/>
                  </w:tcBorders>
                  <w:vAlign w:val="center"/>
                </w:tcPr>
                <w:p w14:paraId="5009F022">
                  <w:pPr>
                    <w:ind w:left="-105" w:leftChars="-50" w:right="-105" w:rightChars="-50"/>
                    <w:jc w:val="center"/>
                    <w:rPr>
                      <w:color w:val="auto"/>
                      <w:sz w:val="18"/>
                      <w:szCs w:val="18"/>
                      <w:highlight w:val="none"/>
                    </w:rPr>
                  </w:pPr>
                  <w:r>
                    <w:rPr>
                      <w:color w:val="auto"/>
                      <w:sz w:val="18"/>
                      <w:szCs w:val="18"/>
                      <w:highlight w:val="none"/>
                    </w:rPr>
                    <w:t>138.31</w:t>
                  </w:r>
                </w:p>
              </w:tc>
              <w:tc>
                <w:tcPr>
                  <w:tcW w:w="808" w:type="pct"/>
                  <w:vMerge w:val="continue"/>
                  <w:tcBorders>
                    <w:tl2br w:val="nil"/>
                    <w:tr2bl w:val="nil"/>
                  </w:tcBorders>
                  <w:vAlign w:val="center"/>
                </w:tcPr>
                <w:p w14:paraId="284E1E72">
                  <w:pPr>
                    <w:ind w:left="-105" w:leftChars="-50" w:right="-105" w:rightChars="-50"/>
                    <w:jc w:val="center"/>
                    <w:rPr>
                      <w:color w:val="auto"/>
                      <w:sz w:val="18"/>
                      <w:szCs w:val="18"/>
                      <w:highlight w:val="none"/>
                    </w:rPr>
                  </w:pPr>
                </w:p>
              </w:tc>
              <w:tc>
                <w:tcPr>
                  <w:tcW w:w="538" w:type="pct"/>
                  <w:tcBorders>
                    <w:tl2br w:val="nil"/>
                    <w:tr2bl w:val="nil"/>
                  </w:tcBorders>
                  <w:vAlign w:val="center"/>
                </w:tcPr>
                <w:p w14:paraId="57F2C9F0">
                  <w:pPr>
                    <w:ind w:left="-105" w:leftChars="-50" w:right="-105" w:rightChars="-50"/>
                    <w:jc w:val="center"/>
                    <w:rPr>
                      <w:color w:val="auto"/>
                      <w:sz w:val="18"/>
                      <w:szCs w:val="18"/>
                      <w:highlight w:val="none"/>
                    </w:rPr>
                  </w:pPr>
                  <w:r>
                    <w:rPr>
                      <w:color w:val="auto"/>
                      <w:sz w:val="18"/>
                      <w:szCs w:val="18"/>
                      <w:highlight w:val="none"/>
                    </w:rPr>
                    <w:t>140.96</w:t>
                  </w:r>
                </w:p>
              </w:tc>
              <w:tc>
                <w:tcPr>
                  <w:tcW w:w="809" w:type="pct"/>
                  <w:vMerge w:val="continue"/>
                  <w:tcBorders>
                    <w:tl2br w:val="nil"/>
                    <w:tr2bl w:val="nil"/>
                  </w:tcBorders>
                  <w:vAlign w:val="center"/>
                </w:tcPr>
                <w:p w14:paraId="1839E3D1">
                  <w:pPr>
                    <w:ind w:left="-105" w:leftChars="-50" w:right="-105" w:rightChars="-50"/>
                    <w:jc w:val="center"/>
                    <w:rPr>
                      <w:color w:val="auto"/>
                      <w:sz w:val="18"/>
                      <w:szCs w:val="18"/>
                      <w:highlight w:val="none"/>
                    </w:rPr>
                  </w:pPr>
                </w:p>
              </w:tc>
              <w:tc>
                <w:tcPr>
                  <w:tcW w:w="634" w:type="pct"/>
                  <w:vMerge w:val="continue"/>
                  <w:tcBorders>
                    <w:tl2br w:val="nil"/>
                    <w:tr2bl w:val="nil"/>
                  </w:tcBorders>
                  <w:vAlign w:val="center"/>
                </w:tcPr>
                <w:p w14:paraId="7FE5846A">
                  <w:pPr>
                    <w:ind w:left="-105" w:leftChars="-50" w:right="-105" w:rightChars="-50"/>
                    <w:jc w:val="center"/>
                    <w:rPr>
                      <w:color w:val="auto"/>
                      <w:sz w:val="18"/>
                      <w:szCs w:val="18"/>
                      <w:highlight w:val="none"/>
                    </w:rPr>
                  </w:pPr>
                </w:p>
              </w:tc>
              <w:tc>
                <w:tcPr>
                  <w:tcW w:w="476" w:type="pct"/>
                  <w:vMerge w:val="continue"/>
                  <w:tcBorders>
                    <w:tl2br w:val="nil"/>
                    <w:tr2bl w:val="nil"/>
                  </w:tcBorders>
                  <w:vAlign w:val="center"/>
                </w:tcPr>
                <w:p w14:paraId="2315DF41">
                  <w:pPr>
                    <w:ind w:left="-105" w:leftChars="-50" w:right="-105" w:rightChars="-50"/>
                    <w:jc w:val="center"/>
                    <w:rPr>
                      <w:color w:val="auto"/>
                      <w:sz w:val="18"/>
                      <w:szCs w:val="18"/>
                      <w:highlight w:val="none"/>
                    </w:rPr>
                  </w:pPr>
                </w:p>
              </w:tc>
            </w:tr>
            <w:tr w14:paraId="19BA8D2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57" w:type="pct"/>
                  <w:vMerge w:val="continue"/>
                  <w:tcBorders>
                    <w:tl2br w:val="nil"/>
                    <w:tr2bl w:val="nil"/>
                  </w:tcBorders>
                  <w:vAlign w:val="center"/>
                </w:tcPr>
                <w:p w14:paraId="5CA6872D">
                  <w:pPr>
                    <w:ind w:left="-105" w:leftChars="-50" w:right="-105" w:rightChars="-50"/>
                    <w:jc w:val="center"/>
                    <w:rPr>
                      <w:color w:val="auto"/>
                      <w:sz w:val="18"/>
                      <w:szCs w:val="18"/>
                      <w:highlight w:val="none"/>
                    </w:rPr>
                  </w:pPr>
                </w:p>
              </w:tc>
              <w:tc>
                <w:tcPr>
                  <w:tcW w:w="320" w:type="pct"/>
                  <w:vMerge w:val="continue"/>
                  <w:tcBorders>
                    <w:tl2br w:val="nil"/>
                    <w:tr2bl w:val="nil"/>
                  </w:tcBorders>
                  <w:vAlign w:val="center"/>
                </w:tcPr>
                <w:p w14:paraId="7B9CBE28">
                  <w:pPr>
                    <w:ind w:left="-105" w:leftChars="-50" w:right="-105" w:rightChars="-50"/>
                    <w:jc w:val="center"/>
                    <w:rPr>
                      <w:color w:val="auto"/>
                      <w:sz w:val="18"/>
                      <w:szCs w:val="18"/>
                      <w:highlight w:val="none"/>
                    </w:rPr>
                  </w:pPr>
                </w:p>
              </w:tc>
              <w:tc>
                <w:tcPr>
                  <w:tcW w:w="715" w:type="pct"/>
                  <w:tcBorders>
                    <w:tl2br w:val="nil"/>
                    <w:tr2bl w:val="nil"/>
                  </w:tcBorders>
                  <w:vAlign w:val="center"/>
                </w:tcPr>
                <w:p w14:paraId="47380B8D">
                  <w:pPr>
                    <w:ind w:left="-105" w:leftChars="-50" w:right="-105" w:rightChars="-50"/>
                    <w:jc w:val="center"/>
                    <w:rPr>
                      <w:color w:val="auto"/>
                      <w:sz w:val="18"/>
                      <w:szCs w:val="18"/>
                      <w:highlight w:val="none"/>
                    </w:rPr>
                  </w:pPr>
                  <w:r>
                    <w:rPr>
                      <w:color w:val="auto"/>
                      <w:sz w:val="18"/>
                      <w:szCs w:val="18"/>
                      <w:highlight w:val="none"/>
                    </w:rPr>
                    <w:t>增减量</w:t>
                  </w:r>
                </w:p>
              </w:tc>
              <w:tc>
                <w:tcPr>
                  <w:tcW w:w="538" w:type="pct"/>
                  <w:tcBorders>
                    <w:tl2br w:val="nil"/>
                    <w:tr2bl w:val="nil"/>
                  </w:tcBorders>
                  <w:vAlign w:val="center"/>
                </w:tcPr>
                <w:p w14:paraId="4C200659">
                  <w:pPr>
                    <w:ind w:left="-105" w:leftChars="-50" w:right="-105" w:rightChars="-50"/>
                    <w:jc w:val="center"/>
                    <w:rPr>
                      <w:color w:val="auto"/>
                      <w:sz w:val="18"/>
                      <w:szCs w:val="18"/>
                      <w:highlight w:val="none"/>
                    </w:rPr>
                  </w:pPr>
                  <w:r>
                    <w:rPr>
                      <w:color w:val="auto"/>
                      <w:sz w:val="18"/>
                      <w:szCs w:val="18"/>
                      <w:highlight w:val="none"/>
                    </w:rPr>
                    <w:t>+53.91</w:t>
                  </w:r>
                </w:p>
              </w:tc>
              <w:tc>
                <w:tcPr>
                  <w:tcW w:w="808" w:type="pct"/>
                  <w:vMerge w:val="continue"/>
                  <w:tcBorders>
                    <w:tl2br w:val="nil"/>
                    <w:tr2bl w:val="nil"/>
                  </w:tcBorders>
                  <w:vAlign w:val="center"/>
                </w:tcPr>
                <w:p w14:paraId="03A07447">
                  <w:pPr>
                    <w:ind w:left="-105" w:leftChars="-50" w:right="-105" w:rightChars="-50"/>
                    <w:jc w:val="center"/>
                    <w:rPr>
                      <w:color w:val="auto"/>
                      <w:sz w:val="18"/>
                      <w:szCs w:val="18"/>
                      <w:highlight w:val="none"/>
                    </w:rPr>
                  </w:pPr>
                </w:p>
              </w:tc>
              <w:tc>
                <w:tcPr>
                  <w:tcW w:w="538" w:type="pct"/>
                  <w:tcBorders>
                    <w:tl2br w:val="nil"/>
                    <w:tr2bl w:val="nil"/>
                  </w:tcBorders>
                  <w:vAlign w:val="center"/>
                </w:tcPr>
                <w:p w14:paraId="3D998981">
                  <w:pPr>
                    <w:ind w:left="-105" w:leftChars="-50" w:right="-105" w:rightChars="-50"/>
                    <w:jc w:val="center"/>
                    <w:rPr>
                      <w:color w:val="auto"/>
                      <w:sz w:val="18"/>
                      <w:szCs w:val="18"/>
                      <w:highlight w:val="none"/>
                    </w:rPr>
                  </w:pPr>
                  <w:r>
                    <w:rPr>
                      <w:color w:val="auto"/>
                      <w:sz w:val="18"/>
                      <w:szCs w:val="18"/>
                      <w:highlight w:val="none"/>
                    </w:rPr>
                    <w:t>+56.56</w:t>
                  </w:r>
                </w:p>
              </w:tc>
              <w:tc>
                <w:tcPr>
                  <w:tcW w:w="809" w:type="pct"/>
                  <w:vMerge w:val="continue"/>
                  <w:tcBorders>
                    <w:tl2br w:val="nil"/>
                    <w:tr2bl w:val="nil"/>
                  </w:tcBorders>
                  <w:vAlign w:val="center"/>
                </w:tcPr>
                <w:p w14:paraId="463CFF2B">
                  <w:pPr>
                    <w:ind w:left="-105" w:leftChars="-50" w:right="-105" w:rightChars="-50"/>
                    <w:jc w:val="center"/>
                    <w:rPr>
                      <w:color w:val="auto"/>
                      <w:sz w:val="18"/>
                      <w:szCs w:val="18"/>
                      <w:highlight w:val="none"/>
                    </w:rPr>
                  </w:pPr>
                </w:p>
              </w:tc>
              <w:tc>
                <w:tcPr>
                  <w:tcW w:w="634" w:type="pct"/>
                  <w:vMerge w:val="continue"/>
                  <w:tcBorders>
                    <w:tl2br w:val="nil"/>
                    <w:tr2bl w:val="nil"/>
                  </w:tcBorders>
                  <w:vAlign w:val="center"/>
                </w:tcPr>
                <w:p w14:paraId="2D15DE47">
                  <w:pPr>
                    <w:ind w:left="-105" w:leftChars="-50" w:right="-105" w:rightChars="-50"/>
                    <w:jc w:val="center"/>
                    <w:rPr>
                      <w:color w:val="auto"/>
                      <w:sz w:val="18"/>
                      <w:szCs w:val="18"/>
                      <w:highlight w:val="none"/>
                    </w:rPr>
                  </w:pPr>
                </w:p>
              </w:tc>
              <w:tc>
                <w:tcPr>
                  <w:tcW w:w="476" w:type="pct"/>
                  <w:vMerge w:val="continue"/>
                  <w:tcBorders>
                    <w:tl2br w:val="nil"/>
                    <w:tr2bl w:val="nil"/>
                  </w:tcBorders>
                  <w:vAlign w:val="center"/>
                </w:tcPr>
                <w:p w14:paraId="3AFD1279">
                  <w:pPr>
                    <w:ind w:left="-105" w:leftChars="-50" w:right="-105" w:rightChars="-50"/>
                    <w:jc w:val="center"/>
                    <w:rPr>
                      <w:color w:val="auto"/>
                      <w:sz w:val="18"/>
                      <w:szCs w:val="18"/>
                      <w:highlight w:val="none"/>
                    </w:rPr>
                  </w:pPr>
                </w:p>
              </w:tc>
            </w:tr>
            <w:tr w14:paraId="3C90CF9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478" w:type="pct"/>
                  <w:gridSpan w:val="2"/>
                  <w:vMerge w:val="restart"/>
                  <w:tcBorders>
                    <w:tl2br w:val="nil"/>
                    <w:tr2bl w:val="nil"/>
                  </w:tcBorders>
                  <w:vAlign w:val="center"/>
                </w:tcPr>
                <w:p w14:paraId="24C5681C">
                  <w:pPr>
                    <w:ind w:left="-105" w:leftChars="-50" w:right="-105" w:rightChars="-50"/>
                    <w:jc w:val="center"/>
                    <w:rPr>
                      <w:color w:val="auto"/>
                      <w:sz w:val="18"/>
                      <w:szCs w:val="18"/>
                      <w:highlight w:val="none"/>
                    </w:rPr>
                  </w:pPr>
                  <w:r>
                    <w:rPr>
                      <w:color w:val="auto"/>
                      <w:sz w:val="18"/>
                      <w:szCs w:val="18"/>
                      <w:highlight w:val="none"/>
                    </w:rPr>
                    <w:t>危险废物管控总量限值(万t/a)</w:t>
                  </w:r>
                </w:p>
              </w:tc>
              <w:tc>
                <w:tcPr>
                  <w:tcW w:w="715" w:type="pct"/>
                  <w:tcBorders>
                    <w:tl2br w:val="nil"/>
                    <w:tr2bl w:val="nil"/>
                  </w:tcBorders>
                  <w:vAlign w:val="center"/>
                </w:tcPr>
                <w:p w14:paraId="4437BF55">
                  <w:pPr>
                    <w:ind w:left="-105" w:leftChars="-50" w:right="-105" w:rightChars="-50"/>
                    <w:jc w:val="center"/>
                    <w:rPr>
                      <w:color w:val="auto"/>
                      <w:sz w:val="18"/>
                      <w:szCs w:val="18"/>
                      <w:highlight w:val="none"/>
                    </w:rPr>
                  </w:pPr>
                  <w:r>
                    <w:rPr>
                      <w:color w:val="auto"/>
                      <w:sz w:val="18"/>
                      <w:szCs w:val="18"/>
                      <w:highlight w:val="none"/>
                    </w:rPr>
                    <w:t>现状产生量</w:t>
                  </w:r>
                </w:p>
              </w:tc>
              <w:tc>
                <w:tcPr>
                  <w:tcW w:w="538" w:type="pct"/>
                  <w:tcBorders>
                    <w:tl2br w:val="nil"/>
                    <w:tr2bl w:val="nil"/>
                  </w:tcBorders>
                  <w:vAlign w:val="center"/>
                </w:tcPr>
                <w:p w14:paraId="29B3EC75">
                  <w:pPr>
                    <w:ind w:left="-105" w:leftChars="-50" w:right="-105" w:rightChars="-50"/>
                    <w:jc w:val="center"/>
                    <w:rPr>
                      <w:color w:val="auto"/>
                      <w:sz w:val="18"/>
                      <w:szCs w:val="18"/>
                      <w:highlight w:val="none"/>
                    </w:rPr>
                  </w:pPr>
                  <w:r>
                    <w:rPr>
                      <w:color w:val="auto"/>
                      <w:sz w:val="18"/>
                      <w:szCs w:val="18"/>
                      <w:highlight w:val="none"/>
                    </w:rPr>
                    <w:t>0.262</w:t>
                  </w:r>
                </w:p>
              </w:tc>
              <w:tc>
                <w:tcPr>
                  <w:tcW w:w="808" w:type="pct"/>
                  <w:vMerge w:val="restart"/>
                  <w:tcBorders>
                    <w:tl2br w:val="nil"/>
                    <w:tr2bl w:val="nil"/>
                  </w:tcBorders>
                  <w:vAlign w:val="center"/>
                </w:tcPr>
                <w:p w14:paraId="76831067">
                  <w:pPr>
                    <w:ind w:left="-105" w:leftChars="-50" w:right="-105" w:rightChars="-50"/>
                    <w:jc w:val="center"/>
                    <w:rPr>
                      <w:color w:val="auto"/>
                      <w:sz w:val="18"/>
                      <w:szCs w:val="18"/>
                      <w:highlight w:val="none"/>
                    </w:rPr>
                  </w:pPr>
                  <w:r>
                    <w:rPr>
                      <w:color w:val="auto"/>
                      <w:sz w:val="18"/>
                      <w:szCs w:val="18"/>
                      <w:highlight w:val="none"/>
                    </w:rPr>
                    <w:t>能得到合理处置，土壤环境质量能满足相应标准要求</w:t>
                  </w:r>
                </w:p>
              </w:tc>
              <w:tc>
                <w:tcPr>
                  <w:tcW w:w="538" w:type="pct"/>
                  <w:tcBorders>
                    <w:tl2br w:val="nil"/>
                    <w:tr2bl w:val="nil"/>
                  </w:tcBorders>
                  <w:vAlign w:val="center"/>
                </w:tcPr>
                <w:p w14:paraId="1D193FB3">
                  <w:pPr>
                    <w:ind w:left="-105" w:leftChars="-50" w:right="-105" w:rightChars="-50"/>
                    <w:jc w:val="center"/>
                    <w:rPr>
                      <w:color w:val="auto"/>
                      <w:sz w:val="18"/>
                      <w:szCs w:val="18"/>
                      <w:highlight w:val="none"/>
                    </w:rPr>
                  </w:pPr>
                  <w:r>
                    <w:rPr>
                      <w:color w:val="auto"/>
                      <w:sz w:val="18"/>
                      <w:szCs w:val="18"/>
                      <w:highlight w:val="none"/>
                    </w:rPr>
                    <w:t>0.262</w:t>
                  </w:r>
                </w:p>
              </w:tc>
              <w:tc>
                <w:tcPr>
                  <w:tcW w:w="809" w:type="pct"/>
                  <w:vMerge w:val="restart"/>
                  <w:tcBorders>
                    <w:tl2br w:val="nil"/>
                    <w:tr2bl w:val="nil"/>
                  </w:tcBorders>
                  <w:vAlign w:val="center"/>
                </w:tcPr>
                <w:p w14:paraId="6CAD684D">
                  <w:pPr>
                    <w:ind w:left="-105" w:leftChars="-50" w:right="-105" w:rightChars="-50"/>
                    <w:jc w:val="center"/>
                    <w:rPr>
                      <w:color w:val="auto"/>
                      <w:sz w:val="18"/>
                      <w:szCs w:val="18"/>
                      <w:highlight w:val="none"/>
                    </w:rPr>
                  </w:pPr>
                  <w:r>
                    <w:rPr>
                      <w:color w:val="auto"/>
                      <w:sz w:val="18"/>
                      <w:szCs w:val="18"/>
                      <w:highlight w:val="none"/>
                    </w:rPr>
                    <w:t>能得到合理处置，土壤环境质量能满足相应标准要求</w:t>
                  </w:r>
                </w:p>
              </w:tc>
              <w:tc>
                <w:tcPr>
                  <w:tcW w:w="634" w:type="pct"/>
                  <w:vMerge w:val="continue"/>
                  <w:tcBorders>
                    <w:tl2br w:val="nil"/>
                    <w:tr2bl w:val="nil"/>
                  </w:tcBorders>
                  <w:vAlign w:val="center"/>
                </w:tcPr>
                <w:p w14:paraId="53874D9A">
                  <w:pPr>
                    <w:ind w:left="-105" w:leftChars="-50" w:right="-105" w:rightChars="-50"/>
                    <w:rPr>
                      <w:color w:val="auto"/>
                      <w:sz w:val="18"/>
                      <w:szCs w:val="18"/>
                      <w:highlight w:val="none"/>
                    </w:rPr>
                  </w:pPr>
                </w:p>
              </w:tc>
              <w:tc>
                <w:tcPr>
                  <w:tcW w:w="476" w:type="pct"/>
                  <w:vMerge w:val="restart"/>
                  <w:tcBorders>
                    <w:tl2br w:val="nil"/>
                    <w:tr2bl w:val="nil"/>
                  </w:tcBorders>
                  <w:vAlign w:val="center"/>
                </w:tcPr>
                <w:p w14:paraId="08B90210">
                  <w:pPr>
                    <w:ind w:left="-105" w:leftChars="-50" w:right="-105" w:rightChars="-50"/>
                    <w:jc w:val="center"/>
                    <w:rPr>
                      <w:color w:val="auto"/>
                      <w:sz w:val="18"/>
                      <w:szCs w:val="18"/>
                      <w:highlight w:val="none"/>
                    </w:rPr>
                  </w:pPr>
                  <w:r>
                    <w:rPr>
                      <w:color w:val="auto"/>
                      <w:sz w:val="18"/>
                      <w:szCs w:val="18"/>
                      <w:highlight w:val="none"/>
                    </w:rPr>
                    <w:t>符合</w:t>
                  </w:r>
                </w:p>
              </w:tc>
            </w:tr>
            <w:tr w14:paraId="66E82C6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478" w:type="pct"/>
                  <w:gridSpan w:val="2"/>
                  <w:vMerge w:val="continue"/>
                  <w:tcBorders>
                    <w:tl2br w:val="nil"/>
                    <w:tr2bl w:val="nil"/>
                  </w:tcBorders>
                  <w:vAlign w:val="center"/>
                </w:tcPr>
                <w:p w14:paraId="1A79B5E5">
                  <w:pPr>
                    <w:ind w:left="-105" w:leftChars="-50" w:right="-105" w:rightChars="-50"/>
                    <w:jc w:val="center"/>
                    <w:rPr>
                      <w:color w:val="auto"/>
                      <w:sz w:val="18"/>
                      <w:szCs w:val="18"/>
                      <w:highlight w:val="none"/>
                    </w:rPr>
                  </w:pPr>
                </w:p>
              </w:tc>
              <w:tc>
                <w:tcPr>
                  <w:tcW w:w="715" w:type="pct"/>
                  <w:tcBorders>
                    <w:tl2br w:val="nil"/>
                    <w:tr2bl w:val="nil"/>
                  </w:tcBorders>
                  <w:vAlign w:val="center"/>
                </w:tcPr>
                <w:p w14:paraId="4A43CF55">
                  <w:pPr>
                    <w:ind w:left="-105" w:leftChars="-50" w:right="-105" w:rightChars="-50"/>
                    <w:jc w:val="center"/>
                    <w:rPr>
                      <w:color w:val="auto"/>
                      <w:sz w:val="18"/>
                      <w:szCs w:val="18"/>
                      <w:highlight w:val="none"/>
                    </w:rPr>
                  </w:pPr>
                  <w:r>
                    <w:rPr>
                      <w:color w:val="auto"/>
                      <w:sz w:val="18"/>
                      <w:szCs w:val="18"/>
                      <w:highlight w:val="none"/>
                    </w:rPr>
                    <w:t>总量管控限值</w:t>
                  </w:r>
                </w:p>
              </w:tc>
              <w:tc>
                <w:tcPr>
                  <w:tcW w:w="538" w:type="pct"/>
                  <w:tcBorders>
                    <w:tl2br w:val="nil"/>
                    <w:tr2bl w:val="nil"/>
                  </w:tcBorders>
                  <w:vAlign w:val="center"/>
                </w:tcPr>
                <w:p w14:paraId="2675D21D">
                  <w:pPr>
                    <w:ind w:left="-105" w:leftChars="-50" w:right="-105" w:rightChars="-50"/>
                    <w:jc w:val="center"/>
                    <w:rPr>
                      <w:color w:val="auto"/>
                      <w:sz w:val="18"/>
                      <w:szCs w:val="18"/>
                      <w:highlight w:val="none"/>
                    </w:rPr>
                  </w:pPr>
                  <w:r>
                    <w:rPr>
                      <w:color w:val="auto"/>
                      <w:sz w:val="18"/>
                      <w:szCs w:val="18"/>
                      <w:highlight w:val="none"/>
                    </w:rPr>
                    <w:t>0.127</w:t>
                  </w:r>
                </w:p>
              </w:tc>
              <w:tc>
                <w:tcPr>
                  <w:tcW w:w="808" w:type="pct"/>
                  <w:vMerge w:val="continue"/>
                  <w:tcBorders>
                    <w:tl2br w:val="nil"/>
                    <w:tr2bl w:val="nil"/>
                  </w:tcBorders>
                  <w:vAlign w:val="center"/>
                </w:tcPr>
                <w:p w14:paraId="110A5B09">
                  <w:pPr>
                    <w:ind w:left="-105" w:leftChars="-50" w:right="-105" w:rightChars="-50"/>
                    <w:jc w:val="center"/>
                    <w:rPr>
                      <w:color w:val="auto"/>
                      <w:sz w:val="18"/>
                      <w:szCs w:val="18"/>
                      <w:highlight w:val="none"/>
                    </w:rPr>
                  </w:pPr>
                </w:p>
              </w:tc>
              <w:tc>
                <w:tcPr>
                  <w:tcW w:w="538" w:type="pct"/>
                  <w:tcBorders>
                    <w:tl2br w:val="nil"/>
                    <w:tr2bl w:val="nil"/>
                  </w:tcBorders>
                  <w:vAlign w:val="center"/>
                </w:tcPr>
                <w:p w14:paraId="55531A19">
                  <w:pPr>
                    <w:ind w:left="-105" w:leftChars="-50" w:right="-105" w:rightChars="-50"/>
                    <w:jc w:val="center"/>
                    <w:rPr>
                      <w:color w:val="auto"/>
                      <w:sz w:val="18"/>
                      <w:szCs w:val="18"/>
                      <w:highlight w:val="none"/>
                    </w:rPr>
                  </w:pPr>
                  <w:r>
                    <w:rPr>
                      <w:color w:val="auto"/>
                      <w:sz w:val="18"/>
                      <w:szCs w:val="18"/>
                      <w:highlight w:val="none"/>
                    </w:rPr>
                    <w:t>0.333</w:t>
                  </w:r>
                </w:p>
              </w:tc>
              <w:tc>
                <w:tcPr>
                  <w:tcW w:w="809" w:type="pct"/>
                  <w:vMerge w:val="continue"/>
                  <w:tcBorders>
                    <w:tl2br w:val="nil"/>
                    <w:tr2bl w:val="nil"/>
                  </w:tcBorders>
                  <w:vAlign w:val="center"/>
                </w:tcPr>
                <w:p w14:paraId="701D02E7">
                  <w:pPr>
                    <w:ind w:left="-105" w:leftChars="-50" w:right="-105" w:rightChars="-50"/>
                    <w:jc w:val="center"/>
                    <w:rPr>
                      <w:color w:val="auto"/>
                      <w:sz w:val="18"/>
                      <w:szCs w:val="18"/>
                      <w:highlight w:val="none"/>
                    </w:rPr>
                  </w:pPr>
                </w:p>
              </w:tc>
              <w:tc>
                <w:tcPr>
                  <w:tcW w:w="634" w:type="pct"/>
                  <w:vMerge w:val="continue"/>
                  <w:tcBorders>
                    <w:tl2br w:val="nil"/>
                    <w:tr2bl w:val="nil"/>
                  </w:tcBorders>
                  <w:vAlign w:val="center"/>
                </w:tcPr>
                <w:p w14:paraId="24053F3F">
                  <w:pPr>
                    <w:ind w:left="-105" w:leftChars="-50" w:right="-105" w:rightChars="-50"/>
                    <w:jc w:val="center"/>
                    <w:rPr>
                      <w:color w:val="auto"/>
                      <w:sz w:val="18"/>
                      <w:szCs w:val="18"/>
                      <w:highlight w:val="none"/>
                    </w:rPr>
                  </w:pPr>
                </w:p>
              </w:tc>
              <w:tc>
                <w:tcPr>
                  <w:tcW w:w="476" w:type="pct"/>
                  <w:vMerge w:val="continue"/>
                  <w:tcBorders>
                    <w:tl2br w:val="nil"/>
                    <w:tr2bl w:val="nil"/>
                  </w:tcBorders>
                  <w:vAlign w:val="center"/>
                </w:tcPr>
                <w:p w14:paraId="785819F1">
                  <w:pPr>
                    <w:ind w:left="-105" w:leftChars="-50" w:right="-105" w:rightChars="-50"/>
                    <w:jc w:val="center"/>
                    <w:rPr>
                      <w:color w:val="auto"/>
                      <w:sz w:val="18"/>
                      <w:szCs w:val="18"/>
                      <w:highlight w:val="none"/>
                    </w:rPr>
                  </w:pPr>
                </w:p>
              </w:tc>
            </w:tr>
            <w:tr w14:paraId="42951C6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478" w:type="pct"/>
                  <w:gridSpan w:val="2"/>
                  <w:vMerge w:val="continue"/>
                  <w:tcBorders>
                    <w:tl2br w:val="nil"/>
                    <w:tr2bl w:val="nil"/>
                  </w:tcBorders>
                  <w:vAlign w:val="center"/>
                </w:tcPr>
                <w:p w14:paraId="73FB92ED">
                  <w:pPr>
                    <w:ind w:left="-105" w:leftChars="-50" w:right="-105" w:rightChars="-50"/>
                    <w:jc w:val="center"/>
                    <w:rPr>
                      <w:color w:val="auto"/>
                      <w:sz w:val="18"/>
                      <w:szCs w:val="18"/>
                      <w:highlight w:val="none"/>
                    </w:rPr>
                  </w:pPr>
                </w:p>
              </w:tc>
              <w:tc>
                <w:tcPr>
                  <w:tcW w:w="715" w:type="pct"/>
                  <w:tcBorders>
                    <w:tl2br w:val="nil"/>
                    <w:tr2bl w:val="nil"/>
                  </w:tcBorders>
                  <w:vAlign w:val="center"/>
                </w:tcPr>
                <w:p w14:paraId="15407A72">
                  <w:pPr>
                    <w:ind w:left="-105" w:leftChars="-50" w:right="-105" w:rightChars="-50"/>
                    <w:jc w:val="center"/>
                    <w:rPr>
                      <w:color w:val="auto"/>
                      <w:sz w:val="18"/>
                      <w:szCs w:val="18"/>
                      <w:highlight w:val="none"/>
                    </w:rPr>
                  </w:pPr>
                  <w:r>
                    <w:rPr>
                      <w:color w:val="auto"/>
                      <w:sz w:val="18"/>
                      <w:szCs w:val="18"/>
                      <w:highlight w:val="none"/>
                    </w:rPr>
                    <w:t>增减量</w:t>
                  </w:r>
                </w:p>
              </w:tc>
              <w:tc>
                <w:tcPr>
                  <w:tcW w:w="538" w:type="pct"/>
                  <w:tcBorders>
                    <w:tl2br w:val="nil"/>
                    <w:tr2bl w:val="nil"/>
                  </w:tcBorders>
                  <w:vAlign w:val="center"/>
                </w:tcPr>
                <w:p w14:paraId="65A63410">
                  <w:pPr>
                    <w:ind w:left="-105" w:leftChars="-50" w:right="-105" w:rightChars="-50"/>
                    <w:jc w:val="center"/>
                    <w:rPr>
                      <w:color w:val="auto"/>
                      <w:sz w:val="18"/>
                      <w:szCs w:val="18"/>
                      <w:highlight w:val="none"/>
                    </w:rPr>
                  </w:pPr>
                  <w:r>
                    <w:rPr>
                      <w:color w:val="auto"/>
                      <w:sz w:val="18"/>
                      <w:szCs w:val="18"/>
                      <w:highlight w:val="none"/>
                    </w:rPr>
                    <w:t>-0.135</w:t>
                  </w:r>
                </w:p>
              </w:tc>
              <w:tc>
                <w:tcPr>
                  <w:tcW w:w="808" w:type="pct"/>
                  <w:vMerge w:val="continue"/>
                  <w:tcBorders>
                    <w:tl2br w:val="nil"/>
                    <w:tr2bl w:val="nil"/>
                  </w:tcBorders>
                  <w:vAlign w:val="center"/>
                </w:tcPr>
                <w:p w14:paraId="3428430C">
                  <w:pPr>
                    <w:ind w:left="-105" w:leftChars="-50" w:right="-105" w:rightChars="-50"/>
                    <w:jc w:val="center"/>
                    <w:rPr>
                      <w:color w:val="auto"/>
                      <w:sz w:val="18"/>
                      <w:szCs w:val="18"/>
                      <w:highlight w:val="none"/>
                    </w:rPr>
                  </w:pPr>
                </w:p>
              </w:tc>
              <w:tc>
                <w:tcPr>
                  <w:tcW w:w="538" w:type="pct"/>
                  <w:tcBorders>
                    <w:tl2br w:val="nil"/>
                    <w:tr2bl w:val="nil"/>
                  </w:tcBorders>
                  <w:vAlign w:val="center"/>
                </w:tcPr>
                <w:p w14:paraId="07A0F928">
                  <w:pPr>
                    <w:ind w:left="-105" w:leftChars="-50" w:right="-105" w:rightChars="-50"/>
                    <w:jc w:val="center"/>
                    <w:rPr>
                      <w:color w:val="auto"/>
                      <w:sz w:val="18"/>
                      <w:szCs w:val="18"/>
                      <w:highlight w:val="none"/>
                    </w:rPr>
                  </w:pPr>
                  <w:r>
                    <w:rPr>
                      <w:color w:val="auto"/>
                      <w:sz w:val="18"/>
                      <w:szCs w:val="18"/>
                      <w:highlight w:val="none"/>
                    </w:rPr>
                    <w:t>+0.071</w:t>
                  </w:r>
                </w:p>
              </w:tc>
              <w:tc>
                <w:tcPr>
                  <w:tcW w:w="809" w:type="pct"/>
                  <w:vMerge w:val="continue"/>
                  <w:tcBorders>
                    <w:tl2br w:val="nil"/>
                    <w:tr2bl w:val="nil"/>
                  </w:tcBorders>
                  <w:vAlign w:val="center"/>
                </w:tcPr>
                <w:p w14:paraId="4583262F">
                  <w:pPr>
                    <w:ind w:left="-105" w:leftChars="-50" w:right="-105" w:rightChars="-50"/>
                    <w:jc w:val="center"/>
                    <w:rPr>
                      <w:color w:val="auto"/>
                      <w:sz w:val="18"/>
                      <w:szCs w:val="18"/>
                      <w:highlight w:val="none"/>
                    </w:rPr>
                  </w:pPr>
                </w:p>
              </w:tc>
              <w:tc>
                <w:tcPr>
                  <w:tcW w:w="634" w:type="pct"/>
                  <w:vMerge w:val="continue"/>
                  <w:tcBorders>
                    <w:tl2br w:val="nil"/>
                    <w:tr2bl w:val="nil"/>
                  </w:tcBorders>
                  <w:vAlign w:val="center"/>
                </w:tcPr>
                <w:p w14:paraId="535CAAD2">
                  <w:pPr>
                    <w:ind w:left="-105" w:leftChars="-50" w:right="-105" w:rightChars="-50"/>
                    <w:jc w:val="center"/>
                    <w:rPr>
                      <w:color w:val="auto"/>
                      <w:sz w:val="18"/>
                      <w:szCs w:val="18"/>
                      <w:highlight w:val="none"/>
                    </w:rPr>
                  </w:pPr>
                </w:p>
              </w:tc>
              <w:tc>
                <w:tcPr>
                  <w:tcW w:w="476" w:type="pct"/>
                  <w:vMerge w:val="continue"/>
                  <w:tcBorders>
                    <w:tl2br w:val="nil"/>
                    <w:tr2bl w:val="nil"/>
                  </w:tcBorders>
                  <w:vAlign w:val="center"/>
                </w:tcPr>
                <w:p w14:paraId="25121AA6">
                  <w:pPr>
                    <w:ind w:left="-105" w:leftChars="-50" w:right="-105" w:rightChars="-50"/>
                    <w:jc w:val="center"/>
                    <w:rPr>
                      <w:color w:val="auto"/>
                      <w:sz w:val="18"/>
                      <w:szCs w:val="18"/>
                      <w:highlight w:val="none"/>
                    </w:rPr>
                  </w:pPr>
                </w:p>
              </w:tc>
            </w:tr>
          </w:tbl>
          <w:p w14:paraId="6D6FB445">
            <w:pPr>
              <w:autoSpaceDE w:val="0"/>
              <w:autoSpaceDN w:val="0"/>
              <w:spacing w:line="360" w:lineRule="auto"/>
              <w:ind w:firstLine="420" w:firstLineChars="200"/>
              <w:rPr>
                <w:color w:val="auto"/>
                <w:kern w:val="0"/>
                <w:highlight w:val="none"/>
              </w:rPr>
            </w:pPr>
            <w:r>
              <w:rPr>
                <w:color w:val="auto"/>
                <w:kern w:val="0"/>
                <w:highlight w:val="none"/>
              </w:rPr>
              <w:t>由上表可知，本项目建设符合仁和先进制造业基地污染物排放总量管控限值清单要求。</w:t>
            </w:r>
          </w:p>
          <w:p w14:paraId="7163A9E2">
            <w:pPr>
              <w:widowControl/>
              <w:spacing w:line="360" w:lineRule="auto"/>
              <w:ind w:firstLine="422" w:firstLineChars="200"/>
              <w:rPr>
                <w:b/>
                <w:bCs/>
                <w:color w:val="auto"/>
                <w:kern w:val="0"/>
                <w:szCs w:val="21"/>
                <w:highlight w:val="none"/>
              </w:rPr>
            </w:pPr>
            <w:r>
              <w:rPr>
                <w:rFonts w:hint="default" w:ascii="Times New Roman" w:hAnsi="Times New Roman" w:cs="Times New Roman"/>
                <w:b/>
                <w:bCs/>
                <w:color w:val="auto"/>
                <w:kern w:val="0"/>
                <w:szCs w:val="21"/>
                <w:highlight w:val="none"/>
              </w:rPr>
              <w:t>④</w:t>
            </w:r>
            <w:r>
              <w:rPr>
                <w:b/>
                <w:bCs/>
                <w:color w:val="auto"/>
                <w:kern w:val="0"/>
                <w:szCs w:val="21"/>
                <w:highlight w:val="none"/>
              </w:rPr>
              <w:t>规划优化调整建议清单</w:t>
            </w:r>
          </w:p>
          <w:p w14:paraId="2FCACFFB">
            <w:pPr>
              <w:widowControl/>
              <w:spacing w:line="360" w:lineRule="auto"/>
              <w:ind w:firstLine="420" w:firstLineChars="200"/>
              <w:rPr>
                <w:rFonts w:hint="default" w:eastAsia="宋体"/>
                <w:b w:val="0"/>
                <w:bCs w:val="0"/>
                <w:color w:val="auto"/>
                <w:kern w:val="0"/>
                <w:szCs w:val="21"/>
                <w:highlight w:val="none"/>
                <w:lang w:val="en-US" w:eastAsia="zh-CN"/>
              </w:rPr>
            </w:pPr>
            <w:r>
              <w:rPr>
                <w:rFonts w:hint="default"/>
                <w:b w:val="0"/>
                <w:bCs w:val="0"/>
                <w:color w:val="auto"/>
                <w:kern w:val="0"/>
                <w:szCs w:val="21"/>
                <w:highlight w:val="none"/>
                <w:lang w:val="en-US" w:eastAsia="zh-CN"/>
              </w:rPr>
              <w:t>项目与规划优化调整建议清单符合性分析如表1-5所示。</w:t>
            </w:r>
          </w:p>
          <w:p w14:paraId="177935D2">
            <w:pPr>
              <w:pStyle w:val="5"/>
              <w:keepNext/>
              <w:keepLines/>
              <w:pageBreakBefore w:val="0"/>
              <w:widowControl/>
              <w:numPr>
                <w:ilvl w:val="0"/>
                <w:numId w:val="1"/>
              </w:numPr>
              <w:tabs>
                <w:tab w:val="left" w:pos="0"/>
              </w:tabs>
              <w:kinsoku/>
              <w:wordWrap/>
              <w:overflowPunct/>
              <w:topLinePunct w:val="0"/>
              <w:autoSpaceDE/>
              <w:autoSpaceDN/>
              <w:bidi w:val="0"/>
              <w:adjustRightInd/>
              <w:snapToGrid/>
              <w:spacing w:before="0" w:after="0" w:line="360" w:lineRule="auto"/>
              <w:ind w:left="1134" w:hanging="1134"/>
              <w:jc w:val="center"/>
              <w:textAlignment w:val="auto"/>
              <w:rPr>
                <w:rFonts w:hint="default" w:ascii="Times New Roman" w:hAnsi="Times New Roman" w:eastAsia="黑体" w:cs="Times New Roman"/>
                <w:b w:val="0"/>
                <w:bCs w:val="0"/>
                <w:color w:val="auto"/>
                <w:sz w:val="21"/>
                <w:szCs w:val="21"/>
                <w:highlight w:val="none"/>
              </w:rPr>
            </w:pPr>
            <w:r>
              <w:rPr>
                <w:rFonts w:hint="default" w:ascii="Times New Roman" w:hAnsi="Times New Roman" w:eastAsia="黑体" w:cs="Times New Roman"/>
                <w:b w:val="0"/>
                <w:bCs w:val="0"/>
                <w:color w:val="auto"/>
                <w:sz w:val="21"/>
                <w:szCs w:val="21"/>
                <w:highlight w:val="none"/>
              </w:rPr>
              <w:t>项目与规划优化调整建议清单符合性分析</w:t>
            </w:r>
          </w:p>
          <w:tbl>
            <w:tblPr>
              <w:tblStyle w:val="24"/>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28" w:type="dxa"/>
                <w:bottom w:w="0" w:type="dxa"/>
                <w:right w:w="28" w:type="dxa"/>
              </w:tblCellMar>
            </w:tblPr>
            <w:tblGrid>
              <w:gridCol w:w="312"/>
              <w:gridCol w:w="328"/>
              <w:gridCol w:w="1042"/>
              <w:gridCol w:w="2439"/>
              <w:gridCol w:w="2170"/>
              <w:gridCol w:w="1544"/>
            </w:tblGrid>
            <w:tr w14:paraId="48F58BD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283" w:hRule="atLeast"/>
                <w:jc w:val="center"/>
              </w:trPr>
              <w:tc>
                <w:tcPr>
                  <w:tcW w:w="408" w:type="pct"/>
                  <w:gridSpan w:val="2"/>
                  <w:tcBorders>
                    <w:tl2br w:val="nil"/>
                    <w:tr2bl w:val="nil"/>
                  </w:tcBorders>
                  <w:vAlign w:val="center"/>
                </w:tcPr>
                <w:p w14:paraId="2012705D">
                  <w:pPr>
                    <w:pStyle w:val="56"/>
                    <w:spacing w:line="240" w:lineRule="auto"/>
                    <w:rPr>
                      <w:color w:val="auto"/>
                      <w:sz w:val="18"/>
                      <w:szCs w:val="18"/>
                      <w:highlight w:val="none"/>
                    </w:rPr>
                  </w:pPr>
                  <w:r>
                    <w:rPr>
                      <w:color w:val="auto"/>
                      <w:sz w:val="18"/>
                      <w:szCs w:val="18"/>
                      <w:highlight w:val="none"/>
                    </w:rPr>
                    <w:t>调整类型</w:t>
                  </w:r>
                </w:p>
              </w:tc>
              <w:tc>
                <w:tcPr>
                  <w:tcW w:w="665" w:type="pct"/>
                  <w:tcBorders>
                    <w:tl2br w:val="nil"/>
                    <w:tr2bl w:val="nil"/>
                  </w:tcBorders>
                  <w:vAlign w:val="center"/>
                </w:tcPr>
                <w:p w14:paraId="7E6D66AA">
                  <w:pPr>
                    <w:pStyle w:val="56"/>
                    <w:spacing w:line="240" w:lineRule="auto"/>
                    <w:rPr>
                      <w:color w:val="auto"/>
                      <w:sz w:val="18"/>
                      <w:szCs w:val="18"/>
                      <w:highlight w:val="none"/>
                    </w:rPr>
                  </w:pPr>
                  <w:r>
                    <w:rPr>
                      <w:color w:val="auto"/>
                      <w:sz w:val="18"/>
                      <w:szCs w:val="18"/>
                      <w:highlight w:val="none"/>
                    </w:rPr>
                    <w:t>规划期限</w:t>
                  </w:r>
                </w:p>
              </w:tc>
              <w:tc>
                <w:tcPr>
                  <w:tcW w:w="1556" w:type="pct"/>
                  <w:tcBorders>
                    <w:tl2br w:val="nil"/>
                    <w:tr2bl w:val="nil"/>
                  </w:tcBorders>
                  <w:vAlign w:val="center"/>
                </w:tcPr>
                <w:p w14:paraId="46088184">
                  <w:pPr>
                    <w:pStyle w:val="56"/>
                    <w:spacing w:line="240" w:lineRule="auto"/>
                    <w:rPr>
                      <w:color w:val="auto"/>
                      <w:sz w:val="18"/>
                      <w:szCs w:val="18"/>
                      <w:highlight w:val="none"/>
                    </w:rPr>
                  </w:pPr>
                  <w:r>
                    <w:rPr>
                      <w:color w:val="auto"/>
                      <w:sz w:val="18"/>
                      <w:szCs w:val="18"/>
                      <w:highlight w:val="none"/>
                    </w:rPr>
                    <w:t>规划内容</w:t>
                  </w:r>
                </w:p>
              </w:tc>
              <w:tc>
                <w:tcPr>
                  <w:tcW w:w="1384" w:type="pct"/>
                  <w:tcBorders>
                    <w:tl2br w:val="nil"/>
                    <w:tr2bl w:val="nil"/>
                  </w:tcBorders>
                  <w:vAlign w:val="center"/>
                </w:tcPr>
                <w:p w14:paraId="4F5D853C">
                  <w:pPr>
                    <w:pStyle w:val="56"/>
                    <w:spacing w:line="240" w:lineRule="auto"/>
                    <w:rPr>
                      <w:color w:val="auto"/>
                      <w:sz w:val="18"/>
                      <w:szCs w:val="18"/>
                      <w:highlight w:val="none"/>
                    </w:rPr>
                  </w:pPr>
                  <w:r>
                    <w:rPr>
                      <w:color w:val="auto"/>
                      <w:sz w:val="18"/>
                      <w:szCs w:val="18"/>
                      <w:highlight w:val="none"/>
                    </w:rPr>
                    <w:t>调整建议</w:t>
                  </w:r>
                </w:p>
              </w:tc>
              <w:tc>
                <w:tcPr>
                  <w:tcW w:w="985" w:type="pct"/>
                  <w:tcBorders>
                    <w:tl2br w:val="nil"/>
                    <w:tr2bl w:val="nil"/>
                  </w:tcBorders>
                  <w:vAlign w:val="center"/>
                </w:tcPr>
                <w:p w14:paraId="51CD384C">
                  <w:pPr>
                    <w:pStyle w:val="56"/>
                    <w:spacing w:line="240" w:lineRule="auto"/>
                    <w:rPr>
                      <w:color w:val="auto"/>
                      <w:sz w:val="18"/>
                      <w:szCs w:val="18"/>
                      <w:highlight w:val="none"/>
                    </w:rPr>
                  </w:pPr>
                  <w:r>
                    <w:rPr>
                      <w:color w:val="auto"/>
                      <w:sz w:val="18"/>
                      <w:szCs w:val="18"/>
                      <w:highlight w:val="none"/>
                    </w:rPr>
                    <w:t>符合性</w:t>
                  </w:r>
                </w:p>
              </w:tc>
            </w:tr>
            <w:tr w14:paraId="3BDD76A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283" w:hRule="atLeast"/>
                <w:jc w:val="center"/>
              </w:trPr>
              <w:tc>
                <w:tcPr>
                  <w:tcW w:w="199" w:type="pct"/>
                  <w:tcBorders>
                    <w:tl2br w:val="nil"/>
                    <w:tr2bl w:val="nil"/>
                  </w:tcBorders>
                  <w:vAlign w:val="center"/>
                </w:tcPr>
                <w:p w14:paraId="0F033F02">
                  <w:pPr>
                    <w:jc w:val="center"/>
                    <w:rPr>
                      <w:color w:val="auto"/>
                      <w:sz w:val="18"/>
                      <w:szCs w:val="18"/>
                      <w:highlight w:val="none"/>
                    </w:rPr>
                  </w:pPr>
                  <w:r>
                    <w:rPr>
                      <w:color w:val="auto"/>
                      <w:sz w:val="18"/>
                      <w:szCs w:val="18"/>
                      <w:highlight w:val="none"/>
                    </w:rPr>
                    <w:t>规划规模</w:t>
                  </w:r>
                </w:p>
              </w:tc>
              <w:tc>
                <w:tcPr>
                  <w:tcW w:w="208" w:type="pct"/>
                  <w:tcBorders>
                    <w:tl2br w:val="nil"/>
                    <w:tr2bl w:val="nil"/>
                  </w:tcBorders>
                  <w:vAlign w:val="center"/>
                </w:tcPr>
                <w:p w14:paraId="0A94D92A">
                  <w:pPr>
                    <w:jc w:val="center"/>
                    <w:rPr>
                      <w:color w:val="auto"/>
                      <w:sz w:val="18"/>
                      <w:szCs w:val="18"/>
                      <w:highlight w:val="none"/>
                    </w:rPr>
                  </w:pPr>
                  <w:r>
                    <w:rPr>
                      <w:color w:val="auto"/>
                      <w:sz w:val="18"/>
                      <w:szCs w:val="18"/>
                      <w:highlight w:val="none"/>
                    </w:rPr>
                    <w:t>建设用地规模</w:t>
                  </w:r>
                </w:p>
              </w:tc>
              <w:tc>
                <w:tcPr>
                  <w:tcW w:w="665" w:type="pct"/>
                  <w:tcBorders>
                    <w:tl2br w:val="nil"/>
                    <w:tr2bl w:val="nil"/>
                  </w:tcBorders>
                  <w:vAlign w:val="center"/>
                </w:tcPr>
                <w:p w14:paraId="0B5BE4E5">
                  <w:pPr>
                    <w:pStyle w:val="56"/>
                    <w:spacing w:line="240" w:lineRule="auto"/>
                    <w:rPr>
                      <w:color w:val="auto"/>
                      <w:sz w:val="18"/>
                      <w:szCs w:val="18"/>
                      <w:highlight w:val="none"/>
                    </w:rPr>
                  </w:pPr>
                  <w:r>
                    <w:rPr>
                      <w:color w:val="auto"/>
                      <w:sz w:val="18"/>
                      <w:szCs w:val="18"/>
                      <w:highlight w:val="none"/>
                    </w:rPr>
                    <w:t>规划近期(至2020年)</w:t>
                  </w:r>
                </w:p>
              </w:tc>
              <w:tc>
                <w:tcPr>
                  <w:tcW w:w="1556" w:type="pct"/>
                  <w:tcBorders>
                    <w:tl2br w:val="nil"/>
                    <w:tr2bl w:val="nil"/>
                  </w:tcBorders>
                  <w:vAlign w:val="center"/>
                </w:tcPr>
                <w:p w14:paraId="5F68E75A">
                  <w:pPr>
                    <w:pStyle w:val="56"/>
                    <w:spacing w:line="240" w:lineRule="auto"/>
                    <w:jc w:val="both"/>
                    <w:rPr>
                      <w:color w:val="auto"/>
                      <w:sz w:val="18"/>
                      <w:szCs w:val="18"/>
                      <w:highlight w:val="none"/>
                    </w:rPr>
                  </w:pPr>
                  <w:r>
                    <w:rPr>
                      <w:color w:val="auto"/>
                      <w:sz w:val="18"/>
                      <w:szCs w:val="18"/>
                      <w:highlight w:val="none"/>
                    </w:rPr>
                    <w:t>规划近期即基地核心区范围涉及永久基本农田共约6.71公顷；规划建设用地未占用永久基本农田指标。主要集中在核心区饮用水源保护区陆域范围退让区内。</w:t>
                  </w:r>
                </w:p>
              </w:tc>
              <w:tc>
                <w:tcPr>
                  <w:tcW w:w="1384" w:type="pct"/>
                  <w:tcBorders>
                    <w:tl2br w:val="nil"/>
                    <w:tr2bl w:val="nil"/>
                  </w:tcBorders>
                  <w:vAlign w:val="center"/>
                </w:tcPr>
                <w:p w14:paraId="56805072">
                  <w:pPr>
                    <w:jc w:val="both"/>
                    <w:rPr>
                      <w:color w:val="auto"/>
                      <w:sz w:val="18"/>
                      <w:szCs w:val="18"/>
                      <w:highlight w:val="none"/>
                    </w:rPr>
                  </w:pPr>
                  <w:r>
                    <w:rPr>
                      <w:color w:val="auto"/>
                      <w:sz w:val="18"/>
                      <w:szCs w:val="18"/>
                      <w:highlight w:val="none"/>
                    </w:rPr>
                    <w:t>除法律规定的能源、交通、水利、军事设施等国家重点建设项目的选址，及国家高速公路、省级政府及其投资主管部门审批(核准)的地方铁路选址无法避让的外，坚决防止永久基本农田“非农化”，不得占用保护永久基本农田为建设用地。</w:t>
                  </w:r>
                </w:p>
              </w:tc>
              <w:tc>
                <w:tcPr>
                  <w:tcW w:w="985" w:type="pct"/>
                  <w:tcBorders>
                    <w:tl2br w:val="nil"/>
                    <w:tr2bl w:val="nil"/>
                  </w:tcBorders>
                  <w:vAlign w:val="center"/>
                </w:tcPr>
                <w:p w14:paraId="139AFCB5">
                  <w:pPr>
                    <w:jc w:val="both"/>
                    <w:rPr>
                      <w:rFonts w:hint="default" w:eastAsia="宋体"/>
                      <w:color w:val="auto"/>
                      <w:sz w:val="18"/>
                      <w:szCs w:val="18"/>
                      <w:highlight w:val="none"/>
                      <w:lang w:eastAsia="zh-CN"/>
                    </w:rPr>
                  </w:pPr>
                  <w:r>
                    <w:rPr>
                      <w:color w:val="auto"/>
                      <w:kern w:val="0"/>
                      <w:sz w:val="18"/>
                      <w:szCs w:val="18"/>
                      <w:highlight w:val="none"/>
                    </w:rPr>
                    <w:t>符合。本项目租用</w:t>
                  </w:r>
                  <w:r>
                    <w:rPr>
                      <w:rFonts w:hint="default"/>
                      <w:color w:val="auto"/>
                      <w:kern w:val="0"/>
                      <w:sz w:val="18"/>
                      <w:szCs w:val="18"/>
                      <w:highlight w:val="none"/>
                    </w:rPr>
                    <w:t>浙江东恒肽康医药有限公司现有厂房进行研发</w:t>
                  </w:r>
                  <w:r>
                    <w:rPr>
                      <w:color w:val="auto"/>
                      <w:kern w:val="0"/>
                      <w:sz w:val="18"/>
                      <w:szCs w:val="18"/>
                      <w:highlight w:val="none"/>
                    </w:rPr>
                    <w:t>，不新增用地</w:t>
                  </w:r>
                  <w:r>
                    <w:rPr>
                      <w:rFonts w:hint="default"/>
                      <w:color w:val="auto"/>
                      <w:kern w:val="0"/>
                      <w:sz w:val="18"/>
                      <w:szCs w:val="18"/>
                      <w:highlight w:val="none"/>
                      <w:lang w:eastAsia="zh-CN"/>
                    </w:rPr>
                    <w:t>，</w:t>
                  </w:r>
                  <w:r>
                    <w:rPr>
                      <w:rFonts w:hint="default"/>
                      <w:color w:val="auto"/>
                      <w:kern w:val="0"/>
                      <w:sz w:val="18"/>
                      <w:szCs w:val="18"/>
                      <w:highlight w:val="none"/>
                    </w:rPr>
                    <w:t>不涉及永久基本农田</w:t>
                  </w:r>
                  <w:r>
                    <w:rPr>
                      <w:rFonts w:hint="default"/>
                      <w:color w:val="auto"/>
                      <w:kern w:val="0"/>
                      <w:sz w:val="18"/>
                      <w:szCs w:val="18"/>
                      <w:highlight w:val="none"/>
                      <w:lang w:eastAsia="zh-CN"/>
                    </w:rPr>
                    <w:t>。</w:t>
                  </w:r>
                </w:p>
              </w:tc>
            </w:tr>
            <w:tr w14:paraId="155E405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283" w:hRule="atLeast"/>
                <w:jc w:val="center"/>
              </w:trPr>
              <w:tc>
                <w:tcPr>
                  <w:tcW w:w="1073" w:type="pct"/>
                  <w:gridSpan w:val="3"/>
                  <w:tcBorders>
                    <w:tl2br w:val="nil"/>
                    <w:tr2bl w:val="nil"/>
                  </w:tcBorders>
                  <w:vAlign w:val="center"/>
                </w:tcPr>
                <w:p w14:paraId="3A1EE3A1">
                  <w:pPr>
                    <w:pStyle w:val="56"/>
                    <w:spacing w:line="240" w:lineRule="auto"/>
                    <w:rPr>
                      <w:color w:val="auto"/>
                      <w:sz w:val="18"/>
                      <w:szCs w:val="18"/>
                      <w:highlight w:val="none"/>
                    </w:rPr>
                  </w:pPr>
                  <w:r>
                    <w:rPr>
                      <w:color w:val="auto"/>
                      <w:sz w:val="18"/>
                      <w:szCs w:val="18"/>
                      <w:highlight w:val="none"/>
                    </w:rPr>
                    <w:t>规划产业定位</w:t>
                  </w:r>
                </w:p>
              </w:tc>
              <w:tc>
                <w:tcPr>
                  <w:tcW w:w="1556" w:type="pct"/>
                  <w:tcBorders>
                    <w:tl2br w:val="nil"/>
                    <w:tr2bl w:val="nil"/>
                  </w:tcBorders>
                  <w:vAlign w:val="center"/>
                </w:tcPr>
                <w:p w14:paraId="4E0F58FA">
                  <w:pPr>
                    <w:pStyle w:val="56"/>
                    <w:spacing w:line="240" w:lineRule="auto"/>
                    <w:jc w:val="both"/>
                    <w:rPr>
                      <w:color w:val="auto"/>
                      <w:sz w:val="18"/>
                      <w:szCs w:val="18"/>
                      <w:highlight w:val="none"/>
                    </w:rPr>
                  </w:pPr>
                  <w:r>
                    <w:rPr>
                      <w:color w:val="auto"/>
                      <w:sz w:val="18"/>
                      <w:szCs w:val="18"/>
                      <w:highlight w:val="none"/>
                    </w:rPr>
                    <w:t>仁和先进制造业基地形成以主导产业为引领，培育产业为特色，提升产业为补充，配套产业为支撑的“4+2+2+3”的现代产业体系。</w:t>
                  </w:r>
                </w:p>
              </w:tc>
              <w:tc>
                <w:tcPr>
                  <w:tcW w:w="1384" w:type="pct"/>
                  <w:tcBorders>
                    <w:tl2br w:val="nil"/>
                    <w:tr2bl w:val="nil"/>
                  </w:tcBorders>
                  <w:vAlign w:val="center"/>
                </w:tcPr>
                <w:p w14:paraId="3DD53F38">
                  <w:pPr>
                    <w:jc w:val="both"/>
                    <w:rPr>
                      <w:color w:val="auto"/>
                      <w:sz w:val="18"/>
                      <w:szCs w:val="18"/>
                      <w:highlight w:val="none"/>
                    </w:rPr>
                  </w:pPr>
                  <w:r>
                    <w:rPr>
                      <w:color w:val="auto"/>
                      <w:sz w:val="18"/>
                      <w:szCs w:val="18"/>
                      <w:highlight w:val="none"/>
                    </w:rPr>
                    <w:t>根据产业集聚区块的功能定位，建立分区差别化的产业准入条件。</w:t>
                  </w:r>
                </w:p>
              </w:tc>
              <w:tc>
                <w:tcPr>
                  <w:tcW w:w="985" w:type="pct"/>
                  <w:tcBorders>
                    <w:tl2br w:val="nil"/>
                    <w:tr2bl w:val="nil"/>
                  </w:tcBorders>
                  <w:vAlign w:val="center"/>
                </w:tcPr>
                <w:p w14:paraId="38E71D5D">
                  <w:pPr>
                    <w:jc w:val="both"/>
                    <w:rPr>
                      <w:rFonts w:hint="default" w:eastAsia="宋体"/>
                      <w:color w:val="auto"/>
                      <w:sz w:val="18"/>
                      <w:szCs w:val="18"/>
                      <w:highlight w:val="none"/>
                      <w:lang w:eastAsia="zh-CN"/>
                    </w:rPr>
                  </w:pPr>
                  <w:r>
                    <w:rPr>
                      <w:color w:val="auto"/>
                      <w:sz w:val="18"/>
                      <w:szCs w:val="18"/>
                      <w:highlight w:val="none"/>
                    </w:rPr>
                    <w:t>符合。本项目</w:t>
                  </w:r>
                  <w:r>
                    <w:rPr>
                      <w:color w:val="auto"/>
                      <w:kern w:val="0"/>
                      <w:sz w:val="18"/>
                      <w:szCs w:val="18"/>
                      <w:highlight w:val="none"/>
                    </w:rPr>
                    <w:t>不属于负面清单中禁止</w:t>
                  </w:r>
                  <w:r>
                    <w:rPr>
                      <w:rFonts w:hint="default"/>
                      <w:color w:val="auto"/>
                      <w:kern w:val="0"/>
                      <w:sz w:val="18"/>
                      <w:szCs w:val="18"/>
                      <w:highlight w:val="none"/>
                      <w:lang w:val="en-US" w:eastAsia="zh-CN"/>
                    </w:rPr>
                    <w:t>和限制准入</w:t>
                  </w:r>
                  <w:r>
                    <w:rPr>
                      <w:color w:val="auto"/>
                      <w:kern w:val="0"/>
                      <w:sz w:val="18"/>
                      <w:szCs w:val="18"/>
                      <w:highlight w:val="none"/>
                    </w:rPr>
                    <w:t>类项目</w:t>
                  </w:r>
                  <w:r>
                    <w:rPr>
                      <w:rFonts w:hint="default"/>
                      <w:color w:val="auto"/>
                      <w:kern w:val="0"/>
                      <w:sz w:val="18"/>
                      <w:szCs w:val="18"/>
                      <w:highlight w:val="none"/>
                      <w:lang w:eastAsia="zh-CN"/>
                    </w:rPr>
                    <w:t>。</w:t>
                  </w:r>
                </w:p>
              </w:tc>
            </w:tr>
            <w:tr w14:paraId="31A42DF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283" w:hRule="atLeast"/>
                <w:jc w:val="center"/>
              </w:trPr>
              <w:tc>
                <w:tcPr>
                  <w:tcW w:w="1073" w:type="pct"/>
                  <w:gridSpan w:val="3"/>
                  <w:tcBorders>
                    <w:tl2br w:val="nil"/>
                    <w:tr2bl w:val="nil"/>
                  </w:tcBorders>
                  <w:vAlign w:val="center"/>
                </w:tcPr>
                <w:p w14:paraId="5BD7355A">
                  <w:pPr>
                    <w:pStyle w:val="56"/>
                    <w:spacing w:line="240" w:lineRule="auto"/>
                    <w:rPr>
                      <w:color w:val="auto"/>
                      <w:sz w:val="18"/>
                      <w:szCs w:val="18"/>
                      <w:highlight w:val="none"/>
                    </w:rPr>
                  </w:pPr>
                  <w:r>
                    <w:rPr>
                      <w:color w:val="auto"/>
                      <w:sz w:val="18"/>
                      <w:szCs w:val="18"/>
                      <w:highlight w:val="none"/>
                    </w:rPr>
                    <w:t>规划用地布局</w:t>
                  </w:r>
                </w:p>
              </w:tc>
              <w:tc>
                <w:tcPr>
                  <w:tcW w:w="1556" w:type="pct"/>
                  <w:tcBorders>
                    <w:tl2br w:val="nil"/>
                    <w:tr2bl w:val="nil"/>
                  </w:tcBorders>
                  <w:vAlign w:val="center"/>
                </w:tcPr>
                <w:p w14:paraId="6A269F2D">
                  <w:pPr>
                    <w:pStyle w:val="56"/>
                    <w:spacing w:line="240" w:lineRule="auto"/>
                    <w:jc w:val="both"/>
                    <w:rPr>
                      <w:color w:val="auto"/>
                      <w:sz w:val="18"/>
                      <w:szCs w:val="18"/>
                      <w:highlight w:val="none"/>
                    </w:rPr>
                  </w:pPr>
                  <w:r>
                    <w:rPr>
                      <w:color w:val="auto"/>
                      <w:sz w:val="18"/>
                      <w:szCs w:val="18"/>
                      <w:highlight w:val="none"/>
                    </w:rPr>
                    <w:t>基地大运河工业片区与规划村庄建设用地相邻。</w:t>
                  </w:r>
                </w:p>
              </w:tc>
              <w:tc>
                <w:tcPr>
                  <w:tcW w:w="1384" w:type="pct"/>
                  <w:tcBorders>
                    <w:tl2br w:val="nil"/>
                    <w:tr2bl w:val="nil"/>
                  </w:tcBorders>
                  <w:vAlign w:val="center"/>
                </w:tcPr>
                <w:p w14:paraId="66B56740">
                  <w:pPr>
                    <w:jc w:val="both"/>
                    <w:rPr>
                      <w:color w:val="auto"/>
                      <w:sz w:val="18"/>
                      <w:szCs w:val="18"/>
                      <w:highlight w:val="none"/>
                    </w:rPr>
                  </w:pPr>
                  <w:r>
                    <w:rPr>
                      <w:color w:val="auto"/>
                      <w:sz w:val="18"/>
                      <w:szCs w:val="18"/>
                      <w:highlight w:val="none"/>
                    </w:rPr>
                    <w:t>建议在居住区和工业区之间设置防护绿地、生活绿地等隔离带。</w:t>
                  </w:r>
                </w:p>
              </w:tc>
              <w:tc>
                <w:tcPr>
                  <w:tcW w:w="985" w:type="pct"/>
                  <w:tcBorders>
                    <w:tl2br w:val="nil"/>
                    <w:tr2bl w:val="nil"/>
                  </w:tcBorders>
                  <w:vAlign w:val="center"/>
                </w:tcPr>
                <w:p w14:paraId="5846DD49">
                  <w:pPr>
                    <w:jc w:val="both"/>
                    <w:rPr>
                      <w:rFonts w:ascii="Times New Roman" w:hAnsi="Times New Roman"/>
                      <w:color w:val="auto"/>
                      <w:sz w:val="18"/>
                      <w:szCs w:val="18"/>
                      <w:highlight w:val="none"/>
                    </w:rPr>
                  </w:pPr>
                  <w:r>
                    <w:rPr>
                      <w:color w:val="auto"/>
                      <w:kern w:val="0"/>
                      <w:sz w:val="18"/>
                      <w:szCs w:val="18"/>
                      <w:highlight w:val="none"/>
                    </w:rPr>
                    <w:t>符合。本项目</w:t>
                  </w:r>
                  <w:r>
                    <w:rPr>
                      <w:rFonts w:hint="default"/>
                      <w:color w:val="auto"/>
                      <w:kern w:val="0"/>
                      <w:sz w:val="18"/>
                      <w:szCs w:val="18"/>
                      <w:highlight w:val="none"/>
                    </w:rPr>
                    <w:t>用地性质为一类/二类工业用地，距离最近的敏感点为西北侧220米处荼锦公寓，有道路相隔且设置绿地隔离带。</w:t>
                  </w:r>
                </w:p>
              </w:tc>
            </w:tr>
            <w:tr w14:paraId="03A021E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283" w:hRule="atLeast"/>
                <w:jc w:val="center"/>
              </w:trPr>
              <w:tc>
                <w:tcPr>
                  <w:tcW w:w="199" w:type="pct"/>
                  <w:vMerge w:val="restart"/>
                  <w:tcBorders>
                    <w:tl2br w:val="nil"/>
                    <w:tr2bl w:val="nil"/>
                  </w:tcBorders>
                  <w:vAlign w:val="center"/>
                </w:tcPr>
                <w:p w14:paraId="0283F430">
                  <w:pPr>
                    <w:jc w:val="center"/>
                    <w:rPr>
                      <w:color w:val="auto"/>
                      <w:sz w:val="18"/>
                      <w:szCs w:val="18"/>
                      <w:highlight w:val="none"/>
                    </w:rPr>
                  </w:pPr>
                  <w:r>
                    <w:rPr>
                      <w:color w:val="auto"/>
                      <w:sz w:val="18"/>
                      <w:szCs w:val="18"/>
                      <w:highlight w:val="none"/>
                    </w:rPr>
                    <w:t>环保基础设施规划</w:t>
                  </w:r>
                </w:p>
              </w:tc>
              <w:tc>
                <w:tcPr>
                  <w:tcW w:w="208" w:type="pct"/>
                  <w:vMerge w:val="restart"/>
                  <w:tcBorders>
                    <w:tl2br w:val="nil"/>
                    <w:tr2bl w:val="nil"/>
                  </w:tcBorders>
                  <w:vAlign w:val="center"/>
                </w:tcPr>
                <w:p w14:paraId="57DFEB78">
                  <w:pPr>
                    <w:jc w:val="center"/>
                    <w:rPr>
                      <w:color w:val="auto"/>
                      <w:sz w:val="18"/>
                      <w:szCs w:val="18"/>
                      <w:highlight w:val="none"/>
                    </w:rPr>
                  </w:pPr>
                  <w:r>
                    <w:rPr>
                      <w:color w:val="auto"/>
                      <w:sz w:val="18"/>
                      <w:szCs w:val="18"/>
                      <w:highlight w:val="none"/>
                    </w:rPr>
                    <w:t>供水工程</w:t>
                  </w:r>
                </w:p>
              </w:tc>
              <w:tc>
                <w:tcPr>
                  <w:tcW w:w="665" w:type="pct"/>
                  <w:tcBorders>
                    <w:tl2br w:val="nil"/>
                    <w:tr2bl w:val="nil"/>
                  </w:tcBorders>
                  <w:vAlign w:val="center"/>
                </w:tcPr>
                <w:p w14:paraId="5528B461">
                  <w:pPr>
                    <w:pStyle w:val="56"/>
                    <w:spacing w:line="240" w:lineRule="auto"/>
                    <w:rPr>
                      <w:color w:val="auto"/>
                      <w:sz w:val="18"/>
                      <w:szCs w:val="18"/>
                      <w:highlight w:val="none"/>
                    </w:rPr>
                  </w:pPr>
                  <w:r>
                    <w:rPr>
                      <w:color w:val="auto"/>
                      <w:sz w:val="18"/>
                      <w:szCs w:val="18"/>
                      <w:highlight w:val="none"/>
                    </w:rPr>
                    <w:t>规划近期(至2020年)</w:t>
                  </w:r>
                </w:p>
              </w:tc>
              <w:tc>
                <w:tcPr>
                  <w:tcW w:w="1556" w:type="pct"/>
                  <w:vMerge w:val="restart"/>
                  <w:tcBorders>
                    <w:tl2br w:val="nil"/>
                    <w:tr2bl w:val="nil"/>
                  </w:tcBorders>
                  <w:vAlign w:val="center"/>
                </w:tcPr>
                <w:p w14:paraId="159CDFCE">
                  <w:pPr>
                    <w:jc w:val="both"/>
                    <w:rPr>
                      <w:color w:val="auto"/>
                      <w:sz w:val="18"/>
                      <w:szCs w:val="18"/>
                      <w:highlight w:val="none"/>
                    </w:rPr>
                  </w:pPr>
                  <w:r>
                    <w:rPr>
                      <w:color w:val="auto"/>
                      <w:sz w:val="18"/>
                      <w:szCs w:val="18"/>
                      <w:highlight w:val="none"/>
                    </w:rPr>
                    <w:t>由仁和水厂、獐山水厂、瓶窑水厂及祥符水厂共同供水。水源为东苕溪和千岛湖引水双水源。</w:t>
                  </w:r>
                </w:p>
              </w:tc>
              <w:tc>
                <w:tcPr>
                  <w:tcW w:w="1384" w:type="pct"/>
                  <w:vMerge w:val="restart"/>
                  <w:tcBorders>
                    <w:tl2br w:val="nil"/>
                    <w:tr2bl w:val="nil"/>
                  </w:tcBorders>
                  <w:vAlign w:val="center"/>
                </w:tcPr>
                <w:p w14:paraId="3E42B143">
                  <w:pPr>
                    <w:jc w:val="both"/>
                    <w:rPr>
                      <w:color w:val="auto"/>
                      <w:sz w:val="18"/>
                      <w:szCs w:val="18"/>
                      <w:highlight w:val="none"/>
                    </w:rPr>
                  </w:pPr>
                  <w:r>
                    <w:rPr>
                      <w:color w:val="auto"/>
                      <w:sz w:val="18"/>
                      <w:szCs w:val="18"/>
                      <w:highlight w:val="none"/>
                    </w:rPr>
                    <w:t>上层规划要求工业用水和生活用水分质供给，工业用水由塘栖水厂、獐山水厂供应，其他生活用水由瓶窑水厂、仁和水厂联合供应。要求本次规划根据上层规划进行修编。</w:t>
                  </w:r>
                </w:p>
              </w:tc>
              <w:tc>
                <w:tcPr>
                  <w:tcW w:w="985" w:type="pct"/>
                  <w:vMerge w:val="restart"/>
                  <w:tcBorders>
                    <w:tl2br w:val="nil"/>
                    <w:tr2bl w:val="nil"/>
                  </w:tcBorders>
                  <w:vAlign w:val="center"/>
                </w:tcPr>
                <w:p w14:paraId="1F971F80">
                  <w:pPr>
                    <w:jc w:val="both"/>
                    <w:rPr>
                      <w:color w:val="auto"/>
                      <w:sz w:val="18"/>
                      <w:szCs w:val="18"/>
                      <w:highlight w:val="none"/>
                    </w:rPr>
                  </w:pPr>
                  <w:r>
                    <w:rPr>
                      <w:rFonts w:hint="default"/>
                      <w:color w:val="auto"/>
                      <w:sz w:val="18"/>
                      <w:szCs w:val="18"/>
                      <w:highlight w:val="none"/>
                    </w:rPr>
                    <w:t>符合。</w:t>
                  </w:r>
                  <w:r>
                    <w:rPr>
                      <w:color w:val="auto"/>
                      <w:sz w:val="18"/>
                      <w:szCs w:val="18"/>
                      <w:highlight w:val="none"/>
                    </w:rPr>
                    <w:t>本项目生产、生活用水由市政自来水管网统一提供。</w:t>
                  </w:r>
                </w:p>
              </w:tc>
            </w:tr>
            <w:tr w14:paraId="12F9B58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283" w:hRule="atLeast"/>
                <w:jc w:val="center"/>
              </w:trPr>
              <w:tc>
                <w:tcPr>
                  <w:tcW w:w="199" w:type="pct"/>
                  <w:vMerge w:val="continue"/>
                  <w:tcBorders>
                    <w:tl2br w:val="nil"/>
                    <w:tr2bl w:val="nil"/>
                  </w:tcBorders>
                  <w:vAlign w:val="center"/>
                </w:tcPr>
                <w:p w14:paraId="314181CC">
                  <w:pPr>
                    <w:jc w:val="center"/>
                    <w:rPr>
                      <w:color w:val="auto"/>
                      <w:sz w:val="18"/>
                      <w:szCs w:val="18"/>
                      <w:highlight w:val="none"/>
                    </w:rPr>
                  </w:pPr>
                </w:p>
              </w:tc>
              <w:tc>
                <w:tcPr>
                  <w:tcW w:w="208" w:type="pct"/>
                  <w:vMerge w:val="continue"/>
                  <w:tcBorders>
                    <w:tl2br w:val="nil"/>
                    <w:tr2bl w:val="nil"/>
                  </w:tcBorders>
                  <w:vAlign w:val="center"/>
                </w:tcPr>
                <w:p w14:paraId="391D31A5">
                  <w:pPr>
                    <w:jc w:val="center"/>
                    <w:rPr>
                      <w:color w:val="auto"/>
                      <w:sz w:val="18"/>
                      <w:szCs w:val="18"/>
                      <w:highlight w:val="none"/>
                    </w:rPr>
                  </w:pPr>
                </w:p>
              </w:tc>
              <w:tc>
                <w:tcPr>
                  <w:tcW w:w="665" w:type="pct"/>
                  <w:tcBorders>
                    <w:tl2br w:val="nil"/>
                    <w:tr2bl w:val="nil"/>
                  </w:tcBorders>
                  <w:vAlign w:val="center"/>
                </w:tcPr>
                <w:p w14:paraId="30066C2C">
                  <w:pPr>
                    <w:pStyle w:val="56"/>
                    <w:spacing w:line="240" w:lineRule="auto"/>
                    <w:rPr>
                      <w:color w:val="auto"/>
                      <w:sz w:val="18"/>
                      <w:szCs w:val="18"/>
                      <w:highlight w:val="none"/>
                    </w:rPr>
                  </w:pPr>
                  <w:r>
                    <w:rPr>
                      <w:color w:val="auto"/>
                      <w:sz w:val="18"/>
                      <w:szCs w:val="18"/>
                      <w:highlight w:val="none"/>
                    </w:rPr>
                    <w:t>规划远期(至2030年)</w:t>
                  </w:r>
                </w:p>
              </w:tc>
              <w:tc>
                <w:tcPr>
                  <w:tcW w:w="1556" w:type="pct"/>
                  <w:vMerge w:val="continue"/>
                  <w:tcBorders>
                    <w:tl2br w:val="nil"/>
                    <w:tr2bl w:val="nil"/>
                  </w:tcBorders>
                  <w:vAlign w:val="center"/>
                </w:tcPr>
                <w:p w14:paraId="017096AD">
                  <w:pPr>
                    <w:jc w:val="both"/>
                    <w:rPr>
                      <w:color w:val="auto"/>
                      <w:sz w:val="18"/>
                      <w:szCs w:val="18"/>
                      <w:highlight w:val="none"/>
                    </w:rPr>
                  </w:pPr>
                </w:p>
              </w:tc>
              <w:tc>
                <w:tcPr>
                  <w:tcW w:w="1384" w:type="pct"/>
                  <w:vMerge w:val="continue"/>
                  <w:tcBorders>
                    <w:tl2br w:val="nil"/>
                    <w:tr2bl w:val="nil"/>
                  </w:tcBorders>
                  <w:vAlign w:val="center"/>
                </w:tcPr>
                <w:p w14:paraId="57511149">
                  <w:pPr>
                    <w:jc w:val="both"/>
                    <w:rPr>
                      <w:color w:val="auto"/>
                      <w:sz w:val="18"/>
                      <w:szCs w:val="18"/>
                      <w:highlight w:val="none"/>
                    </w:rPr>
                  </w:pPr>
                </w:p>
              </w:tc>
              <w:tc>
                <w:tcPr>
                  <w:tcW w:w="985" w:type="pct"/>
                  <w:vMerge w:val="continue"/>
                  <w:tcBorders>
                    <w:tl2br w:val="nil"/>
                    <w:tr2bl w:val="nil"/>
                  </w:tcBorders>
                  <w:vAlign w:val="center"/>
                </w:tcPr>
                <w:p w14:paraId="5C10FE54">
                  <w:pPr>
                    <w:jc w:val="both"/>
                    <w:rPr>
                      <w:color w:val="auto"/>
                      <w:sz w:val="18"/>
                      <w:szCs w:val="18"/>
                      <w:highlight w:val="none"/>
                    </w:rPr>
                  </w:pPr>
                </w:p>
              </w:tc>
            </w:tr>
            <w:tr w14:paraId="3A78E0E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283" w:hRule="atLeast"/>
                <w:jc w:val="center"/>
              </w:trPr>
              <w:tc>
                <w:tcPr>
                  <w:tcW w:w="199" w:type="pct"/>
                  <w:vMerge w:val="continue"/>
                  <w:tcBorders>
                    <w:tl2br w:val="nil"/>
                    <w:tr2bl w:val="nil"/>
                  </w:tcBorders>
                  <w:vAlign w:val="center"/>
                </w:tcPr>
                <w:p w14:paraId="10B5F428">
                  <w:pPr>
                    <w:jc w:val="center"/>
                    <w:rPr>
                      <w:color w:val="auto"/>
                      <w:sz w:val="18"/>
                      <w:szCs w:val="18"/>
                      <w:highlight w:val="none"/>
                    </w:rPr>
                  </w:pPr>
                </w:p>
              </w:tc>
              <w:tc>
                <w:tcPr>
                  <w:tcW w:w="208" w:type="pct"/>
                  <w:vMerge w:val="restart"/>
                  <w:tcBorders>
                    <w:tl2br w:val="nil"/>
                    <w:tr2bl w:val="nil"/>
                  </w:tcBorders>
                  <w:vAlign w:val="center"/>
                </w:tcPr>
                <w:p w14:paraId="2F645C87">
                  <w:pPr>
                    <w:jc w:val="center"/>
                    <w:rPr>
                      <w:color w:val="auto"/>
                      <w:sz w:val="18"/>
                      <w:szCs w:val="18"/>
                      <w:highlight w:val="none"/>
                    </w:rPr>
                  </w:pPr>
                  <w:r>
                    <w:rPr>
                      <w:color w:val="auto"/>
                      <w:sz w:val="18"/>
                      <w:szCs w:val="18"/>
                      <w:highlight w:val="none"/>
                    </w:rPr>
                    <w:t>污水集中处理规划</w:t>
                  </w:r>
                </w:p>
              </w:tc>
              <w:tc>
                <w:tcPr>
                  <w:tcW w:w="665" w:type="pct"/>
                  <w:tcBorders>
                    <w:tl2br w:val="nil"/>
                    <w:tr2bl w:val="nil"/>
                  </w:tcBorders>
                  <w:vAlign w:val="center"/>
                </w:tcPr>
                <w:p w14:paraId="383E7126">
                  <w:pPr>
                    <w:pStyle w:val="56"/>
                    <w:spacing w:line="240" w:lineRule="auto"/>
                    <w:rPr>
                      <w:color w:val="auto"/>
                      <w:sz w:val="18"/>
                      <w:szCs w:val="18"/>
                      <w:highlight w:val="none"/>
                    </w:rPr>
                  </w:pPr>
                  <w:r>
                    <w:rPr>
                      <w:color w:val="auto"/>
                      <w:sz w:val="18"/>
                      <w:szCs w:val="18"/>
                      <w:highlight w:val="none"/>
                    </w:rPr>
                    <w:t>规划近期(至2020年)</w:t>
                  </w:r>
                </w:p>
              </w:tc>
              <w:tc>
                <w:tcPr>
                  <w:tcW w:w="1556" w:type="pct"/>
                  <w:vMerge w:val="restart"/>
                  <w:tcBorders>
                    <w:tl2br w:val="nil"/>
                    <w:tr2bl w:val="nil"/>
                  </w:tcBorders>
                  <w:vAlign w:val="center"/>
                </w:tcPr>
                <w:p w14:paraId="4E878AEE">
                  <w:pPr>
                    <w:jc w:val="both"/>
                    <w:rPr>
                      <w:color w:val="auto"/>
                      <w:sz w:val="18"/>
                      <w:szCs w:val="18"/>
                      <w:highlight w:val="none"/>
                    </w:rPr>
                  </w:pPr>
                  <w:r>
                    <w:rPr>
                      <w:color w:val="auto"/>
                      <w:sz w:val="18"/>
                      <w:szCs w:val="18"/>
                      <w:highlight w:val="none"/>
                    </w:rPr>
                    <w:t>近期接入良渚污水厂处理，远期待良渚污水厂满负荷后，改为接入新规划的污水再生水厂；东北部区块污水仍属于塘栖污水系统。</w:t>
                  </w:r>
                </w:p>
                <w:p w14:paraId="40E9BB48">
                  <w:pPr>
                    <w:jc w:val="both"/>
                    <w:rPr>
                      <w:color w:val="auto"/>
                      <w:sz w:val="18"/>
                      <w:szCs w:val="18"/>
                      <w:highlight w:val="none"/>
                    </w:rPr>
                  </w:pPr>
                  <w:r>
                    <w:rPr>
                      <w:color w:val="auto"/>
                      <w:sz w:val="18"/>
                      <w:szCs w:val="18"/>
                      <w:highlight w:val="none"/>
                    </w:rPr>
                    <w:t>规划区块分属于良渚污水系统、塘栖污水系统，污水接入良渚污水处理厂及塘栖污水处理厂。</w:t>
                  </w:r>
                </w:p>
                <w:p w14:paraId="61C2856E">
                  <w:pPr>
                    <w:jc w:val="both"/>
                    <w:rPr>
                      <w:color w:val="auto"/>
                      <w:sz w:val="18"/>
                      <w:szCs w:val="18"/>
                      <w:highlight w:val="none"/>
                    </w:rPr>
                  </w:pPr>
                  <w:r>
                    <w:rPr>
                      <w:color w:val="auto"/>
                      <w:sz w:val="18"/>
                      <w:szCs w:val="18"/>
                      <w:highlight w:val="none"/>
                    </w:rPr>
                    <w:t>远期仁和东北部区块污水仍属于塘栖污水系统，污水经收集后向东输送至塘栖污水处理厂处理；远期待良渚厂满负荷后，其余区块的污水接入新规划的污水再生水厂，经过处理后加以回用。再生水厂规模为12万立方米/日。</w:t>
                  </w:r>
                </w:p>
              </w:tc>
              <w:tc>
                <w:tcPr>
                  <w:tcW w:w="1384" w:type="pct"/>
                  <w:vMerge w:val="restart"/>
                  <w:tcBorders>
                    <w:tl2br w:val="nil"/>
                    <w:tr2bl w:val="nil"/>
                  </w:tcBorders>
                  <w:vAlign w:val="center"/>
                </w:tcPr>
                <w:p w14:paraId="7E85C9B7">
                  <w:pPr>
                    <w:jc w:val="both"/>
                    <w:rPr>
                      <w:color w:val="auto"/>
                      <w:sz w:val="18"/>
                      <w:szCs w:val="18"/>
                      <w:highlight w:val="none"/>
                    </w:rPr>
                  </w:pPr>
                  <w:r>
                    <w:rPr>
                      <w:color w:val="auto"/>
                      <w:sz w:val="18"/>
                      <w:szCs w:val="18"/>
                      <w:highlight w:val="none"/>
                    </w:rPr>
                    <w:t>上层规划新建仁和污水处理厂，收集处理仁和片区污水子系统的污水，处理尾水再生利用，近期污水处理规模2万m</w:t>
                  </w:r>
                  <w:r>
                    <w:rPr>
                      <w:color w:val="auto"/>
                      <w:sz w:val="18"/>
                      <w:szCs w:val="18"/>
                      <w:highlight w:val="none"/>
                      <w:vertAlign w:val="superscript"/>
                    </w:rPr>
                    <w:t>3</w:t>
                  </w:r>
                  <w:r>
                    <w:rPr>
                      <w:color w:val="auto"/>
                      <w:sz w:val="18"/>
                      <w:szCs w:val="18"/>
                      <w:highlight w:val="none"/>
                    </w:rPr>
                    <w:t>/d，远期5万m</w:t>
                  </w:r>
                  <w:r>
                    <w:rPr>
                      <w:color w:val="auto"/>
                      <w:sz w:val="18"/>
                      <w:szCs w:val="18"/>
                      <w:highlight w:val="none"/>
                      <w:vertAlign w:val="superscript"/>
                    </w:rPr>
                    <w:t>3</w:t>
                  </w:r>
                  <w:r>
                    <w:rPr>
                      <w:color w:val="auto"/>
                      <w:sz w:val="18"/>
                      <w:szCs w:val="18"/>
                      <w:highlight w:val="none"/>
                    </w:rPr>
                    <w:t>/d，未明确再生水厂的规模。本规划未考虑新建仁和污水处理厂，但提出再生水厂规模为12万立方米/日。建议根据上层规划修编增加仁和污水处理厂建设计划、规模等相关</w:t>
                  </w:r>
                  <w:r>
                    <w:rPr>
                      <w:rFonts w:hint="eastAsia"/>
                      <w:color w:val="auto"/>
                      <w:sz w:val="18"/>
                      <w:szCs w:val="18"/>
                      <w:highlight w:val="none"/>
                      <w:lang w:eastAsia="zh-CN"/>
                    </w:rPr>
                    <w:t>内容</w:t>
                  </w:r>
                  <w:r>
                    <w:rPr>
                      <w:color w:val="auto"/>
                      <w:sz w:val="18"/>
                      <w:szCs w:val="18"/>
                      <w:highlight w:val="none"/>
                    </w:rPr>
                    <w:t>，并加快仁和污水处理厂和再生水厂的建设。</w:t>
                  </w:r>
                </w:p>
              </w:tc>
              <w:tc>
                <w:tcPr>
                  <w:tcW w:w="985" w:type="pct"/>
                  <w:vMerge w:val="restart"/>
                  <w:tcBorders>
                    <w:tl2br w:val="nil"/>
                    <w:tr2bl w:val="nil"/>
                  </w:tcBorders>
                  <w:vAlign w:val="center"/>
                </w:tcPr>
                <w:p w14:paraId="6D985BE0">
                  <w:pPr>
                    <w:adjustRightInd w:val="0"/>
                    <w:snapToGrid w:val="0"/>
                    <w:ind w:firstLine="0" w:firstLineChars="0"/>
                    <w:jc w:val="both"/>
                    <w:rPr>
                      <w:color w:val="auto"/>
                      <w:sz w:val="18"/>
                      <w:szCs w:val="18"/>
                      <w:highlight w:val="none"/>
                    </w:rPr>
                  </w:pPr>
                  <w:r>
                    <w:rPr>
                      <w:rFonts w:hint="default"/>
                      <w:color w:val="auto"/>
                      <w:sz w:val="18"/>
                      <w:szCs w:val="18"/>
                      <w:highlight w:val="none"/>
                    </w:rPr>
                    <w:t>符合。</w:t>
                  </w:r>
                  <w:r>
                    <w:rPr>
                      <w:color w:val="auto"/>
                      <w:kern w:val="0"/>
                      <w:sz w:val="18"/>
                      <w:szCs w:val="18"/>
                      <w:highlight w:val="none"/>
                    </w:rPr>
                    <w:t>本项目废水达标</w:t>
                  </w:r>
                  <w:r>
                    <w:rPr>
                      <w:rFonts w:hint="default"/>
                      <w:color w:val="auto"/>
                      <w:kern w:val="0"/>
                      <w:sz w:val="18"/>
                      <w:szCs w:val="18"/>
                      <w:highlight w:val="none"/>
                    </w:rPr>
                    <w:t>纳管</w:t>
                  </w:r>
                  <w:r>
                    <w:rPr>
                      <w:color w:val="auto"/>
                      <w:kern w:val="0"/>
                      <w:sz w:val="18"/>
                      <w:szCs w:val="18"/>
                      <w:highlight w:val="none"/>
                    </w:rPr>
                    <w:t>排至良渚污水处理厂处理。</w:t>
                  </w:r>
                  <w:r>
                    <w:rPr>
                      <w:rFonts w:hint="default"/>
                      <w:color w:val="auto"/>
                      <w:sz w:val="18"/>
                      <w:szCs w:val="18"/>
                      <w:highlight w:val="none"/>
                    </w:rPr>
                    <w:t>本次项目实施后新增废水排放量约</w:t>
                  </w:r>
                  <w:r>
                    <w:rPr>
                      <w:rFonts w:hint="default"/>
                      <w:color w:val="auto"/>
                      <w:sz w:val="18"/>
                      <w:szCs w:val="18"/>
                      <w:highlight w:val="none"/>
                      <w:lang w:val="en-US" w:eastAsia="zh-CN"/>
                    </w:rPr>
                    <w:t xml:space="preserve">0.8 </w:t>
                  </w:r>
                  <w:r>
                    <w:rPr>
                      <w:rFonts w:hint="default"/>
                      <w:color w:val="auto"/>
                      <w:sz w:val="18"/>
                      <w:szCs w:val="18"/>
                      <w:highlight w:val="none"/>
                    </w:rPr>
                    <w:t>t/d，污水处理厂尚有余量接纳项目废水，因此在废水正常排放情况下，不会对污水处理厂的正常运行产生不良影响。</w:t>
                  </w:r>
                </w:p>
                <w:p w14:paraId="50FAA42B">
                  <w:pPr>
                    <w:jc w:val="both"/>
                    <w:rPr>
                      <w:color w:val="auto"/>
                      <w:sz w:val="18"/>
                      <w:szCs w:val="18"/>
                      <w:highlight w:val="none"/>
                    </w:rPr>
                  </w:pPr>
                </w:p>
              </w:tc>
            </w:tr>
            <w:tr w14:paraId="25F9C1A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283" w:hRule="atLeast"/>
                <w:jc w:val="center"/>
              </w:trPr>
              <w:tc>
                <w:tcPr>
                  <w:tcW w:w="199" w:type="pct"/>
                  <w:vMerge w:val="continue"/>
                  <w:tcBorders>
                    <w:tl2br w:val="nil"/>
                    <w:tr2bl w:val="nil"/>
                  </w:tcBorders>
                  <w:vAlign w:val="center"/>
                </w:tcPr>
                <w:p w14:paraId="4A582115">
                  <w:pPr>
                    <w:jc w:val="center"/>
                    <w:rPr>
                      <w:color w:val="auto"/>
                      <w:sz w:val="18"/>
                      <w:szCs w:val="18"/>
                      <w:highlight w:val="none"/>
                    </w:rPr>
                  </w:pPr>
                </w:p>
              </w:tc>
              <w:tc>
                <w:tcPr>
                  <w:tcW w:w="208" w:type="pct"/>
                  <w:vMerge w:val="continue"/>
                  <w:tcBorders>
                    <w:tl2br w:val="nil"/>
                    <w:tr2bl w:val="nil"/>
                  </w:tcBorders>
                  <w:vAlign w:val="center"/>
                </w:tcPr>
                <w:p w14:paraId="31F9FA72">
                  <w:pPr>
                    <w:jc w:val="center"/>
                    <w:rPr>
                      <w:color w:val="auto"/>
                      <w:sz w:val="18"/>
                      <w:szCs w:val="18"/>
                      <w:highlight w:val="none"/>
                    </w:rPr>
                  </w:pPr>
                </w:p>
              </w:tc>
              <w:tc>
                <w:tcPr>
                  <w:tcW w:w="665" w:type="pct"/>
                  <w:tcBorders>
                    <w:tl2br w:val="nil"/>
                    <w:tr2bl w:val="nil"/>
                  </w:tcBorders>
                  <w:vAlign w:val="center"/>
                </w:tcPr>
                <w:p w14:paraId="5E09BCC2">
                  <w:pPr>
                    <w:pStyle w:val="56"/>
                    <w:spacing w:line="240" w:lineRule="auto"/>
                    <w:rPr>
                      <w:color w:val="auto"/>
                      <w:sz w:val="18"/>
                      <w:szCs w:val="18"/>
                      <w:highlight w:val="none"/>
                    </w:rPr>
                  </w:pPr>
                  <w:r>
                    <w:rPr>
                      <w:color w:val="auto"/>
                      <w:sz w:val="18"/>
                      <w:szCs w:val="18"/>
                      <w:highlight w:val="none"/>
                    </w:rPr>
                    <w:t>规划远期(至2030年)</w:t>
                  </w:r>
                </w:p>
              </w:tc>
              <w:tc>
                <w:tcPr>
                  <w:tcW w:w="1556" w:type="pct"/>
                  <w:vMerge w:val="continue"/>
                  <w:tcBorders>
                    <w:tl2br w:val="nil"/>
                    <w:tr2bl w:val="nil"/>
                  </w:tcBorders>
                  <w:vAlign w:val="center"/>
                </w:tcPr>
                <w:p w14:paraId="369B340C">
                  <w:pPr>
                    <w:rPr>
                      <w:color w:val="auto"/>
                      <w:sz w:val="18"/>
                      <w:szCs w:val="18"/>
                      <w:highlight w:val="none"/>
                    </w:rPr>
                  </w:pPr>
                </w:p>
              </w:tc>
              <w:tc>
                <w:tcPr>
                  <w:tcW w:w="1384" w:type="pct"/>
                  <w:vMerge w:val="continue"/>
                  <w:tcBorders>
                    <w:tl2br w:val="nil"/>
                    <w:tr2bl w:val="nil"/>
                  </w:tcBorders>
                  <w:vAlign w:val="center"/>
                </w:tcPr>
                <w:p w14:paraId="7B287477">
                  <w:pPr>
                    <w:rPr>
                      <w:color w:val="auto"/>
                      <w:sz w:val="18"/>
                      <w:szCs w:val="18"/>
                      <w:highlight w:val="none"/>
                    </w:rPr>
                  </w:pPr>
                </w:p>
              </w:tc>
              <w:tc>
                <w:tcPr>
                  <w:tcW w:w="985" w:type="pct"/>
                  <w:vMerge w:val="continue"/>
                  <w:tcBorders>
                    <w:tl2br w:val="nil"/>
                    <w:tr2bl w:val="nil"/>
                  </w:tcBorders>
                  <w:vAlign w:val="center"/>
                </w:tcPr>
                <w:p w14:paraId="5A08FDB4">
                  <w:pPr>
                    <w:rPr>
                      <w:color w:val="auto"/>
                      <w:sz w:val="18"/>
                      <w:szCs w:val="18"/>
                      <w:highlight w:val="none"/>
                    </w:rPr>
                  </w:pPr>
                </w:p>
              </w:tc>
            </w:tr>
          </w:tbl>
          <w:p w14:paraId="4EBA2823">
            <w:pPr>
              <w:spacing w:line="360" w:lineRule="auto"/>
              <w:ind w:firstLine="420" w:firstLineChars="200"/>
              <w:rPr>
                <w:b w:val="0"/>
                <w:bCs w:val="0"/>
                <w:color w:val="auto"/>
                <w:szCs w:val="21"/>
                <w:highlight w:val="none"/>
              </w:rPr>
            </w:pPr>
            <w:r>
              <w:rPr>
                <w:rFonts w:hint="default"/>
                <w:b w:val="0"/>
                <w:bCs w:val="0"/>
                <w:color w:val="auto"/>
                <w:szCs w:val="21"/>
                <w:highlight w:val="none"/>
              </w:rPr>
              <w:t>由上表可知，本项目的建设符合规划优化调整建议清单中的相关要求。</w:t>
            </w:r>
          </w:p>
          <w:p w14:paraId="21B3AE54">
            <w:pPr>
              <w:spacing w:line="360" w:lineRule="auto"/>
              <w:ind w:firstLine="422" w:firstLineChars="200"/>
              <w:rPr>
                <w:b/>
                <w:bCs/>
                <w:color w:val="auto"/>
                <w:szCs w:val="21"/>
                <w:highlight w:val="none"/>
              </w:rPr>
            </w:pPr>
            <w:r>
              <w:rPr>
                <w:rFonts w:hint="default"/>
                <w:b/>
                <w:bCs/>
                <w:color w:val="auto"/>
                <w:szCs w:val="21"/>
                <w:highlight w:val="none"/>
              </w:rPr>
              <w:t>⑤</w:t>
            </w:r>
            <w:r>
              <w:rPr>
                <w:b/>
                <w:bCs/>
                <w:color w:val="auto"/>
                <w:szCs w:val="21"/>
                <w:highlight w:val="none"/>
              </w:rPr>
              <w:t>环境准入条件清单</w:t>
            </w:r>
          </w:p>
          <w:p w14:paraId="007DEBDB">
            <w:pPr>
              <w:spacing w:line="360" w:lineRule="auto"/>
              <w:ind w:firstLine="420" w:firstLineChars="200"/>
              <w:rPr>
                <w:rFonts w:hint="default" w:eastAsia="宋体"/>
                <w:b w:val="0"/>
                <w:bCs w:val="0"/>
                <w:color w:val="auto"/>
                <w:szCs w:val="21"/>
                <w:highlight w:val="none"/>
                <w:lang w:val="en-US" w:eastAsia="zh-CN"/>
              </w:rPr>
            </w:pPr>
            <w:r>
              <w:rPr>
                <w:rFonts w:hint="default"/>
                <w:b w:val="0"/>
                <w:bCs w:val="0"/>
                <w:color w:val="auto"/>
                <w:szCs w:val="21"/>
                <w:highlight w:val="none"/>
                <w:lang w:val="en-US" w:eastAsia="zh-CN"/>
              </w:rPr>
              <w:t>项目与环境准入条件清单符合性分析如表1-6所示。</w:t>
            </w:r>
          </w:p>
          <w:p w14:paraId="26122A4E">
            <w:pPr>
              <w:pStyle w:val="5"/>
              <w:keepNext/>
              <w:keepLines/>
              <w:pageBreakBefore w:val="0"/>
              <w:widowControl/>
              <w:numPr>
                <w:ilvl w:val="0"/>
                <w:numId w:val="1"/>
              </w:numPr>
              <w:tabs>
                <w:tab w:val="left" w:pos="0"/>
              </w:tabs>
              <w:kinsoku/>
              <w:wordWrap/>
              <w:overflowPunct/>
              <w:topLinePunct w:val="0"/>
              <w:autoSpaceDE/>
              <w:autoSpaceDN/>
              <w:bidi w:val="0"/>
              <w:adjustRightInd/>
              <w:snapToGrid/>
              <w:spacing w:before="0" w:after="0" w:line="360" w:lineRule="auto"/>
              <w:ind w:left="0" w:firstLine="0"/>
              <w:jc w:val="center"/>
              <w:textAlignment w:val="auto"/>
              <w:rPr>
                <w:rFonts w:hint="default" w:ascii="Times New Roman" w:hAnsi="Times New Roman" w:eastAsia="黑体" w:cs="Times New Roman"/>
                <w:b w:val="0"/>
                <w:bCs w:val="0"/>
                <w:color w:val="auto"/>
                <w:sz w:val="21"/>
                <w:szCs w:val="21"/>
                <w:highlight w:val="none"/>
              </w:rPr>
            </w:pPr>
            <w:r>
              <w:rPr>
                <w:rFonts w:hint="default" w:ascii="Times New Roman" w:hAnsi="Times New Roman" w:eastAsia="黑体" w:cs="Times New Roman"/>
                <w:b w:val="0"/>
                <w:bCs w:val="0"/>
                <w:color w:val="auto"/>
                <w:sz w:val="21"/>
                <w:szCs w:val="21"/>
                <w:highlight w:val="none"/>
              </w:rPr>
              <w:t>项目与环境准入条件清单符合性分析</w:t>
            </w:r>
          </w:p>
          <w:tbl>
            <w:tblPr>
              <w:tblStyle w:val="24"/>
              <w:tblW w:w="5000" w:type="pct"/>
              <w:tblInd w:w="-1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121"/>
              <w:gridCol w:w="486"/>
              <w:gridCol w:w="1058"/>
              <w:gridCol w:w="182"/>
              <w:gridCol w:w="1362"/>
              <w:gridCol w:w="1872"/>
              <w:gridCol w:w="1754"/>
            </w:tblGrid>
            <w:tr w14:paraId="4B821DD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15" w:type="pct"/>
                  <w:tcBorders>
                    <w:tl2br w:val="nil"/>
                    <w:tr2bl w:val="nil"/>
                  </w:tcBorders>
                  <w:vAlign w:val="center"/>
                </w:tcPr>
                <w:p w14:paraId="378F07B9">
                  <w:pPr>
                    <w:jc w:val="center"/>
                    <w:rPr>
                      <w:color w:val="auto"/>
                      <w:sz w:val="18"/>
                      <w:szCs w:val="18"/>
                      <w:highlight w:val="none"/>
                    </w:rPr>
                  </w:pPr>
                  <w:r>
                    <w:rPr>
                      <w:color w:val="auto"/>
                      <w:sz w:val="18"/>
                      <w:szCs w:val="18"/>
                      <w:highlight w:val="none"/>
                    </w:rPr>
                    <w:t>分区</w:t>
                  </w:r>
                </w:p>
              </w:tc>
              <w:tc>
                <w:tcPr>
                  <w:tcW w:w="310" w:type="pct"/>
                  <w:tcBorders>
                    <w:tl2br w:val="nil"/>
                    <w:tr2bl w:val="nil"/>
                  </w:tcBorders>
                  <w:vAlign w:val="center"/>
                </w:tcPr>
                <w:p w14:paraId="38DCF3AC">
                  <w:pPr>
                    <w:jc w:val="center"/>
                    <w:rPr>
                      <w:color w:val="auto"/>
                      <w:sz w:val="18"/>
                      <w:szCs w:val="18"/>
                      <w:highlight w:val="none"/>
                    </w:rPr>
                  </w:pPr>
                  <w:r>
                    <w:rPr>
                      <w:color w:val="auto"/>
                      <w:sz w:val="18"/>
                      <w:szCs w:val="18"/>
                      <w:highlight w:val="none"/>
                    </w:rPr>
                    <w:t>分类</w:t>
                  </w:r>
                </w:p>
              </w:tc>
              <w:tc>
                <w:tcPr>
                  <w:tcW w:w="1660" w:type="pct"/>
                  <w:gridSpan w:val="3"/>
                  <w:tcBorders>
                    <w:tl2br w:val="nil"/>
                    <w:tr2bl w:val="nil"/>
                  </w:tcBorders>
                  <w:vAlign w:val="center"/>
                </w:tcPr>
                <w:p w14:paraId="411F896D">
                  <w:pPr>
                    <w:widowControl/>
                    <w:jc w:val="center"/>
                    <w:rPr>
                      <w:bCs/>
                      <w:color w:val="auto"/>
                      <w:kern w:val="0"/>
                      <w:sz w:val="18"/>
                      <w:szCs w:val="18"/>
                      <w:highlight w:val="none"/>
                    </w:rPr>
                  </w:pPr>
                  <w:r>
                    <w:rPr>
                      <w:bCs/>
                      <w:color w:val="auto"/>
                      <w:kern w:val="0"/>
                      <w:sz w:val="18"/>
                      <w:szCs w:val="18"/>
                      <w:highlight w:val="none"/>
                    </w:rPr>
                    <w:t>行业类别</w:t>
                  </w:r>
                </w:p>
              </w:tc>
              <w:tc>
                <w:tcPr>
                  <w:tcW w:w="1194" w:type="pct"/>
                  <w:tcBorders>
                    <w:tl2br w:val="nil"/>
                    <w:tr2bl w:val="nil"/>
                  </w:tcBorders>
                  <w:vAlign w:val="center"/>
                </w:tcPr>
                <w:p w14:paraId="5EDC6811">
                  <w:pPr>
                    <w:widowControl/>
                    <w:jc w:val="center"/>
                    <w:rPr>
                      <w:bCs/>
                      <w:color w:val="auto"/>
                      <w:kern w:val="0"/>
                      <w:sz w:val="18"/>
                      <w:szCs w:val="18"/>
                      <w:highlight w:val="none"/>
                    </w:rPr>
                  </w:pPr>
                  <w:r>
                    <w:rPr>
                      <w:bCs/>
                      <w:color w:val="auto"/>
                      <w:kern w:val="0"/>
                      <w:sz w:val="18"/>
                      <w:szCs w:val="18"/>
                      <w:highlight w:val="none"/>
                    </w:rPr>
                    <w:t>工艺清单</w:t>
                  </w:r>
                </w:p>
              </w:tc>
              <w:tc>
                <w:tcPr>
                  <w:tcW w:w="1118" w:type="pct"/>
                  <w:tcBorders>
                    <w:tl2br w:val="nil"/>
                    <w:tr2bl w:val="nil"/>
                  </w:tcBorders>
                  <w:vAlign w:val="center"/>
                </w:tcPr>
                <w:p w14:paraId="4C0FF73E">
                  <w:pPr>
                    <w:widowControl/>
                    <w:jc w:val="center"/>
                    <w:rPr>
                      <w:bCs/>
                      <w:color w:val="auto"/>
                      <w:kern w:val="0"/>
                      <w:sz w:val="18"/>
                      <w:szCs w:val="18"/>
                      <w:highlight w:val="none"/>
                    </w:rPr>
                  </w:pPr>
                  <w:r>
                    <w:rPr>
                      <w:bCs/>
                      <w:color w:val="auto"/>
                      <w:kern w:val="0"/>
                      <w:sz w:val="18"/>
                      <w:szCs w:val="18"/>
                      <w:highlight w:val="none"/>
                    </w:rPr>
                    <w:t>产品清单</w:t>
                  </w:r>
                </w:p>
              </w:tc>
            </w:tr>
            <w:tr w14:paraId="593E397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15" w:type="pct"/>
                  <w:vMerge w:val="restart"/>
                  <w:tcBorders>
                    <w:tl2br w:val="nil"/>
                    <w:tr2bl w:val="nil"/>
                  </w:tcBorders>
                  <w:vAlign w:val="center"/>
                </w:tcPr>
                <w:p w14:paraId="3460C5AB">
                  <w:pPr>
                    <w:jc w:val="center"/>
                    <w:rPr>
                      <w:color w:val="auto"/>
                      <w:sz w:val="18"/>
                      <w:szCs w:val="18"/>
                      <w:highlight w:val="none"/>
                    </w:rPr>
                  </w:pPr>
                  <w:r>
                    <w:rPr>
                      <w:color w:val="auto"/>
                      <w:kern w:val="0"/>
                      <w:sz w:val="18"/>
                      <w:szCs w:val="18"/>
                      <w:highlight w:val="none"/>
                      <w:lang w:bidi="ar"/>
                    </w:rPr>
                    <w:t>余杭区钱江经济开发区产业集聚重点管控单元及余杭区临平副城产业集聚重点管控单元</w:t>
                  </w:r>
                </w:p>
              </w:tc>
              <w:tc>
                <w:tcPr>
                  <w:tcW w:w="310" w:type="pct"/>
                  <w:vMerge w:val="restart"/>
                  <w:tcBorders>
                    <w:tl2br w:val="nil"/>
                    <w:tr2bl w:val="nil"/>
                  </w:tcBorders>
                  <w:vAlign w:val="center"/>
                </w:tcPr>
                <w:p w14:paraId="63D32998">
                  <w:pPr>
                    <w:jc w:val="center"/>
                    <w:rPr>
                      <w:color w:val="auto"/>
                      <w:sz w:val="18"/>
                      <w:szCs w:val="18"/>
                      <w:highlight w:val="none"/>
                    </w:rPr>
                  </w:pPr>
                  <w:r>
                    <w:rPr>
                      <w:color w:val="auto"/>
                      <w:sz w:val="18"/>
                      <w:szCs w:val="18"/>
                      <w:highlight w:val="none"/>
                    </w:rPr>
                    <w:t>禁止准入类</w:t>
                  </w:r>
                </w:p>
              </w:tc>
              <w:tc>
                <w:tcPr>
                  <w:tcW w:w="791" w:type="pct"/>
                  <w:gridSpan w:val="2"/>
                  <w:tcBorders>
                    <w:tl2br w:val="nil"/>
                    <w:tr2bl w:val="nil"/>
                  </w:tcBorders>
                  <w:vAlign w:val="center"/>
                </w:tcPr>
                <w:p w14:paraId="69BAAF85">
                  <w:pPr>
                    <w:jc w:val="center"/>
                    <w:rPr>
                      <w:color w:val="auto"/>
                      <w:sz w:val="18"/>
                      <w:szCs w:val="18"/>
                      <w:highlight w:val="none"/>
                    </w:rPr>
                  </w:pPr>
                  <w:r>
                    <w:rPr>
                      <w:color w:val="auto"/>
                      <w:sz w:val="18"/>
                      <w:szCs w:val="18"/>
                      <w:highlight w:val="none"/>
                    </w:rPr>
                    <w:t>纺织业</w:t>
                  </w:r>
                </w:p>
              </w:tc>
              <w:tc>
                <w:tcPr>
                  <w:tcW w:w="868" w:type="pct"/>
                  <w:tcBorders>
                    <w:tl2br w:val="nil"/>
                    <w:tr2bl w:val="nil"/>
                  </w:tcBorders>
                  <w:vAlign w:val="center"/>
                </w:tcPr>
                <w:p w14:paraId="215F84B2">
                  <w:pPr>
                    <w:jc w:val="center"/>
                    <w:rPr>
                      <w:color w:val="auto"/>
                      <w:sz w:val="18"/>
                      <w:szCs w:val="18"/>
                      <w:highlight w:val="none"/>
                    </w:rPr>
                  </w:pPr>
                  <w:r>
                    <w:rPr>
                      <w:color w:val="auto"/>
                      <w:sz w:val="18"/>
                      <w:szCs w:val="18"/>
                      <w:highlight w:val="none"/>
                    </w:rPr>
                    <w:t>纺织品制造</w:t>
                  </w:r>
                </w:p>
              </w:tc>
              <w:tc>
                <w:tcPr>
                  <w:tcW w:w="1194" w:type="pct"/>
                  <w:tcBorders>
                    <w:tl2br w:val="nil"/>
                    <w:tr2bl w:val="nil"/>
                  </w:tcBorders>
                  <w:vAlign w:val="center"/>
                </w:tcPr>
                <w:p w14:paraId="438604E7">
                  <w:pPr>
                    <w:jc w:val="center"/>
                    <w:rPr>
                      <w:color w:val="auto"/>
                      <w:sz w:val="18"/>
                      <w:szCs w:val="18"/>
                      <w:highlight w:val="none"/>
                    </w:rPr>
                  </w:pPr>
                  <w:r>
                    <w:rPr>
                      <w:color w:val="auto"/>
                      <w:sz w:val="18"/>
                      <w:szCs w:val="18"/>
                      <w:highlight w:val="none"/>
                    </w:rPr>
                    <w:t>/</w:t>
                  </w:r>
                </w:p>
              </w:tc>
              <w:tc>
                <w:tcPr>
                  <w:tcW w:w="1118" w:type="pct"/>
                  <w:tcBorders>
                    <w:tl2br w:val="nil"/>
                    <w:tr2bl w:val="nil"/>
                  </w:tcBorders>
                  <w:vAlign w:val="center"/>
                </w:tcPr>
                <w:p w14:paraId="48F682CD">
                  <w:pPr>
                    <w:jc w:val="center"/>
                    <w:rPr>
                      <w:color w:val="auto"/>
                      <w:sz w:val="18"/>
                      <w:szCs w:val="18"/>
                      <w:highlight w:val="none"/>
                    </w:rPr>
                  </w:pPr>
                  <w:r>
                    <w:rPr>
                      <w:color w:val="auto"/>
                      <w:sz w:val="18"/>
                      <w:szCs w:val="18"/>
                      <w:highlight w:val="none"/>
                    </w:rPr>
                    <w:t>纯纺织品后整理加工项目（包含涂层、定型、复合、PVC压延，数码印花除外）</w:t>
                  </w:r>
                </w:p>
              </w:tc>
            </w:tr>
            <w:tr w14:paraId="25DFC7B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15" w:type="pct"/>
                  <w:vMerge w:val="continue"/>
                  <w:tcBorders>
                    <w:tl2br w:val="nil"/>
                    <w:tr2bl w:val="nil"/>
                  </w:tcBorders>
                  <w:vAlign w:val="center"/>
                </w:tcPr>
                <w:p w14:paraId="33103299">
                  <w:pPr>
                    <w:jc w:val="center"/>
                    <w:rPr>
                      <w:color w:val="auto"/>
                      <w:sz w:val="18"/>
                      <w:szCs w:val="18"/>
                      <w:highlight w:val="none"/>
                    </w:rPr>
                  </w:pPr>
                </w:p>
              </w:tc>
              <w:tc>
                <w:tcPr>
                  <w:tcW w:w="310" w:type="pct"/>
                  <w:vMerge w:val="continue"/>
                  <w:tcBorders>
                    <w:tl2br w:val="nil"/>
                    <w:tr2bl w:val="nil"/>
                  </w:tcBorders>
                  <w:vAlign w:val="center"/>
                </w:tcPr>
                <w:p w14:paraId="7A8E28F3">
                  <w:pPr>
                    <w:jc w:val="center"/>
                    <w:rPr>
                      <w:color w:val="auto"/>
                      <w:sz w:val="18"/>
                      <w:szCs w:val="18"/>
                      <w:highlight w:val="none"/>
                    </w:rPr>
                  </w:pPr>
                </w:p>
              </w:tc>
              <w:tc>
                <w:tcPr>
                  <w:tcW w:w="791" w:type="pct"/>
                  <w:gridSpan w:val="2"/>
                  <w:tcBorders>
                    <w:tl2br w:val="nil"/>
                    <w:tr2bl w:val="nil"/>
                  </w:tcBorders>
                  <w:vAlign w:val="center"/>
                </w:tcPr>
                <w:p w14:paraId="68D3F573">
                  <w:pPr>
                    <w:autoSpaceDE w:val="0"/>
                    <w:autoSpaceDN w:val="0"/>
                    <w:adjustRightInd w:val="0"/>
                    <w:jc w:val="center"/>
                    <w:rPr>
                      <w:color w:val="auto"/>
                      <w:kern w:val="0"/>
                      <w:sz w:val="18"/>
                      <w:szCs w:val="18"/>
                      <w:highlight w:val="none"/>
                    </w:rPr>
                  </w:pPr>
                  <w:r>
                    <w:rPr>
                      <w:color w:val="auto"/>
                      <w:kern w:val="0"/>
                      <w:sz w:val="18"/>
                      <w:szCs w:val="18"/>
                      <w:highlight w:val="none"/>
                    </w:rPr>
                    <w:t>皮革、毛皮、羽毛</w:t>
                  </w:r>
                </w:p>
                <w:p w14:paraId="76321101">
                  <w:pPr>
                    <w:jc w:val="center"/>
                    <w:rPr>
                      <w:color w:val="auto"/>
                      <w:sz w:val="18"/>
                      <w:szCs w:val="18"/>
                      <w:highlight w:val="none"/>
                    </w:rPr>
                  </w:pPr>
                  <w:r>
                    <w:rPr>
                      <w:color w:val="auto"/>
                      <w:kern w:val="0"/>
                      <w:sz w:val="18"/>
                      <w:szCs w:val="18"/>
                      <w:highlight w:val="none"/>
                    </w:rPr>
                    <w:t>及其制品和制鞋业</w:t>
                  </w:r>
                </w:p>
              </w:tc>
              <w:tc>
                <w:tcPr>
                  <w:tcW w:w="868" w:type="pct"/>
                  <w:tcBorders>
                    <w:tl2br w:val="nil"/>
                    <w:tr2bl w:val="nil"/>
                  </w:tcBorders>
                  <w:vAlign w:val="center"/>
                </w:tcPr>
                <w:p w14:paraId="10DBD806">
                  <w:pPr>
                    <w:jc w:val="center"/>
                    <w:rPr>
                      <w:color w:val="auto"/>
                      <w:sz w:val="18"/>
                      <w:szCs w:val="18"/>
                      <w:highlight w:val="none"/>
                    </w:rPr>
                  </w:pPr>
                  <w:r>
                    <w:rPr>
                      <w:color w:val="auto"/>
                      <w:sz w:val="18"/>
                      <w:szCs w:val="18"/>
                      <w:highlight w:val="none"/>
                    </w:rPr>
                    <w:t>皮革、毛皮、羽毛（绒）制品</w:t>
                  </w:r>
                </w:p>
              </w:tc>
              <w:tc>
                <w:tcPr>
                  <w:tcW w:w="1194" w:type="pct"/>
                  <w:tcBorders>
                    <w:tl2br w:val="nil"/>
                    <w:tr2bl w:val="nil"/>
                  </w:tcBorders>
                  <w:vAlign w:val="center"/>
                </w:tcPr>
                <w:p w14:paraId="54E21EB1">
                  <w:pPr>
                    <w:jc w:val="center"/>
                    <w:rPr>
                      <w:color w:val="auto"/>
                      <w:sz w:val="18"/>
                      <w:szCs w:val="18"/>
                      <w:highlight w:val="none"/>
                    </w:rPr>
                  </w:pPr>
                </w:p>
              </w:tc>
              <w:tc>
                <w:tcPr>
                  <w:tcW w:w="1118" w:type="pct"/>
                  <w:tcBorders>
                    <w:tl2br w:val="nil"/>
                    <w:tr2bl w:val="nil"/>
                  </w:tcBorders>
                  <w:vAlign w:val="center"/>
                </w:tcPr>
                <w:p w14:paraId="6D78B50C">
                  <w:pPr>
                    <w:jc w:val="center"/>
                    <w:rPr>
                      <w:color w:val="auto"/>
                      <w:sz w:val="18"/>
                      <w:szCs w:val="18"/>
                      <w:highlight w:val="none"/>
                    </w:rPr>
                  </w:pPr>
                  <w:r>
                    <w:rPr>
                      <w:color w:val="auto"/>
                      <w:kern w:val="0"/>
                      <w:sz w:val="18"/>
                      <w:szCs w:val="18"/>
                      <w:highlight w:val="none"/>
                    </w:rPr>
                    <w:t>制（鞣）革项目</w:t>
                  </w:r>
                </w:p>
              </w:tc>
            </w:tr>
            <w:tr w14:paraId="3C11B45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15" w:type="pct"/>
                  <w:vMerge w:val="continue"/>
                  <w:tcBorders>
                    <w:tl2br w:val="nil"/>
                    <w:tr2bl w:val="nil"/>
                  </w:tcBorders>
                  <w:vAlign w:val="center"/>
                </w:tcPr>
                <w:p w14:paraId="439BC8B4">
                  <w:pPr>
                    <w:jc w:val="center"/>
                    <w:rPr>
                      <w:color w:val="auto"/>
                      <w:sz w:val="18"/>
                      <w:szCs w:val="18"/>
                      <w:highlight w:val="none"/>
                    </w:rPr>
                  </w:pPr>
                </w:p>
              </w:tc>
              <w:tc>
                <w:tcPr>
                  <w:tcW w:w="310" w:type="pct"/>
                  <w:vMerge w:val="continue"/>
                  <w:tcBorders>
                    <w:tl2br w:val="nil"/>
                    <w:tr2bl w:val="nil"/>
                  </w:tcBorders>
                  <w:vAlign w:val="center"/>
                </w:tcPr>
                <w:p w14:paraId="2590F6B0">
                  <w:pPr>
                    <w:jc w:val="center"/>
                    <w:rPr>
                      <w:color w:val="auto"/>
                      <w:sz w:val="18"/>
                      <w:szCs w:val="18"/>
                      <w:highlight w:val="none"/>
                    </w:rPr>
                  </w:pPr>
                </w:p>
              </w:tc>
              <w:tc>
                <w:tcPr>
                  <w:tcW w:w="1660" w:type="pct"/>
                  <w:gridSpan w:val="3"/>
                  <w:tcBorders>
                    <w:tl2br w:val="nil"/>
                    <w:tr2bl w:val="nil"/>
                  </w:tcBorders>
                  <w:vAlign w:val="center"/>
                </w:tcPr>
                <w:p w14:paraId="7467B456">
                  <w:pPr>
                    <w:jc w:val="center"/>
                    <w:rPr>
                      <w:color w:val="auto"/>
                      <w:sz w:val="18"/>
                      <w:szCs w:val="18"/>
                      <w:highlight w:val="none"/>
                    </w:rPr>
                  </w:pPr>
                  <w:r>
                    <w:rPr>
                      <w:color w:val="auto"/>
                      <w:kern w:val="0"/>
                      <w:sz w:val="18"/>
                      <w:szCs w:val="18"/>
                      <w:highlight w:val="none"/>
                    </w:rPr>
                    <w:t>造纸和纸制品业</w:t>
                  </w:r>
                </w:p>
              </w:tc>
              <w:tc>
                <w:tcPr>
                  <w:tcW w:w="1194" w:type="pct"/>
                  <w:tcBorders>
                    <w:tl2br w:val="nil"/>
                    <w:tr2bl w:val="nil"/>
                  </w:tcBorders>
                  <w:vAlign w:val="center"/>
                </w:tcPr>
                <w:p w14:paraId="264A914E">
                  <w:pPr>
                    <w:jc w:val="center"/>
                    <w:rPr>
                      <w:color w:val="auto"/>
                      <w:sz w:val="18"/>
                      <w:szCs w:val="18"/>
                      <w:highlight w:val="none"/>
                    </w:rPr>
                  </w:pPr>
                  <w:r>
                    <w:rPr>
                      <w:color w:val="auto"/>
                      <w:sz w:val="18"/>
                      <w:szCs w:val="18"/>
                      <w:highlight w:val="none"/>
                    </w:rPr>
                    <w:t>/</w:t>
                  </w:r>
                </w:p>
              </w:tc>
              <w:tc>
                <w:tcPr>
                  <w:tcW w:w="1118" w:type="pct"/>
                  <w:tcBorders>
                    <w:tl2br w:val="nil"/>
                    <w:tr2bl w:val="nil"/>
                  </w:tcBorders>
                  <w:vAlign w:val="center"/>
                </w:tcPr>
                <w:p w14:paraId="16B5A4C1">
                  <w:pPr>
                    <w:jc w:val="center"/>
                    <w:rPr>
                      <w:color w:val="auto"/>
                      <w:kern w:val="0"/>
                      <w:sz w:val="18"/>
                      <w:szCs w:val="18"/>
                      <w:highlight w:val="none"/>
                    </w:rPr>
                  </w:pPr>
                  <w:r>
                    <w:rPr>
                      <w:color w:val="auto"/>
                      <w:sz w:val="18"/>
                      <w:szCs w:val="18"/>
                      <w:highlight w:val="none"/>
                    </w:rPr>
                    <w:t>纸浆、溶解浆、纤维浆等制造，造纸（含废纸造纸）</w:t>
                  </w:r>
                </w:p>
              </w:tc>
            </w:tr>
            <w:tr w14:paraId="319EF28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15" w:type="pct"/>
                  <w:vMerge w:val="continue"/>
                  <w:tcBorders>
                    <w:tl2br w:val="nil"/>
                    <w:tr2bl w:val="nil"/>
                  </w:tcBorders>
                  <w:vAlign w:val="center"/>
                </w:tcPr>
                <w:p w14:paraId="3CEC9785">
                  <w:pPr>
                    <w:jc w:val="center"/>
                    <w:rPr>
                      <w:color w:val="auto"/>
                      <w:sz w:val="18"/>
                      <w:szCs w:val="18"/>
                      <w:highlight w:val="none"/>
                    </w:rPr>
                  </w:pPr>
                </w:p>
              </w:tc>
              <w:tc>
                <w:tcPr>
                  <w:tcW w:w="310" w:type="pct"/>
                  <w:vMerge w:val="continue"/>
                  <w:tcBorders>
                    <w:tl2br w:val="nil"/>
                    <w:tr2bl w:val="nil"/>
                  </w:tcBorders>
                  <w:vAlign w:val="center"/>
                </w:tcPr>
                <w:p w14:paraId="3D8F52A1">
                  <w:pPr>
                    <w:jc w:val="center"/>
                    <w:rPr>
                      <w:color w:val="auto"/>
                      <w:sz w:val="18"/>
                      <w:szCs w:val="18"/>
                      <w:highlight w:val="none"/>
                    </w:rPr>
                  </w:pPr>
                </w:p>
              </w:tc>
              <w:tc>
                <w:tcPr>
                  <w:tcW w:w="791" w:type="pct"/>
                  <w:gridSpan w:val="2"/>
                  <w:vMerge w:val="restart"/>
                  <w:tcBorders>
                    <w:tl2br w:val="nil"/>
                    <w:tr2bl w:val="nil"/>
                  </w:tcBorders>
                  <w:vAlign w:val="center"/>
                </w:tcPr>
                <w:p w14:paraId="643FCA86">
                  <w:pPr>
                    <w:jc w:val="center"/>
                    <w:rPr>
                      <w:color w:val="auto"/>
                      <w:sz w:val="18"/>
                      <w:szCs w:val="18"/>
                      <w:highlight w:val="none"/>
                    </w:rPr>
                  </w:pPr>
                  <w:r>
                    <w:rPr>
                      <w:color w:val="auto"/>
                      <w:kern w:val="0"/>
                      <w:sz w:val="18"/>
                      <w:szCs w:val="18"/>
                      <w:highlight w:val="none"/>
                    </w:rPr>
                    <w:t>金属制品业</w:t>
                  </w:r>
                </w:p>
              </w:tc>
              <w:tc>
                <w:tcPr>
                  <w:tcW w:w="868" w:type="pct"/>
                  <w:tcBorders>
                    <w:tl2br w:val="nil"/>
                    <w:tr2bl w:val="nil"/>
                  </w:tcBorders>
                  <w:vAlign w:val="center"/>
                </w:tcPr>
                <w:p w14:paraId="4D2BEF57">
                  <w:pPr>
                    <w:jc w:val="center"/>
                    <w:rPr>
                      <w:color w:val="auto"/>
                      <w:sz w:val="18"/>
                      <w:szCs w:val="18"/>
                      <w:highlight w:val="none"/>
                    </w:rPr>
                  </w:pPr>
                  <w:r>
                    <w:rPr>
                      <w:color w:val="auto"/>
                      <w:kern w:val="0"/>
                      <w:sz w:val="18"/>
                      <w:szCs w:val="18"/>
                      <w:highlight w:val="none"/>
                    </w:rPr>
                    <w:t>金属制品加工制造业</w:t>
                  </w:r>
                </w:p>
              </w:tc>
              <w:tc>
                <w:tcPr>
                  <w:tcW w:w="1194" w:type="pct"/>
                  <w:tcBorders>
                    <w:tl2br w:val="nil"/>
                    <w:tr2bl w:val="nil"/>
                  </w:tcBorders>
                  <w:vAlign w:val="center"/>
                </w:tcPr>
                <w:p w14:paraId="382FAD3D">
                  <w:pPr>
                    <w:jc w:val="center"/>
                    <w:rPr>
                      <w:color w:val="auto"/>
                      <w:sz w:val="18"/>
                      <w:szCs w:val="18"/>
                      <w:highlight w:val="none"/>
                    </w:rPr>
                  </w:pPr>
                  <w:r>
                    <w:rPr>
                      <w:color w:val="auto"/>
                      <w:sz w:val="18"/>
                      <w:szCs w:val="18"/>
                      <w:highlight w:val="none"/>
                    </w:rPr>
                    <w:t>/</w:t>
                  </w:r>
                </w:p>
              </w:tc>
              <w:tc>
                <w:tcPr>
                  <w:tcW w:w="1118" w:type="pct"/>
                  <w:tcBorders>
                    <w:tl2br w:val="nil"/>
                    <w:tr2bl w:val="nil"/>
                  </w:tcBorders>
                  <w:vAlign w:val="center"/>
                </w:tcPr>
                <w:p w14:paraId="4367A49B">
                  <w:pPr>
                    <w:jc w:val="center"/>
                    <w:rPr>
                      <w:color w:val="auto"/>
                      <w:sz w:val="18"/>
                      <w:szCs w:val="18"/>
                      <w:highlight w:val="none"/>
                    </w:rPr>
                  </w:pPr>
                  <w:r>
                    <w:rPr>
                      <w:color w:val="auto"/>
                      <w:kern w:val="0"/>
                      <w:sz w:val="18"/>
                      <w:szCs w:val="18"/>
                      <w:highlight w:val="none"/>
                    </w:rPr>
                    <w:t>1、普通铸锻件项目；</w:t>
                  </w:r>
                </w:p>
              </w:tc>
            </w:tr>
            <w:tr w14:paraId="5CB1DC4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15" w:type="pct"/>
                  <w:vMerge w:val="continue"/>
                  <w:tcBorders>
                    <w:tl2br w:val="nil"/>
                    <w:tr2bl w:val="nil"/>
                  </w:tcBorders>
                  <w:vAlign w:val="center"/>
                </w:tcPr>
                <w:p w14:paraId="0CD424C0">
                  <w:pPr>
                    <w:jc w:val="center"/>
                    <w:rPr>
                      <w:color w:val="auto"/>
                      <w:sz w:val="18"/>
                      <w:szCs w:val="18"/>
                      <w:highlight w:val="none"/>
                    </w:rPr>
                  </w:pPr>
                </w:p>
              </w:tc>
              <w:tc>
                <w:tcPr>
                  <w:tcW w:w="310" w:type="pct"/>
                  <w:vMerge w:val="continue"/>
                  <w:tcBorders>
                    <w:tl2br w:val="nil"/>
                    <w:tr2bl w:val="nil"/>
                  </w:tcBorders>
                  <w:vAlign w:val="center"/>
                </w:tcPr>
                <w:p w14:paraId="7E61BA76">
                  <w:pPr>
                    <w:jc w:val="center"/>
                    <w:rPr>
                      <w:color w:val="auto"/>
                      <w:sz w:val="18"/>
                      <w:szCs w:val="18"/>
                      <w:highlight w:val="none"/>
                    </w:rPr>
                  </w:pPr>
                </w:p>
              </w:tc>
              <w:tc>
                <w:tcPr>
                  <w:tcW w:w="791" w:type="pct"/>
                  <w:gridSpan w:val="2"/>
                  <w:vMerge w:val="continue"/>
                  <w:tcBorders>
                    <w:tl2br w:val="nil"/>
                    <w:tr2bl w:val="nil"/>
                  </w:tcBorders>
                  <w:vAlign w:val="center"/>
                </w:tcPr>
                <w:p w14:paraId="477EBF6E">
                  <w:pPr>
                    <w:jc w:val="center"/>
                    <w:rPr>
                      <w:color w:val="auto"/>
                      <w:kern w:val="0"/>
                      <w:sz w:val="18"/>
                      <w:szCs w:val="18"/>
                      <w:highlight w:val="none"/>
                    </w:rPr>
                  </w:pPr>
                </w:p>
              </w:tc>
              <w:tc>
                <w:tcPr>
                  <w:tcW w:w="868" w:type="pct"/>
                  <w:tcBorders>
                    <w:tl2br w:val="nil"/>
                    <w:tr2bl w:val="nil"/>
                  </w:tcBorders>
                  <w:vAlign w:val="center"/>
                </w:tcPr>
                <w:p w14:paraId="5D4813DA">
                  <w:pPr>
                    <w:jc w:val="center"/>
                    <w:rPr>
                      <w:color w:val="auto"/>
                      <w:sz w:val="18"/>
                      <w:szCs w:val="18"/>
                      <w:highlight w:val="none"/>
                    </w:rPr>
                  </w:pPr>
                  <w:r>
                    <w:rPr>
                      <w:color w:val="auto"/>
                      <w:kern w:val="0"/>
                      <w:sz w:val="18"/>
                      <w:szCs w:val="18"/>
                      <w:highlight w:val="none"/>
                    </w:rPr>
                    <w:t>金属制品表面处理及热处理加工</w:t>
                  </w:r>
                </w:p>
              </w:tc>
              <w:tc>
                <w:tcPr>
                  <w:tcW w:w="1194" w:type="pct"/>
                  <w:tcBorders>
                    <w:tl2br w:val="nil"/>
                    <w:tr2bl w:val="nil"/>
                  </w:tcBorders>
                  <w:vAlign w:val="center"/>
                </w:tcPr>
                <w:p w14:paraId="60F372E6">
                  <w:pPr>
                    <w:jc w:val="center"/>
                    <w:rPr>
                      <w:color w:val="auto"/>
                      <w:sz w:val="18"/>
                      <w:szCs w:val="18"/>
                      <w:highlight w:val="none"/>
                    </w:rPr>
                  </w:pPr>
                  <w:r>
                    <w:rPr>
                      <w:color w:val="auto"/>
                      <w:sz w:val="18"/>
                      <w:szCs w:val="18"/>
                      <w:highlight w:val="none"/>
                    </w:rPr>
                    <w:t>/</w:t>
                  </w:r>
                </w:p>
              </w:tc>
              <w:tc>
                <w:tcPr>
                  <w:tcW w:w="1118" w:type="pct"/>
                  <w:tcBorders>
                    <w:tl2br w:val="nil"/>
                    <w:tr2bl w:val="nil"/>
                  </w:tcBorders>
                  <w:vAlign w:val="center"/>
                </w:tcPr>
                <w:p w14:paraId="49CBC9D3">
                  <w:pPr>
                    <w:jc w:val="center"/>
                    <w:rPr>
                      <w:color w:val="auto"/>
                      <w:kern w:val="0"/>
                      <w:sz w:val="18"/>
                      <w:szCs w:val="18"/>
                      <w:highlight w:val="none"/>
                    </w:rPr>
                  </w:pPr>
                  <w:r>
                    <w:rPr>
                      <w:color w:val="auto"/>
                      <w:kern w:val="0"/>
                      <w:sz w:val="18"/>
                      <w:szCs w:val="18"/>
                      <w:highlight w:val="none"/>
                    </w:rPr>
                    <w:t>1、纯表面涂装（喷漆、喷塑、浸漆、电泳）加工建设项目2、电镀、发蓝、酸处理、磷化等金属表面处理项目</w:t>
                  </w:r>
                </w:p>
              </w:tc>
            </w:tr>
            <w:tr w14:paraId="7FA9648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15" w:type="pct"/>
                  <w:vMerge w:val="continue"/>
                  <w:tcBorders>
                    <w:tl2br w:val="nil"/>
                    <w:tr2bl w:val="nil"/>
                  </w:tcBorders>
                  <w:vAlign w:val="center"/>
                </w:tcPr>
                <w:p w14:paraId="703D52D4">
                  <w:pPr>
                    <w:jc w:val="center"/>
                    <w:rPr>
                      <w:color w:val="auto"/>
                      <w:sz w:val="18"/>
                      <w:szCs w:val="18"/>
                      <w:highlight w:val="none"/>
                    </w:rPr>
                  </w:pPr>
                </w:p>
              </w:tc>
              <w:tc>
                <w:tcPr>
                  <w:tcW w:w="310" w:type="pct"/>
                  <w:vMerge w:val="continue"/>
                  <w:tcBorders>
                    <w:tl2br w:val="nil"/>
                    <w:tr2bl w:val="nil"/>
                  </w:tcBorders>
                  <w:vAlign w:val="center"/>
                </w:tcPr>
                <w:p w14:paraId="6D0654E3">
                  <w:pPr>
                    <w:jc w:val="center"/>
                    <w:rPr>
                      <w:color w:val="auto"/>
                      <w:sz w:val="18"/>
                      <w:szCs w:val="18"/>
                      <w:highlight w:val="none"/>
                    </w:rPr>
                  </w:pPr>
                </w:p>
              </w:tc>
              <w:tc>
                <w:tcPr>
                  <w:tcW w:w="791" w:type="pct"/>
                  <w:gridSpan w:val="2"/>
                  <w:vMerge w:val="restart"/>
                  <w:tcBorders>
                    <w:tl2br w:val="nil"/>
                    <w:tr2bl w:val="nil"/>
                  </w:tcBorders>
                  <w:vAlign w:val="center"/>
                </w:tcPr>
                <w:p w14:paraId="3574F632">
                  <w:pPr>
                    <w:jc w:val="center"/>
                    <w:rPr>
                      <w:color w:val="auto"/>
                      <w:kern w:val="0"/>
                      <w:sz w:val="18"/>
                      <w:szCs w:val="18"/>
                      <w:highlight w:val="none"/>
                    </w:rPr>
                  </w:pPr>
                  <w:r>
                    <w:rPr>
                      <w:color w:val="auto"/>
                      <w:kern w:val="0"/>
                      <w:sz w:val="18"/>
                      <w:szCs w:val="18"/>
                      <w:highlight w:val="none"/>
                    </w:rPr>
                    <w:t>石油加工、炼焦业</w:t>
                  </w:r>
                </w:p>
              </w:tc>
              <w:tc>
                <w:tcPr>
                  <w:tcW w:w="868" w:type="pct"/>
                  <w:tcBorders>
                    <w:tl2br w:val="nil"/>
                    <w:tr2bl w:val="nil"/>
                  </w:tcBorders>
                  <w:vAlign w:val="center"/>
                </w:tcPr>
                <w:p w14:paraId="7A07CBB1">
                  <w:pPr>
                    <w:jc w:val="center"/>
                    <w:rPr>
                      <w:color w:val="auto"/>
                      <w:kern w:val="0"/>
                      <w:sz w:val="18"/>
                      <w:szCs w:val="18"/>
                      <w:highlight w:val="none"/>
                    </w:rPr>
                  </w:pPr>
                  <w:r>
                    <w:rPr>
                      <w:color w:val="auto"/>
                      <w:kern w:val="0"/>
                      <w:sz w:val="18"/>
                      <w:szCs w:val="18"/>
                      <w:highlight w:val="none"/>
                    </w:rPr>
                    <w:t>原油加工、天然气加工、油母页岩提炼原油、煤制原油、生物制油及其他石油制品</w:t>
                  </w:r>
                </w:p>
              </w:tc>
              <w:tc>
                <w:tcPr>
                  <w:tcW w:w="1194" w:type="pct"/>
                  <w:tcBorders>
                    <w:tl2br w:val="nil"/>
                    <w:tr2bl w:val="nil"/>
                  </w:tcBorders>
                  <w:vAlign w:val="center"/>
                </w:tcPr>
                <w:p w14:paraId="4337B2D8">
                  <w:pPr>
                    <w:jc w:val="center"/>
                    <w:rPr>
                      <w:color w:val="auto"/>
                      <w:sz w:val="18"/>
                      <w:szCs w:val="18"/>
                      <w:highlight w:val="none"/>
                    </w:rPr>
                  </w:pPr>
                  <w:r>
                    <w:rPr>
                      <w:color w:val="auto"/>
                      <w:sz w:val="18"/>
                      <w:szCs w:val="18"/>
                      <w:highlight w:val="none"/>
                    </w:rPr>
                    <w:t>全部</w:t>
                  </w:r>
                </w:p>
              </w:tc>
              <w:tc>
                <w:tcPr>
                  <w:tcW w:w="1118" w:type="pct"/>
                  <w:tcBorders>
                    <w:tl2br w:val="nil"/>
                    <w:tr2bl w:val="nil"/>
                  </w:tcBorders>
                  <w:vAlign w:val="center"/>
                </w:tcPr>
                <w:p w14:paraId="3FA716BA">
                  <w:pPr>
                    <w:jc w:val="center"/>
                    <w:rPr>
                      <w:color w:val="auto"/>
                      <w:kern w:val="0"/>
                      <w:sz w:val="18"/>
                      <w:szCs w:val="18"/>
                      <w:highlight w:val="none"/>
                    </w:rPr>
                  </w:pPr>
                  <w:r>
                    <w:rPr>
                      <w:color w:val="auto"/>
                      <w:kern w:val="0"/>
                      <w:sz w:val="18"/>
                      <w:szCs w:val="18"/>
                      <w:highlight w:val="none"/>
                    </w:rPr>
                    <w:t>全部</w:t>
                  </w:r>
                </w:p>
              </w:tc>
            </w:tr>
            <w:tr w14:paraId="0DD0F80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15" w:type="pct"/>
                  <w:vMerge w:val="continue"/>
                  <w:tcBorders>
                    <w:tl2br w:val="nil"/>
                    <w:tr2bl w:val="nil"/>
                  </w:tcBorders>
                  <w:vAlign w:val="center"/>
                </w:tcPr>
                <w:p w14:paraId="06C1B16F">
                  <w:pPr>
                    <w:jc w:val="center"/>
                    <w:rPr>
                      <w:color w:val="auto"/>
                      <w:sz w:val="18"/>
                      <w:szCs w:val="18"/>
                      <w:highlight w:val="none"/>
                    </w:rPr>
                  </w:pPr>
                </w:p>
              </w:tc>
              <w:tc>
                <w:tcPr>
                  <w:tcW w:w="310" w:type="pct"/>
                  <w:vMerge w:val="continue"/>
                  <w:tcBorders>
                    <w:tl2br w:val="nil"/>
                    <w:tr2bl w:val="nil"/>
                  </w:tcBorders>
                  <w:vAlign w:val="center"/>
                </w:tcPr>
                <w:p w14:paraId="12510C15">
                  <w:pPr>
                    <w:jc w:val="center"/>
                    <w:rPr>
                      <w:color w:val="auto"/>
                      <w:sz w:val="18"/>
                      <w:szCs w:val="18"/>
                      <w:highlight w:val="none"/>
                    </w:rPr>
                  </w:pPr>
                </w:p>
              </w:tc>
              <w:tc>
                <w:tcPr>
                  <w:tcW w:w="791" w:type="pct"/>
                  <w:gridSpan w:val="2"/>
                  <w:vMerge w:val="continue"/>
                  <w:tcBorders>
                    <w:tl2br w:val="nil"/>
                    <w:tr2bl w:val="nil"/>
                  </w:tcBorders>
                  <w:vAlign w:val="center"/>
                </w:tcPr>
                <w:p w14:paraId="7D9E890E">
                  <w:pPr>
                    <w:jc w:val="center"/>
                    <w:rPr>
                      <w:color w:val="auto"/>
                      <w:kern w:val="0"/>
                      <w:sz w:val="18"/>
                      <w:szCs w:val="18"/>
                      <w:highlight w:val="none"/>
                    </w:rPr>
                  </w:pPr>
                </w:p>
              </w:tc>
              <w:tc>
                <w:tcPr>
                  <w:tcW w:w="868" w:type="pct"/>
                  <w:tcBorders>
                    <w:tl2br w:val="nil"/>
                    <w:tr2bl w:val="nil"/>
                  </w:tcBorders>
                  <w:vAlign w:val="center"/>
                </w:tcPr>
                <w:p w14:paraId="1B905A32">
                  <w:pPr>
                    <w:jc w:val="center"/>
                    <w:rPr>
                      <w:color w:val="auto"/>
                      <w:kern w:val="0"/>
                      <w:sz w:val="18"/>
                      <w:szCs w:val="18"/>
                      <w:highlight w:val="none"/>
                    </w:rPr>
                  </w:pPr>
                  <w:r>
                    <w:rPr>
                      <w:color w:val="auto"/>
                      <w:sz w:val="18"/>
                      <w:szCs w:val="18"/>
                      <w:highlight w:val="none"/>
                    </w:rPr>
                    <w:t>煤化工（含煤炭液化、气化）</w:t>
                  </w:r>
                </w:p>
              </w:tc>
              <w:tc>
                <w:tcPr>
                  <w:tcW w:w="1194" w:type="pct"/>
                  <w:tcBorders>
                    <w:tl2br w:val="nil"/>
                    <w:tr2bl w:val="nil"/>
                  </w:tcBorders>
                  <w:vAlign w:val="center"/>
                </w:tcPr>
                <w:p w14:paraId="64B643E8">
                  <w:pPr>
                    <w:jc w:val="center"/>
                    <w:rPr>
                      <w:color w:val="auto"/>
                      <w:sz w:val="18"/>
                      <w:szCs w:val="18"/>
                      <w:highlight w:val="none"/>
                    </w:rPr>
                  </w:pPr>
                  <w:r>
                    <w:rPr>
                      <w:color w:val="auto"/>
                      <w:sz w:val="18"/>
                      <w:szCs w:val="18"/>
                      <w:highlight w:val="none"/>
                    </w:rPr>
                    <w:t>全部</w:t>
                  </w:r>
                </w:p>
              </w:tc>
              <w:tc>
                <w:tcPr>
                  <w:tcW w:w="1118" w:type="pct"/>
                  <w:tcBorders>
                    <w:tl2br w:val="nil"/>
                    <w:tr2bl w:val="nil"/>
                  </w:tcBorders>
                  <w:vAlign w:val="center"/>
                </w:tcPr>
                <w:p w14:paraId="57F9ED88">
                  <w:pPr>
                    <w:jc w:val="center"/>
                    <w:rPr>
                      <w:color w:val="auto"/>
                      <w:kern w:val="0"/>
                      <w:sz w:val="18"/>
                      <w:szCs w:val="18"/>
                      <w:highlight w:val="none"/>
                    </w:rPr>
                  </w:pPr>
                  <w:r>
                    <w:rPr>
                      <w:color w:val="auto"/>
                      <w:kern w:val="0"/>
                      <w:sz w:val="18"/>
                      <w:szCs w:val="18"/>
                      <w:highlight w:val="none"/>
                    </w:rPr>
                    <w:t>全部</w:t>
                  </w:r>
                </w:p>
              </w:tc>
            </w:tr>
            <w:tr w14:paraId="4448422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15" w:type="pct"/>
                  <w:vMerge w:val="continue"/>
                  <w:tcBorders>
                    <w:tl2br w:val="nil"/>
                    <w:tr2bl w:val="nil"/>
                  </w:tcBorders>
                  <w:vAlign w:val="center"/>
                </w:tcPr>
                <w:p w14:paraId="2C56A663">
                  <w:pPr>
                    <w:jc w:val="center"/>
                    <w:rPr>
                      <w:color w:val="auto"/>
                      <w:sz w:val="18"/>
                      <w:szCs w:val="18"/>
                      <w:highlight w:val="none"/>
                    </w:rPr>
                  </w:pPr>
                </w:p>
              </w:tc>
              <w:tc>
                <w:tcPr>
                  <w:tcW w:w="310" w:type="pct"/>
                  <w:vMerge w:val="continue"/>
                  <w:tcBorders>
                    <w:tl2br w:val="nil"/>
                    <w:tr2bl w:val="nil"/>
                  </w:tcBorders>
                  <w:vAlign w:val="center"/>
                </w:tcPr>
                <w:p w14:paraId="567EF36F">
                  <w:pPr>
                    <w:jc w:val="center"/>
                    <w:rPr>
                      <w:color w:val="auto"/>
                      <w:sz w:val="18"/>
                      <w:szCs w:val="18"/>
                      <w:highlight w:val="none"/>
                    </w:rPr>
                  </w:pPr>
                </w:p>
              </w:tc>
              <w:tc>
                <w:tcPr>
                  <w:tcW w:w="791" w:type="pct"/>
                  <w:gridSpan w:val="2"/>
                  <w:vMerge w:val="continue"/>
                  <w:tcBorders>
                    <w:tl2br w:val="nil"/>
                    <w:tr2bl w:val="nil"/>
                  </w:tcBorders>
                  <w:vAlign w:val="center"/>
                </w:tcPr>
                <w:p w14:paraId="38CDCDF2">
                  <w:pPr>
                    <w:jc w:val="center"/>
                    <w:rPr>
                      <w:color w:val="auto"/>
                      <w:kern w:val="0"/>
                      <w:sz w:val="18"/>
                      <w:szCs w:val="18"/>
                      <w:highlight w:val="none"/>
                    </w:rPr>
                  </w:pPr>
                </w:p>
              </w:tc>
              <w:tc>
                <w:tcPr>
                  <w:tcW w:w="868" w:type="pct"/>
                  <w:tcBorders>
                    <w:tl2br w:val="nil"/>
                    <w:tr2bl w:val="nil"/>
                  </w:tcBorders>
                  <w:vAlign w:val="center"/>
                </w:tcPr>
                <w:p w14:paraId="134250A1">
                  <w:pPr>
                    <w:jc w:val="center"/>
                    <w:rPr>
                      <w:color w:val="auto"/>
                      <w:sz w:val="18"/>
                      <w:szCs w:val="18"/>
                      <w:highlight w:val="none"/>
                    </w:rPr>
                  </w:pPr>
                  <w:r>
                    <w:rPr>
                      <w:color w:val="auto"/>
                      <w:sz w:val="18"/>
                      <w:szCs w:val="18"/>
                      <w:highlight w:val="none"/>
                    </w:rPr>
                    <w:t>炼焦、煤炭热解、电石</w:t>
                  </w:r>
                </w:p>
              </w:tc>
              <w:tc>
                <w:tcPr>
                  <w:tcW w:w="1194" w:type="pct"/>
                  <w:tcBorders>
                    <w:tl2br w:val="nil"/>
                    <w:tr2bl w:val="nil"/>
                  </w:tcBorders>
                  <w:vAlign w:val="center"/>
                </w:tcPr>
                <w:p w14:paraId="1928A1FA">
                  <w:pPr>
                    <w:jc w:val="center"/>
                    <w:rPr>
                      <w:color w:val="auto"/>
                      <w:sz w:val="18"/>
                      <w:szCs w:val="18"/>
                      <w:highlight w:val="none"/>
                    </w:rPr>
                  </w:pPr>
                  <w:r>
                    <w:rPr>
                      <w:color w:val="auto"/>
                      <w:sz w:val="18"/>
                      <w:szCs w:val="18"/>
                      <w:highlight w:val="none"/>
                    </w:rPr>
                    <w:t>全部</w:t>
                  </w:r>
                </w:p>
              </w:tc>
              <w:tc>
                <w:tcPr>
                  <w:tcW w:w="1118" w:type="pct"/>
                  <w:tcBorders>
                    <w:tl2br w:val="nil"/>
                    <w:tr2bl w:val="nil"/>
                  </w:tcBorders>
                  <w:vAlign w:val="center"/>
                </w:tcPr>
                <w:p w14:paraId="074CC896">
                  <w:pPr>
                    <w:jc w:val="center"/>
                    <w:rPr>
                      <w:color w:val="auto"/>
                      <w:kern w:val="0"/>
                      <w:sz w:val="18"/>
                      <w:szCs w:val="18"/>
                      <w:highlight w:val="none"/>
                    </w:rPr>
                  </w:pPr>
                  <w:r>
                    <w:rPr>
                      <w:color w:val="auto"/>
                      <w:kern w:val="0"/>
                      <w:sz w:val="18"/>
                      <w:szCs w:val="18"/>
                      <w:highlight w:val="none"/>
                    </w:rPr>
                    <w:t>全部</w:t>
                  </w:r>
                </w:p>
              </w:tc>
            </w:tr>
            <w:tr w14:paraId="57F0D50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15" w:type="pct"/>
                  <w:vMerge w:val="continue"/>
                  <w:tcBorders>
                    <w:tl2br w:val="nil"/>
                    <w:tr2bl w:val="nil"/>
                  </w:tcBorders>
                  <w:vAlign w:val="center"/>
                </w:tcPr>
                <w:p w14:paraId="432476C8">
                  <w:pPr>
                    <w:jc w:val="center"/>
                    <w:rPr>
                      <w:color w:val="auto"/>
                      <w:sz w:val="18"/>
                      <w:szCs w:val="18"/>
                      <w:highlight w:val="none"/>
                    </w:rPr>
                  </w:pPr>
                </w:p>
              </w:tc>
              <w:tc>
                <w:tcPr>
                  <w:tcW w:w="310" w:type="pct"/>
                  <w:vMerge w:val="continue"/>
                  <w:tcBorders>
                    <w:tl2br w:val="nil"/>
                    <w:tr2bl w:val="nil"/>
                  </w:tcBorders>
                  <w:vAlign w:val="center"/>
                </w:tcPr>
                <w:p w14:paraId="1D999E95">
                  <w:pPr>
                    <w:jc w:val="center"/>
                    <w:rPr>
                      <w:color w:val="auto"/>
                      <w:sz w:val="18"/>
                      <w:szCs w:val="18"/>
                      <w:highlight w:val="none"/>
                    </w:rPr>
                  </w:pPr>
                </w:p>
              </w:tc>
              <w:tc>
                <w:tcPr>
                  <w:tcW w:w="1660" w:type="pct"/>
                  <w:gridSpan w:val="3"/>
                  <w:tcBorders>
                    <w:tl2br w:val="nil"/>
                    <w:tr2bl w:val="nil"/>
                  </w:tcBorders>
                  <w:vAlign w:val="center"/>
                </w:tcPr>
                <w:p w14:paraId="3F20C691">
                  <w:pPr>
                    <w:autoSpaceDE w:val="0"/>
                    <w:autoSpaceDN w:val="0"/>
                    <w:adjustRightInd w:val="0"/>
                    <w:jc w:val="center"/>
                    <w:rPr>
                      <w:color w:val="auto"/>
                      <w:kern w:val="0"/>
                      <w:sz w:val="18"/>
                      <w:szCs w:val="18"/>
                      <w:highlight w:val="none"/>
                    </w:rPr>
                  </w:pPr>
                  <w:r>
                    <w:rPr>
                      <w:color w:val="auto"/>
                      <w:kern w:val="0"/>
                      <w:sz w:val="18"/>
                      <w:szCs w:val="18"/>
                      <w:highlight w:val="none"/>
                    </w:rPr>
                    <w:t>化学原料和化学制品制造业</w:t>
                  </w:r>
                </w:p>
              </w:tc>
              <w:tc>
                <w:tcPr>
                  <w:tcW w:w="1194" w:type="pct"/>
                  <w:tcBorders>
                    <w:tl2br w:val="nil"/>
                    <w:tr2bl w:val="nil"/>
                  </w:tcBorders>
                  <w:vAlign w:val="center"/>
                </w:tcPr>
                <w:p w14:paraId="4D5ABFA8">
                  <w:pPr>
                    <w:jc w:val="center"/>
                    <w:rPr>
                      <w:color w:val="auto"/>
                      <w:sz w:val="18"/>
                      <w:szCs w:val="18"/>
                      <w:highlight w:val="none"/>
                    </w:rPr>
                  </w:pPr>
                  <w:r>
                    <w:rPr>
                      <w:color w:val="auto"/>
                      <w:sz w:val="18"/>
                      <w:szCs w:val="18"/>
                      <w:highlight w:val="none"/>
                    </w:rPr>
                    <w:t>含有机化学合成反应的化工</w:t>
                  </w:r>
                </w:p>
              </w:tc>
              <w:tc>
                <w:tcPr>
                  <w:tcW w:w="1118" w:type="pct"/>
                  <w:tcBorders>
                    <w:tl2br w:val="nil"/>
                    <w:tr2bl w:val="nil"/>
                  </w:tcBorders>
                  <w:vAlign w:val="center"/>
                </w:tcPr>
                <w:p w14:paraId="28065C65">
                  <w:pPr>
                    <w:jc w:val="center"/>
                    <w:rPr>
                      <w:color w:val="auto"/>
                      <w:kern w:val="0"/>
                      <w:sz w:val="18"/>
                      <w:szCs w:val="18"/>
                      <w:highlight w:val="none"/>
                    </w:rPr>
                  </w:pPr>
                  <w:r>
                    <w:rPr>
                      <w:color w:val="auto"/>
                      <w:kern w:val="0"/>
                      <w:sz w:val="18"/>
                      <w:szCs w:val="18"/>
                      <w:highlight w:val="none"/>
                    </w:rPr>
                    <w:t>重污染、高风险化工产品生产和储存项目、危险化学品的生产项目</w:t>
                  </w:r>
                </w:p>
              </w:tc>
            </w:tr>
            <w:tr w14:paraId="7F99F4C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15" w:type="pct"/>
                  <w:vMerge w:val="continue"/>
                  <w:tcBorders>
                    <w:tl2br w:val="nil"/>
                    <w:tr2bl w:val="nil"/>
                  </w:tcBorders>
                  <w:vAlign w:val="center"/>
                </w:tcPr>
                <w:p w14:paraId="2AE8C093">
                  <w:pPr>
                    <w:jc w:val="center"/>
                    <w:rPr>
                      <w:color w:val="auto"/>
                      <w:sz w:val="18"/>
                      <w:szCs w:val="18"/>
                      <w:highlight w:val="none"/>
                    </w:rPr>
                  </w:pPr>
                </w:p>
              </w:tc>
              <w:tc>
                <w:tcPr>
                  <w:tcW w:w="310" w:type="pct"/>
                  <w:vMerge w:val="continue"/>
                  <w:tcBorders>
                    <w:tl2br w:val="nil"/>
                    <w:tr2bl w:val="nil"/>
                  </w:tcBorders>
                  <w:vAlign w:val="center"/>
                </w:tcPr>
                <w:p w14:paraId="632947A6">
                  <w:pPr>
                    <w:jc w:val="center"/>
                    <w:rPr>
                      <w:color w:val="auto"/>
                      <w:sz w:val="18"/>
                      <w:szCs w:val="18"/>
                      <w:highlight w:val="none"/>
                    </w:rPr>
                  </w:pPr>
                </w:p>
              </w:tc>
              <w:tc>
                <w:tcPr>
                  <w:tcW w:w="791" w:type="pct"/>
                  <w:gridSpan w:val="2"/>
                  <w:vMerge w:val="restart"/>
                  <w:tcBorders>
                    <w:tl2br w:val="nil"/>
                    <w:tr2bl w:val="nil"/>
                  </w:tcBorders>
                  <w:vAlign w:val="center"/>
                </w:tcPr>
                <w:p w14:paraId="56428165">
                  <w:pPr>
                    <w:autoSpaceDE w:val="0"/>
                    <w:autoSpaceDN w:val="0"/>
                    <w:adjustRightInd w:val="0"/>
                    <w:jc w:val="center"/>
                    <w:rPr>
                      <w:color w:val="auto"/>
                      <w:kern w:val="0"/>
                      <w:sz w:val="18"/>
                      <w:szCs w:val="18"/>
                      <w:highlight w:val="none"/>
                    </w:rPr>
                  </w:pPr>
                  <w:r>
                    <w:rPr>
                      <w:color w:val="auto"/>
                      <w:kern w:val="0"/>
                      <w:sz w:val="18"/>
                      <w:szCs w:val="18"/>
                      <w:highlight w:val="none"/>
                    </w:rPr>
                    <w:t>橡胶和塑料制品业</w:t>
                  </w:r>
                </w:p>
              </w:tc>
              <w:tc>
                <w:tcPr>
                  <w:tcW w:w="868" w:type="pct"/>
                  <w:tcBorders>
                    <w:tl2br w:val="nil"/>
                    <w:tr2bl w:val="nil"/>
                  </w:tcBorders>
                  <w:vAlign w:val="center"/>
                </w:tcPr>
                <w:p w14:paraId="4A9D5B43">
                  <w:pPr>
                    <w:jc w:val="center"/>
                    <w:rPr>
                      <w:color w:val="auto"/>
                      <w:kern w:val="0"/>
                      <w:sz w:val="18"/>
                      <w:szCs w:val="18"/>
                      <w:highlight w:val="none"/>
                    </w:rPr>
                  </w:pPr>
                  <w:r>
                    <w:rPr>
                      <w:color w:val="auto"/>
                      <w:kern w:val="0"/>
                      <w:sz w:val="18"/>
                      <w:szCs w:val="18"/>
                      <w:highlight w:val="none"/>
                    </w:rPr>
                    <w:t>橡胶制品业</w:t>
                  </w:r>
                </w:p>
              </w:tc>
              <w:tc>
                <w:tcPr>
                  <w:tcW w:w="1194" w:type="pct"/>
                  <w:tcBorders>
                    <w:tl2br w:val="nil"/>
                    <w:tr2bl w:val="nil"/>
                  </w:tcBorders>
                  <w:vAlign w:val="center"/>
                </w:tcPr>
                <w:p w14:paraId="23771540">
                  <w:pPr>
                    <w:jc w:val="center"/>
                    <w:rPr>
                      <w:color w:val="auto"/>
                      <w:sz w:val="18"/>
                      <w:szCs w:val="18"/>
                      <w:highlight w:val="none"/>
                    </w:rPr>
                  </w:pPr>
                  <w:r>
                    <w:rPr>
                      <w:color w:val="auto"/>
                      <w:sz w:val="18"/>
                      <w:szCs w:val="18"/>
                      <w:highlight w:val="none"/>
                    </w:rPr>
                    <w:t>/</w:t>
                  </w:r>
                </w:p>
              </w:tc>
              <w:tc>
                <w:tcPr>
                  <w:tcW w:w="1118" w:type="pct"/>
                  <w:tcBorders>
                    <w:tl2br w:val="nil"/>
                    <w:tr2bl w:val="nil"/>
                  </w:tcBorders>
                  <w:vAlign w:val="center"/>
                </w:tcPr>
                <w:p w14:paraId="3AF7010C">
                  <w:pPr>
                    <w:jc w:val="center"/>
                    <w:rPr>
                      <w:color w:val="auto"/>
                      <w:kern w:val="0"/>
                      <w:sz w:val="18"/>
                      <w:szCs w:val="18"/>
                      <w:highlight w:val="none"/>
                    </w:rPr>
                  </w:pPr>
                  <w:r>
                    <w:rPr>
                      <w:color w:val="auto"/>
                      <w:kern w:val="0"/>
                      <w:sz w:val="18"/>
                      <w:szCs w:val="18"/>
                      <w:highlight w:val="none"/>
                    </w:rPr>
                    <w:t>橡胶制品生产项目</w:t>
                  </w:r>
                </w:p>
              </w:tc>
            </w:tr>
            <w:tr w14:paraId="76CED35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15" w:type="pct"/>
                  <w:vMerge w:val="continue"/>
                  <w:tcBorders>
                    <w:tl2br w:val="nil"/>
                    <w:tr2bl w:val="nil"/>
                  </w:tcBorders>
                  <w:vAlign w:val="center"/>
                </w:tcPr>
                <w:p w14:paraId="44CE4B6E">
                  <w:pPr>
                    <w:jc w:val="center"/>
                    <w:rPr>
                      <w:color w:val="auto"/>
                      <w:sz w:val="18"/>
                      <w:szCs w:val="18"/>
                      <w:highlight w:val="none"/>
                    </w:rPr>
                  </w:pPr>
                </w:p>
              </w:tc>
              <w:tc>
                <w:tcPr>
                  <w:tcW w:w="310" w:type="pct"/>
                  <w:vMerge w:val="continue"/>
                  <w:tcBorders>
                    <w:tl2br w:val="nil"/>
                    <w:tr2bl w:val="nil"/>
                  </w:tcBorders>
                  <w:vAlign w:val="center"/>
                </w:tcPr>
                <w:p w14:paraId="77547175">
                  <w:pPr>
                    <w:jc w:val="center"/>
                    <w:rPr>
                      <w:color w:val="auto"/>
                      <w:sz w:val="18"/>
                      <w:szCs w:val="18"/>
                      <w:highlight w:val="none"/>
                    </w:rPr>
                  </w:pPr>
                </w:p>
              </w:tc>
              <w:tc>
                <w:tcPr>
                  <w:tcW w:w="791" w:type="pct"/>
                  <w:gridSpan w:val="2"/>
                  <w:vMerge w:val="continue"/>
                  <w:tcBorders>
                    <w:tl2br w:val="nil"/>
                    <w:tr2bl w:val="nil"/>
                  </w:tcBorders>
                  <w:vAlign w:val="center"/>
                </w:tcPr>
                <w:p w14:paraId="65E3B2E2">
                  <w:pPr>
                    <w:autoSpaceDE w:val="0"/>
                    <w:autoSpaceDN w:val="0"/>
                    <w:adjustRightInd w:val="0"/>
                    <w:jc w:val="center"/>
                    <w:rPr>
                      <w:color w:val="auto"/>
                      <w:kern w:val="0"/>
                      <w:sz w:val="18"/>
                      <w:szCs w:val="18"/>
                      <w:highlight w:val="none"/>
                    </w:rPr>
                  </w:pPr>
                </w:p>
              </w:tc>
              <w:tc>
                <w:tcPr>
                  <w:tcW w:w="868" w:type="pct"/>
                  <w:tcBorders>
                    <w:tl2br w:val="nil"/>
                    <w:tr2bl w:val="nil"/>
                  </w:tcBorders>
                  <w:vAlign w:val="center"/>
                </w:tcPr>
                <w:p w14:paraId="539404C7">
                  <w:pPr>
                    <w:jc w:val="center"/>
                    <w:rPr>
                      <w:color w:val="auto"/>
                      <w:kern w:val="0"/>
                      <w:sz w:val="18"/>
                      <w:szCs w:val="18"/>
                      <w:highlight w:val="none"/>
                    </w:rPr>
                  </w:pPr>
                  <w:r>
                    <w:rPr>
                      <w:color w:val="auto"/>
                      <w:kern w:val="0"/>
                      <w:sz w:val="18"/>
                      <w:szCs w:val="18"/>
                      <w:highlight w:val="none"/>
                    </w:rPr>
                    <w:t>塑料制品制造</w:t>
                  </w:r>
                </w:p>
              </w:tc>
              <w:tc>
                <w:tcPr>
                  <w:tcW w:w="1194" w:type="pct"/>
                  <w:tcBorders>
                    <w:tl2br w:val="nil"/>
                    <w:tr2bl w:val="nil"/>
                  </w:tcBorders>
                  <w:vAlign w:val="center"/>
                </w:tcPr>
                <w:p w14:paraId="3AFDC067">
                  <w:pPr>
                    <w:jc w:val="center"/>
                    <w:rPr>
                      <w:color w:val="auto"/>
                      <w:sz w:val="18"/>
                      <w:szCs w:val="18"/>
                      <w:highlight w:val="none"/>
                    </w:rPr>
                  </w:pPr>
                  <w:r>
                    <w:rPr>
                      <w:color w:val="auto"/>
                      <w:sz w:val="18"/>
                      <w:szCs w:val="18"/>
                      <w:highlight w:val="none"/>
                    </w:rPr>
                    <w:t>/</w:t>
                  </w:r>
                </w:p>
              </w:tc>
              <w:tc>
                <w:tcPr>
                  <w:tcW w:w="1118" w:type="pct"/>
                  <w:tcBorders>
                    <w:tl2br w:val="nil"/>
                    <w:tr2bl w:val="nil"/>
                  </w:tcBorders>
                  <w:vAlign w:val="center"/>
                </w:tcPr>
                <w:p w14:paraId="2C8B05BA">
                  <w:pPr>
                    <w:jc w:val="center"/>
                    <w:rPr>
                      <w:color w:val="auto"/>
                      <w:kern w:val="0"/>
                      <w:sz w:val="18"/>
                      <w:szCs w:val="18"/>
                      <w:highlight w:val="none"/>
                    </w:rPr>
                  </w:pPr>
                  <w:r>
                    <w:rPr>
                      <w:color w:val="auto"/>
                      <w:kern w:val="0"/>
                      <w:sz w:val="18"/>
                      <w:szCs w:val="18"/>
                      <w:highlight w:val="none"/>
                    </w:rPr>
                    <w:t>1、超薄型(厚度低于0.025mm)塑料袋生产项目 2、聚氯乙烯食品保鲜包装膜生产项目3、不可降解的一次性塑料制品项目</w:t>
                  </w:r>
                </w:p>
              </w:tc>
            </w:tr>
            <w:tr w14:paraId="4CFE0F3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15" w:type="pct"/>
                  <w:vMerge w:val="continue"/>
                  <w:tcBorders>
                    <w:tl2br w:val="nil"/>
                    <w:tr2bl w:val="nil"/>
                  </w:tcBorders>
                  <w:vAlign w:val="center"/>
                </w:tcPr>
                <w:p w14:paraId="3FA8580C">
                  <w:pPr>
                    <w:jc w:val="center"/>
                    <w:rPr>
                      <w:color w:val="auto"/>
                      <w:sz w:val="18"/>
                      <w:szCs w:val="18"/>
                      <w:highlight w:val="none"/>
                    </w:rPr>
                  </w:pPr>
                </w:p>
              </w:tc>
              <w:tc>
                <w:tcPr>
                  <w:tcW w:w="310" w:type="pct"/>
                  <w:vMerge w:val="continue"/>
                  <w:tcBorders>
                    <w:tl2br w:val="nil"/>
                    <w:tr2bl w:val="nil"/>
                  </w:tcBorders>
                  <w:vAlign w:val="center"/>
                </w:tcPr>
                <w:p w14:paraId="75CC5595">
                  <w:pPr>
                    <w:jc w:val="center"/>
                    <w:rPr>
                      <w:color w:val="auto"/>
                      <w:sz w:val="18"/>
                      <w:szCs w:val="18"/>
                      <w:highlight w:val="none"/>
                    </w:rPr>
                  </w:pPr>
                </w:p>
              </w:tc>
              <w:tc>
                <w:tcPr>
                  <w:tcW w:w="791" w:type="pct"/>
                  <w:gridSpan w:val="2"/>
                  <w:vMerge w:val="restart"/>
                  <w:tcBorders>
                    <w:tl2br w:val="nil"/>
                    <w:tr2bl w:val="nil"/>
                  </w:tcBorders>
                  <w:vAlign w:val="center"/>
                </w:tcPr>
                <w:p w14:paraId="7FA9A358">
                  <w:pPr>
                    <w:autoSpaceDE w:val="0"/>
                    <w:autoSpaceDN w:val="0"/>
                    <w:adjustRightInd w:val="0"/>
                    <w:jc w:val="center"/>
                    <w:rPr>
                      <w:color w:val="auto"/>
                      <w:kern w:val="0"/>
                      <w:sz w:val="18"/>
                      <w:szCs w:val="18"/>
                      <w:highlight w:val="none"/>
                    </w:rPr>
                  </w:pPr>
                  <w:r>
                    <w:rPr>
                      <w:color w:val="auto"/>
                      <w:kern w:val="0"/>
                      <w:sz w:val="18"/>
                      <w:szCs w:val="18"/>
                      <w:highlight w:val="none"/>
                    </w:rPr>
                    <w:t>非金属矿物制品业</w:t>
                  </w:r>
                </w:p>
              </w:tc>
              <w:tc>
                <w:tcPr>
                  <w:tcW w:w="868" w:type="pct"/>
                  <w:tcBorders>
                    <w:tl2br w:val="nil"/>
                    <w:tr2bl w:val="nil"/>
                  </w:tcBorders>
                  <w:vAlign w:val="center"/>
                </w:tcPr>
                <w:p w14:paraId="0758F1FD">
                  <w:pPr>
                    <w:jc w:val="center"/>
                    <w:rPr>
                      <w:color w:val="auto"/>
                      <w:kern w:val="0"/>
                      <w:sz w:val="18"/>
                      <w:szCs w:val="18"/>
                      <w:highlight w:val="none"/>
                    </w:rPr>
                  </w:pPr>
                  <w:r>
                    <w:rPr>
                      <w:color w:val="auto"/>
                      <w:kern w:val="0"/>
                      <w:sz w:val="18"/>
                      <w:szCs w:val="18"/>
                      <w:highlight w:val="none"/>
                    </w:rPr>
                    <w:t>水泥制造</w:t>
                  </w:r>
                </w:p>
              </w:tc>
              <w:tc>
                <w:tcPr>
                  <w:tcW w:w="1194" w:type="pct"/>
                  <w:tcBorders>
                    <w:tl2br w:val="nil"/>
                    <w:tr2bl w:val="nil"/>
                  </w:tcBorders>
                  <w:vAlign w:val="center"/>
                </w:tcPr>
                <w:p w14:paraId="2CE2F2BF">
                  <w:pPr>
                    <w:jc w:val="center"/>
                    <w:rPr>
                      <w:color w:val="auto"/>
                      <w:sz w:val="18"/>
                      <w:szCs w:val="18"/>
                      <w:highlight w:val="none"/>
                    </w:rPr>
                  </w:pPr>
                  <w:r>
                    <w:rPr>
                      <w:color w:val="auto"/>
                      <w:sz w:val="18"/>
                      <w:szCs w:val="18"/>
                      <w:highlight w:val="none"/>
                    </w:rPr>
                    <w:t>全部</w:t>
                  </w:r>
                </w:p>
              </w:tc>
              <w:tc>
                <w:tcPr>
                  <w:tcW w:w="1118" w:type="pct"/>
                  <w:tcBorders>
                    <w:tl2br w:val="nil"/>
                    <w:tr2bl w:val="nil"/>
                  </w:tcBorders>
                  <w:vAlign w:val="center"/>
                </w:tcPr>
                <w:p w14:paraId="321D4866">
                  <w:pPr>
                    <w:jc w:val="center"/>
                    <w:rPr>
                      <w:color w:val="auto"/>
                      <w:kern w:val="0"/>
                      <w:sz w:val="18"/>
                      <w:szCs w:val="18"/>
                      <w:highlight w:val="none"/>
                    </w:rPr>
                  </w:pPr>
                  <w:r>
                    <w:rPr>
                      <w:color w:val="auto"/>
                      <w:kern w:val="0"/>
                      <w:sz w:val="18"/>
                      <w:szCs w:val="18"/>
                      <w:highlight w:val="none"/>
                    </w:rPr>
                    <w:t>全部</w:t>
                  </w:r>
                </w:p>
              </w:tc>
            </w:tr>
            <w:tr w14:paraId="4789A1E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15" w:type="pct"/>
                  <w:vMerge w:val="continue"/>
                  <w:tcBorders>
                    <w:tl2br w:val="nil"/>
                    <w:tr2bl w:val="nil"/>
                  </w:tcBorders>
                  <w:vAlign w:val="center"/>
                </w:tcPr>
                <w:p w14:paraId="54C83CE1">
                  <w:pPr>
                    <w:jc w:val="center"/>
                    <w:rPr>
                      <w:color w:val="auto"/>
                      <w:sz w:val="18"/>
                      <w:szCs w:val="18"/>
                      <w:highlight w:val="none"/>
                    </w:rPr>
                  </w:pPr>
                </w:p>
              </w:tc>
              <w:tc>
                <w:tcPr>
                  <w:tcW w:w="310" w:type="pct"/>
                  <w:vMerge w:val="continue"/>
                  <w:tcBorders>
                    <w:tl2br w:val="nil"/>
                    <w:tr2bl w:val="nil"/>
                  </w:tcBorders>
                  <w:vAlign w:val="center"/>
                </w:tcPr>
                <w:p w14:paraId="33566478">
                  <w:pPr>
                    <w:jc w:val="center"/>
                    <w:rPr>
                      <w:color w:val="auto"/>
                      <w:sz w:val="18"/>
                      <w:szCs w:val="18"/>
                      <w:highlight w:val="none"/>
                    </w:rPr>
                  </w:pPr>
                </w:p>
              </w:tc>
              <w:tc>
                <w:tcPr>
                  <w:tcW w:w="791" w:type="pct"/>
                  <w:gridSpan w:val="2"/>
                  <w:vMerge w:val="continue"/>
                  <w:tcBorders>
                    <w:tl2br w:val="nil"/>
                    <w:tr2bl w:val="nil"/>
                  </w:tcBorders>
                  <w:vAlign w:val="center"/>
                </w:tcPr>
                <w:p w14:paraId="219E9CDE">
                  <w:pPr>
                    <w:autoSpaceDE w:val="0"/>
                    <w:autoSpaceDN w:val="0"/>
                    <w:adjustRightInd w:val="0"/>
                    <w:jc w:val="center"/>
                    <w:rPr>
                      <w:color w:val="auto"/>
                      <w:kern w:val="0"/>
                      <w:sz w:val="18"/>
                      <w:szCs w:val="18"/>
                      <w:highlight w:val="none"/>
                    </w:rPr>
                  </w:pPr>
                </w:p>
              </w:tc>
              <w:tc>
                <w:tcPr>
                  <w:tcW w:w="868" w:type="pct"/>
                  <w:tcBorders>
                    <w:tl2br w:val="nil"/>
                    <w:tr2bl w:val="nil"/>
                  </w:tcBorders>
                  <w:vAlign w:val="center"/>
                </w:tcPr>
                <w:p w14:paraId="571E7F9F">
                  <w:pPr>
                    <w:jc w:val="center"/>
                    <w:rPr>
                      <w:color w:val="auto"/>
                      <w:kern w:val="0"/>
                      <w:sz w:val="18"/>
                      <w:szCs w:val="18"/>
                      <w:highlight w:val="none"/>
                    </w:rPr>
                  </w:pPr>
                  <w:r>
                    <w:rPr>
                      <w:color w:val="auto"/>
                      <w:sz w:val="18"/>
                      <w:szCs w:val="18"/>
                      <w:highlight w:val="none"/>
                    </w:rPr>
                    <w:t>玻璃及玻璃制品中的平板玻璃制造</w:t>
                  </w:r>
                </w:p>
              </w:tc>
              <w:tc>
                <w:tcPr>
                  <w:tcW w:w="1194" w:type="pct"/>
                  <w:tcBorders>
                    <w:tl2br w:val="nil"/>
                    <w:tr2bl w:val="nil"/>
                  </w:tcBorders>
                  <w:vAlign w:val="center"/>
                </w:tcPr>
                <w:p w14:paraId="3BB33594">
                  <w:pPr>
                    <w:jc w:val="center"/>
                    <w:rPr>
                      <w:color w:val="auto"/>
                      <w:sz w:val="18"/>
                      <w:szCs w:val="18"/>
                      <w:highlight w:val="none"/>
                    </w:rPr>
                  </w:pPr>
                  <w:r>
                    <w:rPr>
                      <w:color w:val="auto"/>
                      <w:sz w:val="18"/>
                      <w:szCs w:val="18"/>
                      <w:highlight w:val="none"/>
                    </w:rPr>
                    <w:t>采用浮法生产工艺的除外</w:t>
                  </w:r>
                </w:p>
              </w:tc>
              <w:tc>
                <w:tcPr>
                  <w:tcW w:w="1118" w:type="pct"/>
                  <w:tcBorders>
                    <w:tl2br w:val="nil"/>
                    <w:tr2bl w:val="nil"/>
                  </w:tcBorders>
                  <w:vAlign w:val="center"/>
                </w:tcPr>
                <w:p w14:paraId="12CA488B">
                  <w:pPr>
                    <w:jc w:val="center"/>
                    <w:rPr>
                      <w:color w:val="auto"/>
                      <w:kern w:val="0"/>
                      <w:sz w:val="18"/>
                      <w:szCs w:val="18"/>
                      <w:highlight w:val="none"/>
                    </w:rPr>
                  </w:pPr>
                  <w:r>
                    <w:rPr>
                      <w:color w:val="auto"/>
                      <w:kern w:val="0"/>
                      <w:sz w:val="18"/>
                      <w:szCs w:val="18"/>
                      <w:highlight w:val="none"/>
                    </w:rPr>
                    <w:t>/</w:t>
                  </w:r>
                </w:p>
              </w:tc>
            </w:tr>
            <w:tr w14:paraId="47EEB1A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15" w:type="pct"/>
                  <w:vMerge w:val="continue"/>
                  <w:tcBorders>
                    <w:tl2br w:val="nil"/>
                    <w:tr2bl w:val="nil"/>
                  </w:tcBorders>
                  <w:vAlign w:val="center"/>
                </w:tcPr>
                <w:p w14:paraId="428ADD9D">
                  <w:pPr>
                    <w:jc w:val="center"/>
                    <w:rPr>
                      <w:color w:val="auto"/>
                      <w:sz w:val="18"/>
                      <w:szCs w:val="18"/>
                      <w:highlight w:val="none"/>
                    </w:rPr>
                  </w:pPr>
                </w:p>
              </w:tc>
              <w:tc>
                <w:tcPr>
                  <w:tcW w:w="310" w:type="pct"/>
                  <w:vMerge w:val="continue"/>
                  <w:tcBorders>
                    <w:tl2br w:val="nil"/>
                    <w:tr2bl w:val="nil"/>
                  </w:tcBorders>
                  <w:vAlign w:val="center"/>
                </w:tcPr>
                <w:p w14:paraId="79161FE2">
                  <w:pPr>
                    <w:jc w:val="center"/>
                    <w:rPr>
                      <w:color w:val="auto"/>
                      <w:sz w:val="18"/>
                      <w:szCs w:val="18"/>
                      <w:highlight w:val="none"/>
                    </w:rPr>
                  </w:pPr>
                </w:p>
              </w:tc>
              <w:tc>
                <w:tcPr>
                  <w:tcW w:w="791" w:type="pct"/>
                  <w:gridSpan w:val="2"/>
                  <w:vMerge w:val="continue"/>
                  <w:tcBorders>
                    <w:tl2br w:val="nil"/>
                    <w:tr2bl w:val="nil"/>
                  </w:tcBorders>
                  <w:vAlign w:val="center"/>
                </w:tcPr>
                <w:p w14:paraId="05397BED">
                  <w:pPr>
                    <w:jc w:val="center"/>
                    <w:rPr>
                      <w:color w:val="auto"/>
                      <w:kern w:val="0"/>
                      <w:sz w:val="18"/>
                      <w:szCs w:val="18"/>
                      <w:highlight w:val="none"/>
                    </w:rPr>
                  </w:pPr>
                </w:p>
              </w:tc>
              <w:tc>
                <w:tcPr>
                  <w:tcW w:w="868" w:type="pct"/>
                  <w:tcBorders>
                    <w:tl2br w:val="nil"/>
                    <w:tr2bl w:val="nil"/>
                  </w:tcBorders>
                  <w:vAlign w:val="center"/>
                </w:tcPr>
                <w:p w14:paraId="08037A4F">
                  <w:pPr>
                    <w:jc w:val="center"/>
                    <w:rPr>
                      <w:color w:val="auto"/>
                      <w:kern w:val="0"/>
                      <w:sz w:val="18"/>
                      <w:szCs w:val="18"/>
                      <w:highlight w:val="none"/>
                    </w:rPr>
                  </w:pPr>
                  <w:r>
                    <w:rPr>
                      <w:color w:val="auto"/>
                      <w:sz w:val="18"/>
                      <w:szCs w:val="18"/>
                      <w:highlight w:val="none"/>
                    </w:rPr>
                    <w:t>耐火材料及其制品（石棉制品）</w:t>
                  </w:r>
                </w:p>
              </w:tc>
              <w:tc>
                <w:tcPr>
                  <w:tcW w:w="1194" w:type="pct"/>
                  <w:tcBorders>
                    <w:tl2br w:val="nil"/>
                    <w:tr2bl w:val="nil"/>
                  </w:tcBorders>
                  <w:vAlign w:val="center"/>
                </w:tcPr>
                <w:p w14:paraId="6D62D4D0">
                  <w:pPr>
                    <w:jc w:val="center"/>
                    <w:rPr>
                      <w:color w:val="auto"/>
                      <w:sz w:val="18"/>
                      <w:szCs w:val="18"/>
                      <w:highlight w:val="none"/>
                    </w:rPr>
                  </w:pPr>
                  <w:r>
                    <w:rPr>
                      <w:color w:val="auto"/>
                      <w:sz w:val="18"/>
                      <w:szCs w:val="18"/>
                      <w:highlight w:val="none"/>
                    </w:rPr>
                    <w:t>全部</w:t>
                  </w:r>
                </w:p>
              </w:tc>
              <w:tc>
                <w:tcPr>
                  <w:tcW w:w="1118" w:type="pct"/>
                  <w:tcBorders>
                    <w:tl2br w:val="nil"/>
                    <w:tr2bl w:val="nil"/>
                  </w:tcBorders>
                  <w:vAlign w:val="center"/>
                </w:tcPr>
                <w:p w14:paraId="10327A63">
                  <w:pPr>
                    <w:jc w:val="center"/>
                    <w:rPr>
                      <w:color w:val="auto"/>
                      <w:sz w:val="18"/>
                      <w:szCs w:val="18"/>
                      <w:highlight w:val="none"/>
                    </w:rPr>
                  </w:pPr>
                  <w:r>
                    <w:rPr>
                      <w:color w:val="auto"/>
                      <w:sz w:val="18"/>
                      <w:szCs w:val="18"/>
                      <w:highlight w:val="none"/>
                    </w:rPr>
                    <w:t>全部</w:t>
                  </w:r>
                </w:p>
              </w:tc>
            </w:tr>
            <w:tr w14:paraId="05DBCFF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15" w:type="pct"/>
                  <w:vMerge w:val="continue"/>
                  <w:tcBorders>
                    <w:tl2br w:val="nil"/>
                    <w:tr2bl w:val="nil"/>
                  </w:tcBorders>
                  <w:vAlign w:val="center"/>
                </w:tcPr>
                <w:p w14:paraId="6259AC79">
                  <w:pPr>
                    <w:jc w:val="center"/>
                    <w:rPr>
                      <w:color w:val="auto"/>
                      <w:sz w:val="18"/>
                      <w:szCs w:val="18"/>
                      <w:highlight w:val="none"/>
                    </w:rPr>
                  </w:pPr>
                </w:p>
              </w:tc>
              <w:tc>
                <w:tcPr>
                  <w:tcW w:w="310" w:type="pct"/>
                  <w:vMerge w:val="continue"/>
                  <w:tcBorders>
                    <w:tl2br w:val="nil"/>
                    <w:tr2bl w:val="nil"/>
                  </w:tcBorders>
                  <w:vAlign w:val="center"/>
                </w:tcPr>
                <w:p w14:paraId="415CDF74">
                  <w:pPr>
                    <w:jc w:val="center"/>
                    <w:rPr>
                      <w:color w:val="auto"/>
                      <w:sz w:val="18"/>
                      <w:szCs w:val="18"/>
                      <w:highlight w:val="none"/>
                    </w:rPr>
                  </w:pPr>
                </w:p>
              </w:tc>
              <w:tc>
                <w:tcPr>
                  <w:tcW w:w="791" w:type="pct"/>
                  <w:gridSpan w:val="2"/>
                  <w:vMerge w:val="continue"/>
                  <w:tcBorders>
                    <w:tl2br w:val="nil"/>
                    <w:tr2bl w:val="nil"/>
                  </w:tcBorders>
                  <w:vAlign w:val="center"/>
                </w:tcPr>
                <w:p w14:paraId="5D78A4F2">
                  <w:pPr>
                    <w:jc w:val="center"/>
                    <w:rPr>
                      <w:color w:val="auto"/>
                      <w:sz w:val="18"/>
                      <w:szCs w:val="18"/>
                      <w:highlight w:val="none"/>
                    </w:rPr>
                  </w:pPr>
                </w:p>
              </w:tc>
              <w:tc>
                <w:tcPr>
                  <w:tcW w:w="868" w:type="pct"/>
                  <w:tcBorders>
                    <w:tl2br w:val="nil"/>
                    <w:tr2bl w:val="nil"/>
                  </w:tcBorders>
                  <w:vAlign w:val="center"/>
                </w:tcPr>
                <w:p w14:paraId="1A7FAE80">
                  <w:pPr>
                    <w:jc w:val="center"/>
                    <w:rPr>
                      <w:color w:val="auto"/>
                      <w:sz w:val="18"/>
                      <w:szCs w:val="18"/>
                      <w:highlight w:val="none"/>
                    </w:rPr>
                  </w:pPr>
                  <w:r>
                    <w:rPr>
                      <w:color w:val="auto"/>
                      <w:sz w:val="18"/>
                      <w:szCs w:val="18"/>
                      <w:highlight w:val="none"/>
                    </w:rPr>
                    <w:t>石墨及其他非金属矿物制品（含焙烧的石墨、碳素制品）</w:t>
                  </w:r>
                </w:p>
              </w:tc>
              <w:tc>
                <w:tcPr>
                  <w:tcW w:w="1194" w:type="pct"/>
                  <w:tcBorders>
                    <w:tl2br w:val="nil"/>
                    <w:tr2bl w:val="nil"/>
                  </w:tcBorders>
                  <w:vAlign w:val="center"/>
                </w:tcPr>
                <w:p w14:paraId="7B07A0D2">
                  <w:pPr>
                    <w:jc w:val="center"/>
                    <w:rPr>
                      <w:color w:val="auto"/>
                      <w:sz w:val="18"/>
                      <w:szCs w:val="18"/>
                      <w:highlight w:val="none"/>
                    </w:rPr>
                  </w:pPr>
                  <w:r>
                    <w:rPr>
                      <w:color w:val="auto"/>
                      <w:sz w:val="18"/>
                      <w:szCs w:val="18"/>
                      <w:highlight w:val="none"/>
                    </w:rPr>
                    <w:t>全部</w:t>
                  </w:r>
                </w:p>
              </w:tc>
              <w:tc>
                <w:tcPr>
                  <w:tcW w:w="1118" w:type="pct"/>
                  <w:tcBorders>
                    <w:tl2br w:val="nil"/>
                    <w:tr2bl w:val="nil"/>
                  </w:tcBorders>
                  <w:vAlign w:val="center"/>
                </w:tcPr>
                <w:p w14:paraId="689C95FB">
                  <w:pPr>
                    <w:jc w:val="center"/>
                    <w:rPr>
                      <w:color w:val="auto"/>
                      <w:sz w:val="18"/>
                      <w:szCs w:val="18"/>
                      <w:highlight w:val="none"/>
                    </w:rPr>
                  </w:pPr>
                  <w:r>
                    <w:rPr>
                      <w:color w:val="auto"/>
                      <w:sz w:val="18"/>
                      <w:szCs w:val="18"/>
                      <w:highlight w:val="none"/>
                    </w:rPr>
                    <w:t>全部</w:t>
                  </w:r>
                </w:p>
              </w:tc>
            </w:tr>
            <w:tr w14:paraId="4A21C08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15" w:type="pct"/>
                  <w:vMerge w:val="continue"/>
                  <w:tcBorders>
                    <w:tl2br w:val="nil"/>
                    <w:tr2bl w:val="nil"/>
                  </w:tcBorders>
                  <w:vAlign w:val="center"/>
                </w:tcPr>
                <w:p w14:paraId="129CE21F">
                  <w:pPr>
                    <w:jc w:val="center"/>
                    <w:rPr>
                      <w:color w:val="auto"/>
                      <w:sz w:val="18"/>
                      <w:szCs w:val="18"/>
                      <w:highlight w:val="none"/>
                    </w:rPr>
                  </w:pPr>
                </w:p>
              </w:tc>
              <w:tc>
                <w:tcPr>
                  <w:tcW w:w="310" w:type="pct"/>
                  <w:vMerge w:val="continue"/>
                  <w:tcBorders>
                    <w:tl2br w:val="nil"/>
                    <w:tr2bl w:val="nil"/>
                  </w:tcBorders>
                  <w:vAlign w:val="center"/>
                </w:tcPr>
                <w:p w14:paraId="4D9FDE9E">
                  <w:pPr>
                    <w:jc w:val="center"/>
                    <w:rPr>
                      <w:color w:val="auto"/>
                      <w:sz w:val="18"/>
                      <w:szCs w:val="18"/>
                      <w:highlight w:val="none"/>
                    </w:rPr>
                  </w:pPr>
                </w:p>
              </w:tc>
              <w:tc>
                <w:tcPr>
                  <w:tcW w:w="1660" w:type="pct"/>
                  <w:gridSpan w:val="3"/>
                  <w:tcBorders>
                    <w:tl2br w:val="nil"/>
                    <w:tr2bl w:val="nil"/>
                  </w:tcBorders>
                  <w:vAlign w:val="center"/>
                </w:tcPr>
                <w:p w14:paraId="18C46722">
                  <w:pPr>
                    <w:autoSpaceDE w:val="0"/>
                    <w:autoSpaceDN w:val="0"/>
                    <w:adjustRightInd w:val="0"/>
                    <w:jc w:val="center"/>
                    <w:rPr>
                      <w:color w:val="auto"/>
                      <w:kern w:val="0"/>
                      <w:sz w:val="18"/>
                      <w:szCs w:val="18"/>
                      <w:highlight w:val="none"/>
                    </w:rPr>
                  </w:pPr>
                  <w:r>
                    <w:rPr>
                      <w:color w:val="auto"/>
                      <w:kern w:val="0"/>
                      <w:sz w:val="18"/>
                      <w:szCs w:val="18"/>
                      <w:highlight w:val="none"/>
                    </w:rPr>
                    <w:t>黑色金属冶炼和压</w:t>
                  </w:r>
                </w:p>
                <w:p w14:paraId="23A04D3D">
                  <w:pPr>
                    <w:jc w:val="center"/>
                    <w:rPr>
                      <w:color w:val="auto"/>
                      <w:sz w:val="18"/>
                      <w:szCs w:val="18"/>
                      <w:highlight w:val="none"/>
                    </w:rPr>
                  </w:pPr>
                  <w:r>
                    <w:rPr>
                      <w:color w:val="auto"/>
                      <w:kern w:val="0"/>
                      <w:sz w:val="18"/>
                      <w:szCs w:val="18"/>
                      <w:highlight w:val="none"/>
                    </w:rPr>
                    <w:t>延加工业</w:t>
                  </w:r>
                </w:p>
              </w:tc>
              <w:tc>
                <w:tcPr>
                  <w:tcW w:w="1194" w:type="pct"/>
                  <w:tcBorders>
                    <w:tl2br w:val="nil"/>
                    <w:tr2bl w:val="nil"/>
                  </w:tcBorders>
                  <w:vAlign w:val="center"/>
                </w:tcPr>
                <w:p w14:paraId="2506C41E">
                  <w:pPr>
                    <w:jc w:val="center"/>
                    <w:rPr>
                      <w:color w:val="auto"/>
                      <w:sz w:val="18"/>
                      <w:szCs w:val="18"/>
                      <w:highlight w:val="none"/>
                    </w:rPr>
                  </w:pPr>
                  <w:r>
                    <w:rPr>
                      <w:color w:val="auto"/>
                      <w:sz w:val="18"/>
                      <w:szCs w:val="18"/>
                      <w:highlight w:val="none"/>
                    </w:rPr>
                    <w:t>有冶炼工艺</w:t>
                  </w:r>
                </w:p>
              </w:tc>
              <w:tc>
                <w:tcPr>
                  <w:tcW w:w="1118" w:type="pct"/>
                  <w:tcBorders>
                    <w:tl2br w:val="nil"/>
                    <w:tr2bl w:val="nil"/>
                  </w:tcBorders>
                  <w:vAlign w:val="center"/>
                </w:tcPr>
                <w:p w14:paraId="2C632B1C">
                  <w:pPr>
                    <w:jc w:val="center"/>
                    <w:rPr>
                      <w:color w:val="auto"/>
                      <w:sz w:val="18"/>
                      <w:szCs w:val="18"/>
                      <w:highlight w:val="none"/>
                    </w:rPr>
                  </w:pPr>
                  <w:r>
                    <w:rPr>
                      <w:color w:val="auto"/>
                      <w:sz w:val="18"/>
                      <w:szCs w:val="18"/>
                      <w:highlight w:val="none"/>
                    </w:rPr>
                    <w:t>1、炼铁、球团、烧结2、炼钢3、铁合金制造；锰、铬冶炼</w:t>
                  </w:r>
                </w:p>
              </w:tc>
            </w:tr>
            <w:tr w14:paraId="2035A65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15" w:type="pct"/>
                  <w:vMerge w:val="continue"/>
                  <w:tcBorders>
                    <w:tl2br w:val="nil"/>
                    <w:tr2bl w:val="nil"/>
                  </w:tcBorders>
                  <w:vAlign w:val="center"/>
                </w:tcPr>
                <w:p w14:paraId="211E7E5C">
                  <w:pPr>
                    <w:jc w:val="center"/>
                    <w:rPr>
                      <w:color w:val="auto"/>
                      <w:sz w:val="18"/>
                      <w:szCs w:val="18"/>
                      <w:highlight w:val="none"/>
                    </w:rPr>
                  </w:pPr>
                </w:p>
              </w:tc>
              <w:tc>
                <w:tcPr>
                  <w:tcW w:w="310" w:type="pct"/>
                  <w:vMerge w:val="continue"/>
                  <w:tcBorders>
                    <w:tl2br w:val="nil"/>
                    <w:tr2bl w:val="nil"/>
                  </w:tcBorders>
                  <w:vAlign w:val="center"/>
                </w:tcPr>
                <w:p w14:paraId="763AEB29">
                  <w:pPr>
                    <w:jc w:val="center"/>
                    <w:rPr>
                      <w:color w:val="auto"/>
                      <w:sz w:val="18"/>
                      <w:szCs w:val="18"/>
                      <w:highlight w:val="none"/>
                    </w:rPr>
                  </w:pPr>
                </w:p>
              </w:tc>
              <w:tc>
                <w:tcPr>
                  <w:tcW w:w="1660" w:type="pct"/>
                  <w:gridSpan w:val="3"/>
                  <w:tcBorders>
                    <w:tl2br w:val="nil"/>
                    <w:tr2bl w:val="nil"/>
                  </w:tcBorders>
                  <w:vAlign w:val="center"/>
                </w:tcPr>
                <w:p w14:paraId="0486A539">
                  <w:pPr>
                    <w:autoSpaceDE w:val="0"/>
                    <w:autoSpaceDN w:val="0"/>
                    <w:adjustRightInd w:val="0"/>
                    <w:jc w:val="center"/>
                    <w:rPr>
                      <w:color w:val="auto"/>
                      <w:kern w:val="0"/>
                      <w:sz w:val="18"/>
                      <w:szCs w:val="18"/>
                      <w:highlight w:val="none"/>
                    </w:rPr>
                  </w:pPr>
                  <w:r>
                    <w:rPr>
                      <w:color w:val="auto"/>
                      <w:kern w:val="0"/>
                      <w:sz w:val="18"/>
                      <w:szCs w:val="18"/>
                      <w:highlight w:val="none"/>
                    </w:rPr>
                    <w:t>农副食品加工业</w:t>
                  </w:r>
                </w:p>
              </w:tc>
              <w:tc>
                <w:tcPr>
                  <w:tcW w:w="1194" w:type="pct"/>
                  <w:tcBorders>
                    <w:tl2br w:val="nil"/>
                    <w:tr2bl w:val="nil"/>
                  </w:tcBorders>
                  <w:vAlign w:val="center"/>
                </w:tcPr>
                <w:p w14:paraId="24EA7392">
                  <w:pPr>
                    <w:jc w:val="center"/>
                    <w:rPr>
                      <w:color w:val="auto"/>
                      <w:sz w:val="18"/>
                      <w:szCs w:val="18"/>
                      <w:highlight w:val="none"/>
                    </w:rPr>
                  </w:pPr>
                  <w:r>
                    <w:rPr>
                      <w:color w:val="auto"/>
                      <w:sz w:val="18"/>
                      <w:szCs w:val="18"/>
                      <w:highlight w:val="none"/>
                    </w:rPr>
                    <w:t>/</w:t>
                  </w:r>
                </w:p>
              </w:tc>
              <w:tc>
                <w:tcPr>
                  <w:tcW w:w="1118" w:type="pct"/>
                  <w:tcBorders>
                    <w:tl2br w:val="nil"/>
                    <w:tr2bl w:val="nil"/>
                  </w:tcBorders>
                  <w:vAlign w:val="center"/>
                </w:tcPr>
                <w:p w14:paraId="77F6E62F">
                  <w:pPr>
                    <w:jc w:val="center"/>
                    <w:rPr>
                      <w:color w:val="auto"/>
                      <w:sz w:val="18"/>
                      <w:szCs w:val="18"/>
                      <w:highlight w:val="none"/>
                    </w:rPr>
                  </w:pPr>
                  <w:r>
                    <w:rPr>
                      <w:color w:val="auto"/>
                      <w:sz w:val="18"/>
                      <w:szCs w:val="18"/>
                      <w:highlight w:val="none"/>
                    </w:rPr>
                    <w:t>1、年产5000吨以下的淀粉生产建设项目，2、生产加工面积小于5000平方米的食品生产加工项目，3、动物油熬制建设项目</w:t>
                  </w:r>
                </w:p>
              </w:tc>
            </w:tr>
            <w:tr w14:paraId="6EEC269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15" w:type="pct"/>
                  <w:vMerge w:val="continue"/>
                  <w:tcBorders>
                    <w:tl2br w:val="nil"/>
                    <w:tr2bl w:val="nil"/>
                  </w:tcBorders>
                  <w:vAlign w:val="center"/>
                </w:tcPr>
                <w:p w14:paraId="07351B6B">
                  <w:pPr>
                    <w:jc w:val="center"/>
                    <w:rPr>
                      <w:color w:val="auto"/>
                      <w:sz w:val="18"/>
                      <w:szCs w:val="18"/>
                      <w:highlight w:val="none"/>
                    </w:rPr>
                  </w:pPr>
                </w:p>
              </w:tc>
              <w:tc>
                <w:tcPr>
                  <w:tcW w:w="310" w:type="pct"/>
                  <w:vMerge w:val="continue"/>
                  <w:tcBorders>
                    <w:tl2br w:val="nil"/>
                    <w:tr2bl w:val="nil"/>
                  </w:tcBorders>
                  <w:vAlign w:val="center"/>
                </w:tcPr>
                <w:p w14:paraId="11B1A8F7">
                  <w:pPr>
                    <w:jc w:val="center"/>
                    <w:rPr>
                      <w:color w:val="auto"/>
                      <w:sz w:val="18"/>
                      <w:szCs w:val="18"/>
                      <w:highlight w:val="none"/>
                    </w:rPr>
                  </w:pPr>
                </w:p>
              </w:tc>
              <w:tc>
                <w:tcPr>
                  <w:tcW w:w="1660" w:type="pct"/>
                  <w:gridSpan w:val="3"/>
                  <w:tcBorders>
                    <w:tl2br w:val="nil"/>
                    <w:tr2bl w:val="nil"/>
                  </w:tcBorders>
                  <w:vAlign w:val="center"/>
                </w:tcPr>
                <w:p w14:paraId="4ABD2599">
                  <w:pPr>
                    <w:autoSpaceDE w:val="0"/>
                    <w:autoSpaceDN w:val="0"/>
                    <w:adjustRightInd w:val="0"/>
                    <w:jc w:val="center"/>
                    <w:rPr>
                      <w:color w:val="auto"/>
                      <w:kern w:val="0"/>
                      <w:sz w:val="18"/>
                      <w:szCs w:val="18"/>
                      <w:highlight w:val="none"/>
                    </w:rPr>
                  </w:pPr>
                  <w:r>
                    <w:rPr>
                      <w:color w:val="auto"/>
                      <w:kern w:val="0"/>
                      <w:sz w:val="18"/>
                      <w:szCs w:val="18"/>
                      <w:highlight w:val="none"/>
                    </w:rPr>
                    <w:t>废弃资源综合利用业</w:t>
                  </w:r>
                </w:p>
              </w:tc>
              <w:tc>
                <w:tcPr>
                  <w:tcW w:w="1194" w:type="pct"/>
                  <w:tcBorders>
                    <w:tl2br w:val="nil"/>
                    <w:tr2bl w:val="nil"/>
                  </w:tcBorders>
                  <w:vAlign w:val="center"/>
                </w:tcPr>
                <w:p w14:paraId="7D5BC876">
                  <w:pPr>
                    <w:jc w:val="center"/>
                    <w:rPr>
                      <w:color w:val="auto"/>
                      <w:sz w:val="18"/>
                      <w:szCs w:val="18"/>
                      <w:highlight w:val="none"/>
                    </w:rPr>
                  </w:pPr>
                  <w:r>
                    <w:rPr>
                      <w:color w:val="auto"/>
                      <w:sz w:val="18"/>
                      <w:szCs w:val="18"/>
                      <w:highlight w:val="none"/>
                    </w:rPr>
                    <w:t>/</w:t>
                  </w:r>
                </w:p>
              </w:tc>
              <w:tc>
                <w:tcPr>
                  <w:tcW w:w="1118" w:type="pct"/>
                  <w:tcBorders>
                    <w:tl2br w:val="nil"/>
                    <w:tr2bl w:val="nil"/>
                  </w:tcBorders>
                  <w:vAlign w:val="center"/>
                </w:tcPr>
                <w:p w14:paraId="293A8FEC">
                  <w:pPr>
                    <w:jc w:val="center"/>
                    <w:rPr>
                      <w:color w:val="auto"/>
                      <w:sz w:val="18"/>
                      <w:szCs w:val="18"/>
                      <w:highlight w:val="none"/>
                    </w:rPr>
                  </w:pPr>
                  <w:r>
                    <w:rPr>
                      <w:color w:val="auto"/>
                      <w:sz w:val="18"/>
                      <w:szCs w:val="18"/>
                      <w:highlight w:val="none"/>
                    </w:rPr>
                    <w:t>进口固体废物处置利用项目</w:t>
                  </w:r>
                </w:p>
              </w:tc>
            </w:tr>
            <w:tr w14:paraId="07A4399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15" w:type="pct"/>
                  <w:vMerge w:val="continue"/>
                  <w:tcBorders>
                    <w:tl2br w:val="nil"/>
                    <w:tr2bl w:val="nil"/>
                  </w:tcBorders>
                  <w:vAlign w:val="center"/>
                </w:tcPr>
                <w:p w14:paraId="6D16CFEE">
                  <w:pPr>
                    <w:jc w:val="center"/>
                    <w:rPr>
                      <w:color w:val="auto"/>
                      <w:sz w:val="18"/>
                      <w:szCs w:val="18"/>
                      <w:highlight w:val="none"/>
                    </w:rPr>
                  </w:pPr>
                </w:p>
              </w:tc>
              <w:tc>
                <w:tcPr>
                  <w:tcW w:w="310" w:type="pct"/>
                  <w:vMerge w:val="continue"/>
                  <w:tcBorders>
                    <w:tl2br w:val="nil"/>
                    <w:tr2bl w:val="nil"/>
                  </w:tcBorders>
                  <w:vAlign w:val="center"/>
                </w:tcPr>
                <w:p w14:paraId="10F0587A">
                  <w:pPr>
                    <w:jc w:val="center"/>
                    <w:rPr>
                      <w:color w:val="auto"/>
                      <w:sz w:val="18"/>
                      <w:szCs w:val="18"/>
                      <w:highlight w:val="none"/>
                    </w:rPr>
                  </w:pPr>
                </w:p>
              </w:tc>
              <w:tc>
                <w:tcPr>
                  <w:tcW w:w="3973" w:type="pct"/>
                  <w:gridSpan w:val="5"/>
                  <w:tcBorders>
                    <w:tl2br w:val="nil"/>
                    <w:tr2bl w:val="nil"/>
                  </w:tcBorders>
                  <w:vAlign w:val="center"/>
                </w:tcPr>
                <w:p w14:paraId="332B197A">
                  <w:pPr>
                    <w:jc w:val="center"/>
                    <w:rPr>
                      <w:color w:val="auto"/>
                      <w:sz w:val="18"/>
                      <w:szCs w:val="18"/>
                      <w:highlight w:val="none"/>
                    </w:rPr>
                  </w:pPr>
                  <w:r>
                    <w:rPr>
                      <w:color w:val="auto"/>
                      <w:sz w:val="18"/>
                      <w:szCs w:val="18"/>
                      <w:highlight w:val="none"/>
                    </w:rPr>
                    <w:t>1、其他行业中纯表面涂装（喷漆、喷塑、浸漆、电泳）加工建设项目；2、水洗碗碟、被套、床单、衣服项目</w:t>
                  </w:r>
                </w:p>
              </w:tc>
            </w:tr>
            <w:tr w14:paraId="11AC89F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15" w:type="pct"/>
                  <w:vMerge w:val="continue"/>
                  <w:tcBorders>
                    <w:tl2br w:val="nil"/>
                    <w:tr2bl w:val="nil"/>
                  </w:tcBorders>
                  <w:vAlign w:val="center"/>
                </w:tcPr>
                <w:p w14:paraId="23D11BFB">
                  <w:pPr>
                    <w:jc w:val="center"/>
                    <w:rPr>
                      <w:color w:val="auto"/>
                      <w:sz w:val="18"/>
                      <w:szCs w:val="18"/>
                      <w:highlight w:val="none"/>
                    </w:rPr>
                  </w:pPr>
                </w:p>
              </w:tc>
              <w:tc>
                <w:tcPr>
                  <w:tcW w:w="310" w:type="pct"/>
                  <w:vMerge w:val="restart"/>
                  <w:tcBorders>
                    <w:tl2br w:val="nil"/>
                    <w:tr2bl w:val="nil"/>
                  </w:tcBorders>
                  <w:vAlign w:val="center"/>
                </w:tcPr>
                <w:p w14:paraId="1A240B11">
                  <w:pPr>
                    <w:jc w:val="center"/>
                    <w:rPr>
                      <w:color w:val="auto"/>
                      <w:sz w:val="18"/>
                      <w:szCs w:val="18"/>
                      <w:highlight w:val="none"/>
                    </w:rPr>
                  </w:pPr>
                  <w:r>
                    <w:rPr>
                      <w:color w:val="auto"/>
                      <w:sz w:val="18"/>
                      <w:szCs w:val="18"/>
                      <w:highlight w:val="none"/>
                    </w:rPr>
                    <w:t>限制准入类</w:t>
                  </w:r>
                </w:p>
              </w:tc>
              <w:tc>
                <w:tcPr>
                  <w:tcW w:w="1660" w:type="pct"/>
                  <w:gridSpan w:val="3"/>
                  <w:tcBorders>
                    <w:tl2br w:val="nil"/>
                    <w:tr2bl w:val="nil"/>
                  </w:tcBorders>
                  <w:vAlign w:val="center"/>
                </w:tcPr>
                <w:p w14:paraId="6850462E">
                  <w:pPr>
                    <w:jc w:val="center"/>
                    <w:rPr>
                      <w:color w:val="auto"/>
                      <w:sz w:val="18"/>
                      <w:szCs w:val="18"/>
                      <w:highlight w:val="none"/>
                    </w:rPr>
                  </w:pPr>
                  <w:r>
                    <w:rPr>
                      <w:color w:val="auto"/>
                      <w:sz w:val="18"/>
                      <w:szCs w:val="18"/>
                      <w:highlight w:val="none"/>
                    </w:rPr>
                    <w:t>纺织品制造业</w:t>
                  </w:r>
                </w:p>
              </w:tc>
              <w:tc>
                <w:tcPr>
                  <w:tcW w:w="1194" w:type="pct"/>
                  <w:tcBorders>
                    <w:tl2br w:val="nil"/>
                    <w:tr2bl w:val="nil"/>
                  </w:tcBorders>
                  <w:vAlign w:val="center"/>
                </w:tcPr>
                <w:p w14:paraId="7042A5DC">
                  <w:pPr>
                    <w:jc w:val="center"/>
                    <w:rPr>
                      <w:color w:val="auto"/>
                      <w:sz w:val="18"/>
                      <w:szCs w:val="18"/>
                      <w:highlight w:val="none"/>
                    </w:rPr>
                  </w:pPr>
                  <w:r>
                    <w:rPr>
                      <w:color w:val="auto"/>
                      <w:sz w:val="18"/>
                      <w:szCs w:val="18"/>
                      <w:highlight w:val="none"/>
                    </w:rPr>
                    <w:t>有染整工段</w:t>
                  </w:r>
                </w:p>
              </w:tc>
              <w:tc>
                <w:tcPr>
                  <w:tcW w:w="1118" w:type="pct"/>
                  <w:tcBorders>
                    <w:tl2br w:val="nil"/>
                    <w:tr2bl w:val="nil"/>
                  </w:tcBorders>
                  <w:vAlign w:val="center"/>
                </w:tcPr>
                <w:p w14:paraId="415315F7">
                  <w:pPr>
                    <w:jc w:val="center"/>
                    <w:rPr>
                      <w:color w:val="auto"/>
                      <w:sz w:val="18"/>
                      <w:szCs w:val="18"/>
                      <w:highlight w:val="none"/>
                    </w:rPr>
                  </w:pPr>
                </w:p>
              </w:tc>
            </w:tr>
            <w:tr w14:paraId="24BB704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15" w:type="pct"/>
                  <w:vMerge w:val="continue"/>
                  <w:tcBorders>
                    <w:tl2br w:val="nil"/>
                    <w:tr2bl w:val="nil"/>
                  </w:tcBorders>
                  <w:vAlign w:val="center"/>
                </w:tcPr>
                <w:p w14:paraId="5BA95785">
                  <w:pPr>
                    <w:jc w:val="center"/>
                    <w:rPr>
                      <w:color w:val="auto"/>
                      <w:sz w:val="18"/>
                      <w:szCs w:val="18"/>
                      <w:highlight w:val="none"/>
                    </w:rPr>
                  </w:pPr>
                </w:p>
              </w:tc>
              <w:tc>
                <w:tcPr>
                  <w:tcW w:w="310" w:type="pct"/>
                  <w:vMerge w:val="continue"/>
                  <w:tcBorders>
                    <w:tl2br w:val="nil"/>
                    <w:tr2bl w:val="nil"/>
                  </w:tcBorders>
                  <w:vAlign w:val="center"/>
                </w:tcPr>
                <w:p w14:paraId="3CCBC95A">
                  <w:pPr>
                    <w:jc w:val="center"/>
                    <w:rPr>
                      <w:color w:val="auto"/>
                      <w:sz w:val="18"/>
                      <w:szCs w:val="18"/>
                      <w:highlight w:val="none"/>
                    </w:rPr>
                  </w:pPr>
                </w:p>
              </w:tc>
              <w:tc>
                <w:tcPr>
                  <w:tcW w:w="1660" w:type="pct"/>
                  <w:gridSpan w:val="3"/>
                  <w:tcBorders>
                    <w:tl2br w:val="nil"/>
                    <w:tr2bl w:val="nil"/>
                  </w:tcBorders>
                  <w:vAlign w:val="center"/>
                </w:tcPr>
                <w:p w14:paraId="2D8B5270">
                  <w:pPr>
                    <w:autoSpaceDE w:val="0"/>
                    <w:autoSpaceDN w:val="0"/>
                    <w:adjustRightInd w:val="0"/>
                    <w:jc w:val="center"/>
                    <w:rPr>
                      <w:color w:val="auto"/>
                      <w:kern w:val="0"/>
                      <w:sz w:val="18"/>
                      <w:szCs w:val="18"/>
                      <w:highlight w:val="none"/>
                    </w:rPr>
                  </w:pPr>
                  <w:r>
                    <w:rPr>
                      <w:color w:val="auto"/>
                      <w:kern w:val="0"/>
                      <w:sz w:val="18"/>
                      <w:szCs w:val="18"/>
                      <w:highlight w:val="none"/>
                    </w:rPr>
                    <w:t>化学原料和化学制品制造业</w:t>
                  </w:r>
                </w:p>
              </w:tc>
              <w:tc>
                <w:tcPr>
                  <w:tcW w:w="1194" w:type="pct"/>
                  <w:tcBorders>
                    <w:tl2br w:val="nil"/>
                    <w:tr2bl w:val="nil"/>
                  </w:tcBorders>
                  <w:vAlign w:val="center"/>
                </w:tcPr>
                <w:p w14:paraId="1664D78B">
                  <w:pPr>
                    <w:jc w:val="center"/>
                    <w:rPr>
                      <w:color w:val="auto"/>
                      <w:sz w:val="18"/>
                      <w:szCs w:val="18"/>
                      <w:highlight w:val="none"/>
                    </w:rPr>
                  </w:pPr>
                  <w:r>
                    <w:rPr>
                      <w:color w:val="auto"/>
                      <w:sz w:val="18"/>
                      <w:szCs w:val="18"/>
                      <w:highlight w:val="none"/>
                    </w:rPr>
                    <w:t>全部</w:t>
                  </w:r>
                </w:p>
              </w:tc>
              <w:tc>
                <w:tcPr>
                  <w:tcW w:w="1118" w:type="pct"/>
                  <w:tcBorders>
                    <w:tl2br w:val="nil"/>
                    <w:tr2bl w:val="nil"/>
                  </w:tcBorders>
                  <w:vAlign w:val="center"/>
                </w:tcPr>
                <w:p w14:paraId="3745EC71">
                  <w:pPr>
                    <w:jc w:val="center"/>
                    <w:rPr>
                      <w:color w:val="auto"/>
                      <w:kern w:val="0"/>
                      <w:sz w:val="18"/>
                      <w:szCs w:val="18"/>
                      <w:highlight w:val="none"/>
                    </w:rPr>
                  </w:pPr>
                  <w:r>
                    <w:rPr>
                      <w:color w:val="auto"/>
                      <w:kern w:val="0"/>
                      <w:sz w:val="18"/>
                      <w:szCs w:val="18"/>
                      <w:highlight w:val="none"/>
                    </w:rPr>
                    <w:t>全部</w:t>
                  </w:r>
                </w:p>
              </w:tc>
            </w:tr>
            <w:tr w14:paraId="59F3CF2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15" w:type="pct"/>
                  <w:vMerge w:val="continue"/>
                  <w:tcBorders>
                    <w:tl2br w:val="nil"/>
                    <w:tr2bl w:val="nil"/>
                  </w:tcBorders>
                  <w:vAlign w:val="center"/>
                </w:tcPr>
                <w:p w14:paraId="050C6D62">
                  <w:pPr>
                    <w:jc w:val="center"/>
                    <w:rPr>
                      <w:color w:val="auto"/>
                      <w:sz w:val="18"/>
                      <w:szCs w:val="18"/>
                      <w:highlight w:val="none"/>
                    </w:rPr>
                  </w:pPr>
                </w:p>
              </w:tc>
              <w:tc>
                <w:tcPr>
                  <w:tcW w:w="310" w:type="pct"/>
                  <w:vMerge w:val="continue"/>
                  <w:tcBorders>
                    <w:tl2br w:val="nil"/>
                    <w:tr2bl w:val="nil"/>
                  </w:tcBorders>
                  <w:vAlign w:val="center"/>
                </w:tcPr>
                <w:p w14:paraId="0AD10262">
                  <w:pPr>
                    <w:jc w:val="center"/>
                    <w:rPr>
                      <w:color w:val="auto"/>
                      <w:sz w:val="18"/>
                      <w:szCs w:val="18"/>
                      <w:highlight w:val="none"/>
                    </w:rPr>
                  </w:pPr>
                </w:p>
              </w:tc>
              <w:tc>
                <w:tcPr>
                  <w:tcW w:w="675" w:type="pct"/>
                  <w:vMerge w:val="restart"/>
                  <w:tcBorders>
                    <w:tl2br w:val="nil"/>
                    <w:tr2bl w:val="nil"/>
                  </w:tcBorders>
                  <w:vAlign w:val="center"/>
                </w:tcPr>
                <w:p w14:paraId="1B75CAD6">
                  <w:pPr>
                    <w:jc w:val="center"/>
                    <w:rPr>
                      <w:color w:val="auto"/>
                      <w:sz w:val="18"/>
                      <w:szCs w:val="18"/>
                      <w:highlight w:val="none"/>
                    </w:rPr>
                  </w:pPr>
                  <w:r>
                    <w:rPr>
                      <w:color w:val="auto"/>
                      <w:sz w:val="18"/>
                      <w:szCs w:val="18"/>
                      <w:highlight w:val="none"/>
                    </w:rPr>
                    <w:t>化学纤维制造业</w:t>
                  </w:r>
                </w:p>
              </w:tc>
              <w:tc>
                <w:tcPr>
                  <w:tcW w:w="985" w:type="pct"/>
                  <w:gridSpan w:val="2"/>
                  <w:tcBorders>
                    <w:tl2br w:val="nil"/>
                    <w:tr2bl w:val="nil"/>
                  </w:tcBorders>
                  <w:vAlign w:val="center"/>
                </w:tcPr>
                <w:p w14:paraId="743B2426">
                  <w:pPr>
                    <w:jc w:val="center"/>
                    <w:rPr>
                      <w:color w:val="auto"/>
                      <w:sz w:val="18"/>
                      <w:szCs w:val="18"/>
                      <w:highlight w:val="none"/>
                    </w:rPr>
                  </w:pPr>
                  <w:r>
                    <w:rPr>
                      <w:color w:val="auto"/>
                      <w:sz w:val="18"/>
                      <w:szCs w:val="18"/>
                      <w:highlight w:val="none"/>
                    </w:rPr>
                    <w:t>化学纤维制造</w:t>
                  </w:r>
                </w:p>
              </w:tc>
              <w:tc>
                <w:tcPr>
                  <w:tcW w:w="1194" w:type="pct"/>
                  <w:tcBorders>
                    <w:tl2br w:val="nil"/>
                    <w:tr2bl w:val="nil"/>
                  </w:tcBorders>
                  <w:vAlign w:val="center"/>
                </w:tcPr>
                <w:p w14:paraId="630304C2">
                  <w:pPr>
                    <w:jc w:val="center"/>
                    <w:rPr>
                      <w:color w:val="auto"/>
                      <w:sz w:val="18"/>
                      <w:szCs w:val="18"/>
                      <w:highlight w:val="none"/>
                    </w:rPr>
                  </w:pPr>
                  <w:r>
                    <w:rPr>
                      <w:color w:val="auto"/>
                      <w:sz w:val="18"/>
                      <w:szCs w:val="18"/>
                      <w:highlight w:val="none"/>
                    </w:rPr>
                    <w:t>除单纯纺丝外的</w:t>
                  </w:r>
                </w:p>
              </w:tc>
              <w:tc>
                <w:tcPr>
                  <w:tcW w:w="1118" w:type="pct"/>
                  <w:tcBorders>
                    <w:tl2br w:val="nil"/>
                    <w:tr2bl w:val="nil"/>
                  </w:tcBorders>
                  <w:vAlign w:val="center"/>
                </w:tcPr>
                <w:p w14:paraId="587219EB">
                  <w:pPr>
                    <w:jc w:val="center"/>
                    <w:rPr>
                      <w:color w:val="auto"/>
                      <w:sz w:val="18"/>
                      <w:szCs w:val="18"/>
                      <w:highlight w:val="none"/>
                    </w:rPr>
                  </w:pPr>
                  <w:r>
                    <w:rPr>
                      <w:color w:val="auto"/>
                      <w:sz w:val="18"/>
                      <w:szCs w:val="18"/>
                      <w:highlight w:val="none"/>
                    </w:rPr>
                    <w:t>除单纯纺丝外的</w:t>
                  </w:r>
                </w:p>
              </w:tc>
            </w:tr>
            <w:tr w14:paraId="6189E32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15" w:type="pct"/>
                  <w:vMerge w:val="continue"/>
                  <w:tcBorders>
                    <w:tl2br w:val="nil"/>
                    <w:tr2bl w:val="nil"/>
                  </w:tcBorders>
                  <w:vAlign w:val="center"/>
                </w:tcPr>
                <w:p w14:paraId="36E7A046">
                  <w:pPr>
                    <w:jc w:val="center"/>
                    <w:rPr>
                      <w:color w:val="auto"/>
                      <w:sz w:val="18"/>
                      <w:szCs w:val="18"/>
                      <w:highlight w:val="none"/>
                    </w:rPr>
                  </w:pPr>
                </w:p>
              </w:tc>
              <w:tc>
                <w:tcPr>
                  <w:tcW w:w="310" w:type="pct"/>
                  <w:vMerge w:val="continue"/>
                  <w:tcBorders>
                    <w:tl2br w:val="nil"/>
                    <w:tr2bl w:val="nil"/>
                  </w:tcBorders>
                  <w:vAlign w:val="center"/>
                </w:tcPr>
                <w:p w14:paraId="33DA072D">
                  <w:pPr>
                    <w:jc w:val="center"/>
                    <w:rPr>
                      <w:color w:val="auto"/>
                      <w:sz w:val="18"/>
                      <w:szCs w:val="18"/>
                      <w:highlight w:val="none"/>
                    </w:rPr>
                  </w:pPr>
                </w:p>
              </w:tc>
              <w:tc>
                <w:tcPr>
                  <w:tcW w:w="675" w:type="pct"/>
                  <w:vMerge w:val="continue"/>
                  <w:tcBorders>
                    <w:tl2br w:val="nil"/>
                    <w:tr2bl w:val="nil"/>
                  </w:tcBorders>
                  <w:vAlign w:val="center"/>
                </w:tcPr>
                <w:p w14:paraId="261E0A9F">
                  <w:pPr>
                    <w:jc w:val="center"/>
                    <w:rPr>
                      <w:color w:val="auto"/>
                      <w:sz w:val="18"/>
                      <w:szCs w:val="18"/>
                      <w:highlight w:val="none"/>
                    </w:rPr>
                  </w:pPr>
                </w:p>
              </w:tc>
              <w:tc>
                <w:tcPr>
                  <w:tcW w:w="985" w:type="pct"/>
                  <w:gridSpan w:val="2"/>
                  <w:tcBorders>
                    <w:tl2br w:val="nil"/>
                    <w:tr2bl w:val="nil"/>
                  </w:tcBorders>
                  <w:vAlign w:val="center"/>
                </w:tcPr>
                <w:p w14:paraId="4B300A1C">
                  <w:pPr>
                    <w:jc w:val="center"/>
                    <w:rPr>
                      <w:color w:val="auto"/>
                      <w:sz w:val="18"/>
                      <w:szCs w:val="18"/>
                      <w:highlight w:val="none"/>
                    </w:rPr>
                  </w:pPr>
                  <w:r>
                    <w:rPr>
                      <w:color w:val="auto"/>
                      <w:kern w:val="0"/>
                      <w:sz w:val="18"/>
                      <w:szCs w:val="18"/>
                      <w:highlight w:val="none"/>
                    </w:rPr>
                    <w:t>生物质纤维素乙醇生产</w:t>
                  </w:r>
                </w:p>
              </w:tc>
              <w:tc>
                <w:tcPr>
                  <w:tcW w:w="1194" w:type="pct"/>
                  <w:tcBorders>
                    <w:tl2br w:val="nil"/>
                    <w:tr2bl w:val="nil"/>
                  </w:tcBorders>
                  <w:vAlign w:val="center"/>
                </w:tcPr>
                <w:p w14:paraId="1FFEEED5">
                  <w:pPr>
                    <w:jc w:val="center"/>
                    <w:rPr>
                      <w:color w:val="auto"/>
                      <w:sz w:val="18"/>
                      <w:szCs w:val="18"/>
                      <w:highlight w:val="none"/>
                    </w:rPr>
                  </w:pPr>
                  <w:r>
                    <w:rPr>
                      <w:color w:val="auto"/>
                      <w:sz w:val="18"/>
                      <w:szCs w:val="18"/>
                      <w:highlight w:val="none"/>
                    </w:rPr>
                    <w:t>全部</w:t>
                  </w:r>
                </w:p>
              </w:tc>
              <w:tc>
                <w:tcPr>
                  <w:tcW w:w="1118" w:type="pct"/>
                  <w:tcBorders>
                    <w:tl2br w:val="nil"/>
                    <w:tr2bl w:val="nil"/>
                  </w:tcBorders>
                  <w:vAlign w:val="center"/>
                </w:tcPr>
                <w:p w14:paraId="5A3323D1">
                  <w:pPr>
                    <w:jc w:val="center"/>
                    <w:rPr>
                      <w:color w:val="auto"/>
                      <w:kern w:val="0"/>
                      <w:sz w:val="18"/>
                      <w:szCs w:val="18"/>
                      <w:highlight w:val="none"/>
                    </w:rPr>
                  </w:pPr>
                  <w:r>
                    <w:rPr>
                      <w:color w:val="auto"/>
                      <w:kern w:val="0"/>
                      <w:sz w:val="18"/>
                      <w:szCs w:val="18"/>
                      <w:highlight w:val="none"/>
                    </w:rPr>
                    <w:t>全部</w:t>
                  </w:r>
                </w:p>
              </w:tc>
            </w:tr>
            <w:tr w14:paraId="26BD52E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15" w:type="pct"/>
                  <w:vMerge w:val="continue"/>
                  <w:tcBorders>
                    <w:tl2br w:val="nil"/>
                    <w:tr2bl w:val="nil"/>
                  </w:tcBorders>
                  <w:vAlign w:val="center"/>
                </w:tcPr>
                <w:p w14:paraId="74BC1B44">
                  <w:pPr>
                    <w:jc w:val="center"/>
                    <w:rPr>
                      <w:color w:val="auto"/>
                      <w:sz w:val="18"/>
                      <w:szCs w:val="18"/>
                      <w:highlight w:val="none"/>
                    </w:rPr>
                  </w:pPr>
                </w:p>
              </w:tc>
              <w:tc>
                <w:tcPr>
                  <w:tcW w:w="310" w:type="pct"/>
                  <w:vMerge w:val="continue"/>
                  <w:tcBorders>
                    <w:tl2br w:val="nil"/>
                    <w:tr2bl w:val="nil"/>
                  </w:tcBorders>
                  <w:vAlign w:val="center"/>
                </w:tcPr>
                <w:p w14:paraId="63FEAD17">
                  <w:pPr>
                    <w:jc w:val="center"/>
                    <w:rPr>
                      <w:color w:val="auto"/>
                      <w:sz w:val="18"/>
                      <w:szCs w:val="18"/>
                      <w:highlight w:val="none"/>
                    </w:rPr>
                  </w:pPr>
                </w:p>
              </w:tc>
              <w:tc>
                <w:tcPr>
                  <w:tcW w:w="675" w:type="pct"/>
                  <w:vMerge w:val="restart"/>
                  <w:tcBorders>
                    <w:tl2br w:val="nil"/>
                    <w:tr2bl w:val="nil"/>
                  </w:tcBorders>
                  <w:vAlign w:val="center"/>
                </w:tcPr>
                <w:p w14:paraId="36F6627B">
                  <w:pPr>
                    <w:jc w:val="center"/>
                    <w:rPr>
                      <w:color w:val="auto"/>
                      <w:sz w:val="18"/>
                      <w:szCs w:val="18"/>
                      <w:highlight w:val="none"/>
                    </w:rPr>
                  </w:pPr>
                  <w:r>
                    <w:rPr>
                      <w:color w:val="auto"/>
                      <w:kern w:val="0"/>
                      <w:sz w:val="18"/>
                      <w:szCs w:val="18"/>
                      <w:highlight w:val="none"/>
                    </w:rPr>
                    <w:t>橡胶和塑料制品业</w:t>
                  </w:r>
                </w:p>
              </w:tc>
              <w:tc>
                <w:tcPr>
                  <w:tcW w:w="985" w:type="pct"/>
                  <w:gridSpan w:val="2"/>
                  <w:tcBorders>
                    <w:tl2br w:val="nil"/>
                    <w:tr2bl w:val="nil"/>
                  </w:tcBorders>
                  <w:vAlign w:val="center"/>
                </w:tcPr>
                <w:p w14:paraId="267833E2">
                  <w:pPr>
                    <w:jc w:val="center"/>
                    <w:rPr>
                      <w:color w:val="auto"/>
                      <w:kern w:val="0"/>
                      <w:sz w:val="18"/>
                      <w:szCs w:val="18"/>
                      <w:highlight w:val="none"/>
                    </w:rPr>
                  </w:pPr>
                  <w:r>
                    <w:rPr>
                      <w:color w:val="auto"/>
                      <w:kern w:val="0"/>
                      <w:sz w:val="18"/>
                      <w:szCs w:val="18"/>
                      <w:highlight w:val="none"/>
                    </w:rPr>
                    <w:t>橡胶制品业</w:t>
                  </w:r>
                </w:p>
              </w:tc>
              <w:tc>
                <w:tcPr>
                  <w:tcW w:w="1194" w:type="pct"/>
                  <w:tcBorders>
                    <w:tl2br w:val="nil"/>
                    <w:tr2bl w:val="nil"/>
                  </w:tcBorders>
                  <w:vAlign w:val="center"/>
                </w:tcPr>
                <w:p w14:paraId="0231A738">
                  <w:pPr>
                    <w:jc w:val="center"/>
                    <w:rPr>
                      <w:color w:val="auto"/>
                      <w:sz w:val="18"/>
                      <w:szCs w:val="18"/>
                      <w:highlight w:val="none"/>
                    </w:rPr>
                  </w:pPr>
                  <w:r>
                    <w:rPr>
                      <w:color w:val="auto"/>
                      <w:sz w:val="18"/>
                      <w:szCs w:val="18"/>
                      <w:highlight w:val="none"/>
                    </w:rPr>
                    <w:t>全部</w:t>
                  </w:r>
                </w:p>
              </w:tc>
              <w:tc>
                <w:tcPr>
                  <w:tcW w:w="1118" w:type="pct"/>
                  <w:tcBorders>
                    <w:tl2br w:val="nil"/>
                    <w:tr2bl w:val="nil"/>
                  </w:tcBorders>
                  <w:vAlign w:val="center"/>
                </w:tcPr>
                <w:p w14:paraId="2EFBD398">
                  <w:pPr>
                    <w:jc w:val="center"/>
                    <w:rPr>
                      <w:color w:val="auto"/>
                      <w:sz w:val="18"/>
                      <w:szCs w:val="18"/>
                      <w:highlight w:val="none"/>
                    </w:rPr>
                  </w:pPr>
                  <w:r>
                    <w:rPr>
                      <w:color w:val="auto"/>
                      <w:sz w:val="18"/>
                      <w:szCs w:val="18"/>
                      <w:highlight w:val="none"/>
                    </w:rPr>
                    <w:t>全部</w:t>
                  </w:r>
                </w:p>
              </w:tc>
            </w:tr>
            <w:tr w14:paraId="5538792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15" w:type="pct"/>
                  <w:vMerge w:val="continue"/>
                  <w:tcBorders>
                    <w:tl2br w:val="nil"/>
                    <w:tr2bl w:val="nil"/>
                  </w:tcBorders>
                  <w:vAlign w:val="center"/>
                </w:tcPr>
                <w:p w14:paraId="73E1694C">
                  <w:pPr>
                    <w:jc w:val="center"/>
                    <w:rPr>
                      <w:color w:val="auto"/>
                      <w:sz w:val="18"/>
                      <w:szCs w:val="18"/>
                      <w:highlight w:val="none"/>
                    </w:rPr>
                  </w:pPr>
                </w:p>
              </w:tc>
              <w:tc>
                <w:tcPr>
                  <w:tcW w:w="310" w:type="pct"/>
                  <w:vMerge w:val="continue"/>
                  <w:tcBorders>
                    <w:tl2br w:val="nil"/>
                    <w:tr2bl w:val="nil"/>
                  </w:tcBorders>
                  <w:vAlign w:val="center"/>
                </w:tcPr>
                <w:p w14:paraId="76550808">
                  <w:pPr>
                    <w:jc w:val="center"/>
                    <w:rPr>
                      <w:color w:val="auto"/>
                      <w:sz w:val="18"/>
                      <w:szCs w:val="18"/>
                      <w:highlight w:val="none"/>
                    </w:rPr>
                  </w:pPr>
                </w:p>
              </w:tc>
              <w:tc>
                <w:tcPr>
                  <w:tcW w:w="675" w:type="pct"/>
                  <w:vMerge w:val="continue"/>
                  <w:tcBorders>
                    <w:tl2br w:val="nil"/>
                    <w:tr2bl w:val="nil"/>
                  </w:tcBorders>
                  <w:vAlign w:val="center"/>
                </w:tcPr>
                <w:p w14:paraId="721D70D3">
                  <w:pPr>
                    <w:jc w:val="center"/>
                    <w:rPr>
                      <w:color w:val="auto"/>
                      <w:kern w:val="0"/>
                      <w:sz w:val="18"/>
                      <w:szCs w:val="18"/>
                      <w:highlight w:val="none"/>
                    </w:rPr>
                  </w:pPr>
                </w:p>
              </w:tc>
              <w:tc>
                <w:tcPr>
                  <w:tcW w:w="985" w:type="pct"/>
                  <w:gridSpan w:val="2"/>
                  <w:tcBorders>
                    <w:tl2br w:val="nil"/>
                    <w:tr2bl w:val="nil"/>
                  </w:tcBorders>
                  <w:vAlign w:val="center"/>
                </w:tcPr>
                <w:p w14:paraId="3144F332">
                  <w:pPr>
                    <w:jc w:val="center"/>
                    <w:rPr>
                      <w:color w:val="auto"/>
                      <w:kern w:val="0"/>
                      <w:sz w:val="18"/>
                      <w:szCs w:val="18"/>
                      <w:highlight w:val="none"/>
                    </w:rPr>
                  </w:pPr>
                  <w:r>
                    <w:rPr>
                      <w:color w:val="auto"/>
                      <w:kern w:val="0"/>
                      <w:sz w:val="18"/>
                      <w:szCs w:val="18"/>
                      <w:highlight w:val="none"/>
                    </w:rPr>
                    <w:t>塑料制品制造</w:t>
                  </w:r>
                </w:p>
              </w:tc>
              <w:tc>
                <w:tcPr>
                  <w:tcW w:w="1194" w:type="pct"/>
                  <w:tcBorders>
                    <w:tl2br w:val="nil"/>
                    <w:tr2bl w:val="nil"/>
                  </w:tcBorders>
                  <w:vAlign w:val="center"/>
                </w:tcPr>
                <w:p w14:paraId="44ABE9C4">
                  <w:pPr>
                    <w:jc w:val="center"/>
                    <w:rPr>
                      <w:color w:val="auto"/>
                      <w:sz w:val="18"/>
                      <w:szCs w:val="18"/>
                      <w:highlight w:val="none"/>
                    </w:rPr>
                  </w:pPr>
                  <w:r>
                    <w:rPr>
                      <w:color w:val="auto"/>
                      <w:sz w:val="18"/>
                      <w:szCs w:val="18"/>
                      <w:highlight w:val="none"/>
                    </w:rPr>
                    <w:t>人造革、发泡胶等涉及有毒原材料的；有电镀工</w:t>
                  </w:r>
                </w:p>
                <w:p w14:paraId="7D2688CC">
                  <w:pPr>
                    <w:jc w:val="center"/>
                    <w:rPr>
                      <w:color w:val="auto"/>
                      <w:sz w:val="18"/>
                      <w:szCs w:val="18"/>
                      <w:highlight w:val="none"/>
                    </w:rPr>
                  </w:pPr>
                  <w:r>
                    <w:rPr>
                      <w:color w:val="auto"/>
                      <w:sz w:val="18"/>
                      <w:szCs w:val="18"/>
                      <w:highlight w:val="none"/>
                    </w:rPr>
                    <w:t>艺的</w:t>
                  </w:r>
                </w:p>
              </w:tc>
              <w:tc>
                <w:tcPr>
                  <w:tcW w:w="1118" w:type="pct"/>
                  <w:tcBorders>
                    <w:tl2br w:val="nil"/>
                    <w:tr2bl w:val="nil"/>
                  </w:tcBorders>
                  <w:vAlign w:val="center"/>
                </w:tcPr>
                <w:p w14:paraId="05940130">
                  <w:pPr>
                    <w:jc w:val="center"/>
                    <w:rPr>
                      <w:color w:val="auto"/>
                      <w:sz w:val="18"/>
                      <w:szCs w:val="18"/>
                      <w:highlight w:val="none"/>
                    </w:rPr>
                  </w:pPr>
                  <w:r>
                    <w:rPr>
                      <w:color w:val="auto"/>
                      <w:kern w:val="0"/>
                      <w:sz w:val="18"/>
                      <w:szCs w:val="18"/>
                      <w:highlight w:val="none"/>
                    </w:rPr>
                    <w:t>纯挤塑、注塑加工建设项目</w:t>
                  </w:r>
                </w:p>
              </w:tc>
            </w:tr>
            <w:tr w14:paraId="006633A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15" w:type="pct"/>
                  <w:vMerge w:val="continue"/>
                  <w:tcBorders>
                    <w:tl2br w:val="nil"/>
                    <w:tr2bl w:val="nil"/>
                  </w:tcBorders>
                  <w:vAlign w:val="center"/>
                </w:tcPr>
                <w:p w14:paraId="09D931E5">
                  <w:pPr>
                    <w:jc w:val="center"/>
                    <w:rPr>
                      <w:color w:val="auto"/>
                      <w:sz w:val="18"/>
                      <w:szCs w:val="18"/>
                      <w:highlight w:val="none"/>
                    </w:rPr>
                  </w:pPr>
                </w:p>
              </w:tc>
              <w:tc>
                <w:tcPr>
                  <w:tcW w:w="310" w:type="pct"/>
                  <w:vMerge w:val="continue"/>
                  <w:tcBorders>
                    <w:tl2br w:val="nil"/>
                    <w:tr2bl w:val="nil"/>
                  </w:tcBorders>
                  <w:vAlign w:val="center"/>
                </w:tcPr>
                <w:p w14:paraId="1616771F">
                  <w:pPr>
                    <w:jc w:val="center"/>
                    <w:rPr>
                      <w:color w:val="auto"/>
                      <w:sz w:val="18"/>
                      <w:szCs w:val="18"/>
                      <w:highlight w:val="none"/>
                    </w:rPr>
                  </w:pPr>
                </w:p>
              </w:tc>
              <w:tc>
                <w:tcPr>
                  <w:tcW w:w="1660" w:type="pct"/>
                  <w:gridSpan w:val="3"/>
                  <w:tcBorders>
                    <w:tl2br w:val="nil"/>
                    <w:tr2bl w:val="nil"/>
                  </w:tcBorders>
                  <w:vAlign w:val="center"/>
                </w:tcPr>
                <w:p w14:paraId="35D10498">
                  <w:pPr>
                    <w:autoSpaceDE w:val="0"/>
                    <w:autoSpaceDN w:val="0"/>
                    <w:adjustRightInd w:val="0"/>
                    <w:jc w:val="center"/>
                    <w:rPr>
                      <w:color w:val="auto"/>
                      <w:kern w:val="0"/>
                      <w:sz w:val="18"/>
                      <w:szCs w:val="18"/>
                      <w:highlight w:val="none"/>
                    </w:rPr>
                  </w:pPr>
                  <w:r>
                    <w:rPr>
                      <w:color w:val="auto"/>
                      <w:kern w:val="0"/>
                      <w:sz w:val="18"/>
                      <w:szCs w:val="18"/>
                      <w:highlight w:val="none"/>
                    </w:rPr>
                    <w:t>黑色金属冶炼和压</w:t>
                  </w:r>
                </w:p>
                <w:p w14:paraId="0934FE8E">
                  <w:pPr>
                    <w:jc w:val="center"/>
                    <w:rPr>
                      <w:color w:val="auto"/>
                      <w:kern w:val="0"/>
                      <w:sz w:val="18"/>
                      <w:szCs w:val="18"/>
                      <w:highlight w:val="none"/>
                    </w:rPr>
                  </w:pPr>
                  <w:r>
                    <w:rPr>
                      <w:color w:val="auto"/>
                      <w:kern w:val="0"/>
                      <w:sz w:val="18"/>
                      <w:szCs w:val="18"/>
                      <w:highlight w:val="none"/>
                    </w:rPr>
                    <w:t>延加工业</w:t>
                  </w:r>
                </w:p>
              </w:tc>
              <w:tc>
                <w:tcPr>
                  <w:tcW w:w="1194" w:type="pct"/>
                  <w:tcBorders>
                    <w:tl2br w:val="nil"/>
                    <w:tr2bl w:val="nil"/>
                  </w:tcBorders>
                  <w:vAlign w:val="center"/>
                </w:tcPr>
                <w:p w14:paraId="6B41827A">
                  <w:pPr>
                    <w:jc w:val="center"/>
                    <w:rPr>
                      <w:color w:val="auto"/>
                      <w:sz w:val="18"/>
                      <w:szCs w:val="18"/>
                      <w:highlight w:val="none"/>
                    </w:rPr>
                  </w:pPr>
                  <w:r>
                    <w:rPr>
                      <w:color w:val="auto"/>
                      <w:sz w:val="18"/>
                      <w:szCs w:val="18"/>
                      <w:highlight w:val="none"/>
                    </w:rPr>
                    <w:t>有压延工艺</w:t>
                  </w:r>
                </w:p>
              </w:tc>
              <w:tc>
                <w:tcPr>
                  <w:tcW w:w="1118" w:type="pct"/>
                  <w:tcBorders>
                    <w:tl2br w:val="nil"/>
                    <w:tr2bl w:val="nil"/>
                  </w:tcBorders>
                  <w:vAlign w:val="center"/>
                </w:tcPr>
                <w:p w14:paraId="2E2A15F2">
                  <w:pPr>
                    <w:jc w:val="center"/>
                    <w:rPr>
                      <w:color w:val="auto"/>
                      <w:sz w:val="18"/>
                      <w:szCs w:val="18"/>
                      <w:highlight w:val="none"/>
                    </w:rPr>
                  </w:pPr>
                  <w:r>
                    <w:rPr>
                      <w:color w:val="auto"/>
                      <w:sz w:val="18"/>
                      <w:szCs w:val="18"/>
                      <w:highlight w:val="none"/>
                    </w:rPr>
                    <w:t>/</w:t>
                  </w:r>
                </w:p>
              </w:tc>
            </w:tr>
            <w:tr w14:paraId="3D04020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15" w:type="pct"/>
                  <w:vMerge w:val="continue"/>
                  <w:tcBorders>
                    <w:tl2br w:val="nil"/>
                    <w:tr2bl w:val="nil"/>
                  </w:tcBorders>
                  <w:vAlign w:val="center"/>
                </w:tcPr>
                <w:p w14:paraId="40A89052">
                  <w:pPr>
                    <w:jc w:val="center"/>
                    <w:rPr>
                      <w:color w:val="auto"/>
                      <w:sz w:val="18"/>
                      <w:szCs w:val="18"/>
                      <w:highlight w:val="none"/>
                    </w:rPr>
                  </w:pPr>
                </w:p>
              </w:tc>
              <w:tc>
                <w:tcPr>
                  <w:tcW w:w="310" w:type="pct"/>
                  <w:vMerge w:val="continue"/>
                  <w:tcBorders>
                    <w:tl2br w:val="nil"/>
                    <w:tr2bl w:val="nil"/>
                  </w:tcBorders>
                  <w:vAlign w:val="center"/>
                </w:tcPr>
                <w:p w14:paraId="2D890AAB">
                  <w:pPr>
                    <w:jc w:val="center"/>
                    <w:rPr>
                      <w:color w:val="auto"/>
                      <w:sz w:val="18"/>
                      <w:szCs w:val="18"/>
                      <w:highlight w:val="none"/>
                    </w:rPr>
                  </w:pPr>
                </w:p>
              </w:tc>
              <w:tc>
                <w:tcPr>
                  <w:tcW w:w="1660" w:type="pct"/>
                  <w:gridSpan w:val="3"/>
                  <w:tcBorders>
                    <w:tl2br w:val="nil"/>
                    <w:tr2bl w:val="nil"/>
                  </w:tcBorders>
                  <w:vAlign w:val="center"/>
                </w:tcPr>
                <w:p w14:paraId="2E6173F0">
                  <w:pPr>
                    <w:autoSpaceDE w:val="0"/>
                    <w:autoSpaceDN w:val="0"/>
                    <w:adjustRightInd w:val="0"/>
                    <w:jc w:val="center"/>
                    <w:rPr>
                      <w:color w:val="auto"/>
                      <w:kern w:val="0"/>
                      <w:sz w:val="18"/>
                      <w:szCs w:val="18"/>
                      <w:highlight w:val="none"/>
                    </w:rPr>
                  </w:pPr>
                  <w:r>
                    <w:rPr>
                      <w:color w:val="auto"/>
                      <w:sz w:val="18"/>
                      <w:szCs w:val="18"/>
                      <w:highlight w:val="none"/>
                    </w:rPr>
                    <w:t>有色</w:t>
                  </w:r>
                  <w:r>
                    <w:rPr>
                      <w:color w:val="auto"/>
                      <w:kern w:val="0"/>
                      <w:sz w:val="18"/>
                      <w:szCs w:val="18"/>
                      <w:highlight w:val="none"/>
                    </w:rPr>
                    <w:t>金属冶炼和压</w:t>
                  </w:r>
                </w:p>
                <w:p w14:paraId="68FA88F0">
                  <w:pPr>
                    <w:jc w:val="center"/>
                    <w:rPr>
                      <w:color w:val="auto"/>
                      <w:sz w:val="18"/>
                      <w:szCs w:val="18"/>
                      <w:highlight w:val="none"/>
                    </w:rPr>
                  </w:pPr>
                  <w:r>
                    <w:rPr>
                      <w:color w:val="auto"/>
                      <w:kern w:val="0"/>
                      <w:sz w:val="18"/>
                      <w:szCs w:val="18"/>
                      <w:highlight w:val="none"/>
                    </w:rPr>
                    <w:t>延加工业</w:t>
                  </w:r>
                </w:p>
              </w:tc>
              <w:tc>
                <w:tcPr>
                  <w:tcW w:w="1194" w:type="pct"/>
                  <w:tcBorders>
                    <w:tl2br w:val="nil"/>
                    <w:tr2bl w:val="nil"/>
                  </w:tcBorders>
                  <w:vAlign w:val="center"/>
                </w:tcPr>
                <w:p w14:paraId="6F3E1322">
                  <w:pPr>
                    <w:jc w:val="center"/>
                    <w:rPr>
                      <w:color w:val="auto"/>
                      <w:sz w:val="18"/>
                      <w:szCs w:val="18"/>
                      <w:highlight w:val="none"/>
                    </w:rPr>
                  </w:pPr>
                  <w:r>
                    <w:rPr>
                      <w:color w:val="auto"/>
                      <w:sz w:val="18"/>
                      <w:szCs w:val="18"/>
                      <w:highlight w:val="none"/>
                    </w:rPr>
                    <w:t>有冶炼和压延工艺</w:t>
                  </w:r>
                </w:p>
              </w:tc>
              <w:tc>
                <w:tcPr>
                  <w:tcW w:w="1118" w:type="pct"/>
                  <w:tcBorders>
                    <w:tl2br w:val="nil"/>
                    <w:tr2bl w:val="nil"/>
                  </w:tcBorders>
                  <w:vAlign w:val="center"/>
                </w:tcPr>
                <w:p w14:paraId="5416FE3F">
                  <w:pPr>
                    <w:jc w:val="center"/>
                    <w:rPr>
                      <w:color w:val="auto"/>
                      <w:sz w:val="18"/>
                      <w:szCs w:val="18"/>
                      <w:highlight w:val="none"/>
                    </w:rPr>
                  </w:pPr>
                  <w:r>
                    <w:rPr>
                      <w:color w:val="auto"/>
                      <w:sz w:val="18"/>
                      <w:szCs w:val="18"/>
                      <w:highlight w:val="none"/>
                    </w:rPr>
                    <w:t>/</w:t>
                  </w:r>
                </w:p>
              </w:tc>
            </w:tr>
            <w:tr w14:paraId="42FFF49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15" w:type="pct"/>
                  <w:vMerge w:val="continue"/>
                  <w:tcBorders>
                    <w:tl2br w:val="nil"/>
                    <w:tr2bl w:val="nil"/>
                  </w:tcBorders>
                  <w:vAlign w:val="center"/>
                </w:tcPr>
                <w:p w14:paraId="2B248F28">
                  <w:pPr>
                    <w:jc w:val="center"/>
                    <w:rPr>
                      <w:color w:val="auto"/>
                      <w:sz w:val="18"/>
                      <w:szCs w:val="18"/>
                      <w:highlight w:val="none"/>
                    </w:rPr>
                  </w:pPr>
                </w:p>
              </w:tc>
              <w:tc>
                <w:tcPr>
                  <w:tcW w:w="310" w:type="pct"/>
                  <w:vMerge w:val="continue"/>
                  <w:tcBorders>
                    <w:tl2br w:val="nil"/>
                    <w:tr2bl w:val="nil"/>
                  </w:tcBorders>
                  <w:vAlign w:val="center"/>
                </w:tcPr>
                <w:p w14:paraId="2E8E8CD6">
                  <w:pPr>
                    <w:jc w:val="center"/>
                    <w:rPr>
                      <w:color w:val="auto"/>
                      <w:sz w:val="18"/>
                      <w:szCs w:val="18"/>
                      <w:highlight w:val="none"/>
                    </w:rPr>
                  </w:pPr>
                </w:p>
              </w:tc>
              <w:tc>
                <w:tcPr>
                  <w:tcW w:w="675" w:type="pct"/>
                  <w:tcBorders>
                    <w:tl2br w:val="nil"/>
                    <w:tr2bl w:val="nil"/>
                  </w:tcBorders>
                  <w:vAlign w:val="center"/>
                </w:tcPr>
                <w:p w14:paraId="0EC26866">
                  <w:pPr>
                    <w:jc w:val="center"/>
                    <w:rPr>
                      <w:color w:val="auto"/>
                      <w:sz w:val="18"/>
                      <w:szCs w:val="18"/>
                      <w:highlight w:val="none"/>
                    </w:rPr>
                  </w:pPr>
                  <w:r>
                    <w:rPr>
                      <w:color w:val="auto"/>
                      <w:kern w:val="0"/>
                      <w:sz w:val="18"/>
                      <w:szCs w:val="18"/>
                      <w:highlight w:val="none"/>
                    </w:rPr>
                    <w:t>金属制品业</w:t>
                  </w:r>
                </w:p>
              </w:tc>
              <w:tc>
                <w:tcPr>
                  <w:tcW w:w="985" w:type="pct"/>
                  <w:gridSpan w:val="2"/>
                  <w:tcBorders>
                    <w:tl2br w:val="nil"/>
                    <w:tr2bl w:val="nil"/>
                  </w:tcBorders>
                  <w:vAlign w:val="center"/>
                </w:tcPr>
                <w:p w14:paraId="1C5FE5A1">
                  <w:pPr>
                    <w:jc w:val="center"/>
                    <w:rPr>
                      <w:color w:val="auto"/>
                      <w:sz w:val="18"/>
                      <w:szCs w:val="18"/>
                      <w:highlight w:val="none"/>
                    </w:rPr>
                  </w:pPr>
                  <w:r>
                    <w:rPr>
                      <w:color w:val="auto"/>
                      <w:kern w:val="0"/>
                      <w:sz w:val="18"/>
                      <w:szCs w:val="18"/>
                      <w:highlight w:val="none"/>
                    </w:rPr>
                    <w:t>金属制品加工制造业</w:t>
                  </w:r>
                </w:p>
              </w:tc>
              <w:tc>
                <w:tcPr>
                  <w:tcW w:w="1194" w:type="pct"/>
                  <w:tcBorders>
                    <w:tl2br w:val="nil"/>
                    <w:tr2bl w:val="nil"/>
                  </w:tcBorders>
                  <w:vAlign w:val="center"/>
                </w:tcPr>
                <w:p w14:paraId="7A0AA2D9">
                  <w:pPr>
                    <w:widowControl/>
                    <w:jc w:val="center"/>
                    <w:rPr>
                      <w:color w:val="auto"/>
                      <w:kern w:val="0"/>
                      <w:sz w:val="18"/>
                      <w:szCs w:val="18"/>
                      <w:highlight w:val="none"/>
                    </w:rPr>
                  </w:pPr>
                  <w:r>
                    <w:rPr>
                      <w:color w:val="auto"/>
                      <w:kern w:val="0"/>
                      <w:sz w:val="18"/>
                      <w:szCs w:val="18"/>
                      <w:highlight w:val="none"/>
                    </w:rPr>
                    <w:t>1、有电镀工艺的；2、使用有机涂层的(除喷粉、喷塑和电泳外)；3、有钝化工艺的热镀锌；4、涉及属GB8978中规定的第一类污染物的重金属排放的；5、使用化学方式进行热处理的；6、使用无芯工频感应电炉设备的</w:t>
                  </w:r>
                </w:p>
              </w:tc>
              <w:tc>
                <w:tcPr>
                  <w:tcW w:w="1118" w:type="pct"/>
                  <w:tcBorders>
                    <w:tl2br w:val="nil"/>
                    <w:tr2bl w:val="nil"/>
                  </w:tcBorders>
                  <w:vAlign w:val="center"/>
                </w:tcPr>
                <w:p w14:paraId="3ACEF9B7">
                  <w:pPr>
                    <w:widowControl/>
                    <w:jc w:val="center"/>
                    <w:rPr>
                      <w:color w:val="auto"/>
                      <w:kern w:val="0"/>
                      <w:sz w:val="18"/>
                      <w:szCs w:val="18"/>
                      <w:highlight w:val="none"/>
                    </w:rPr>
                  </w:pPr>
                  <w:r>
                    <w:rPr>
                      <w:color w:val="auto"/>
                      <w:kern w:val="0"/>
                      <w:sz w:val="18"/>
                      <w:szCs w:val="18"/>
                      <w:highlight w:val="none"/>
                    </w:rPr>
                    <w:t>/</w:t>
                  </w:r>
                </w:p>
              </w:tc>
            </w:tr>
            <w:tr w14:paraId="58FFF74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15" w:type="pct"/>
                  <w:vMerge w:val="continue"/>
                  <w:tcBorders>
                    <w:tl2br w:val="nil"/>
                    <w:tr2bl w:val="nil"/>
                  </w:tcBorders>
                  <w:vAlign w:val="center"/>
                </w:tcPr>
                <w:p w14:paraId="1693CDC7">
                  <w:pPr>
                    <w:jc w:val="center"/>
                    <w:rPr>
                      <w:color w:val="auto"/>
                      <w:sz w:val="18"/>
                      <w:szCs w:val="18"/>
                      <w:highlight w:val="none"/>
                    </w:rPr>
                  </w:pPr>
                </w:p>
              </w:tc>
              <w:tc>
                <w:tcPr>
                  <w:tcW w:w="310" w:type="pct"/>
                  <w:vMerge w:val="continue"/>
                  <w:tcBorders>
                    <w:tl2br w:val="nil"/>
                    <w:tr2bl w:val="nil"/>
                  </w:tcBorders>
                  <w:vAlign w:val="center"/>
                </w:tcPr>
                <w:p w14:paraId="365B186C">
                  <w:pPr>
                    <w:jc w:val="center"/>
                    <w:rPr>
                      <w:color w:val="auto"/>
                      <w:sz w:val="18"/>
                      <w:szCs w:val="18"/>
                      <w:highlight w:val="none"/>
                    </w:rPr>
                  </w:pPr>
                </w:p>
              </w:tc>
              <w:tc>
                <w:tcPr>
                  <w:tcW w:w="1660" w:type="pct"/>
                  <w:gridSpan w:val="3"/>
                  <w:tcBorders>
                    <w:tl2br w:val="nil"/>
                    <w:tr2bl w:val="nil"/>
                  </w:tcBorders>
                  <w:vAlign w:val="center"/>
                </w:tcPr>
                <w:p w14:paraId="66B07709">
                  <w:pPr>
                    <w:jc w:val="center"/>
                    <w:rPr>
                      <w:color w:val="auto"/>
                      <w:sz w:val="18"/>
                      <w:szCs w:val="18"/>
                      <w:highlight w:val="none"/>
                    </w:rPr>
                  </w:pPr>
                  <w:r>
                    <w:rPr>
                      <w:color w:val="auto"/>
                      <w:kern w:val="0"/>
                      <w:sz w:val="18"/>
                      <w:szCs w:val="18"/>
                      <w:highlight w:val="none"/>
                    </w:rPr>
                    <w:t>农副食品加工业</w:t>
                  </w:r>
                </w:p>
              </w:tc>
              <w:tc>
                <w:tcPr>
                  <w:tcW w:w="1194" w:type="pct"/>
                  <w:tcBorders>
                    <w:tl2br w:val="nil"/>
                    <w:tr2bl w:val="nil"/>
                  </w:tcBorders>
                  <w:vAlign w:val="center"/>
                </w:tcPr>
                <w:p w14:paraId="5E6C14AD">
                  <w:pPr>
                    <w:jc w:val="center"/>
                    <w:rPr>
                      <w:color w:val="auto"/>
                      <w:sz w:val="18"/>
                      <w:szCs w:val="18"/>
                      <w:highlight w:val="none"/>
                    </w:rPr>
                  </w:pPr>
                  <w:r>
                    <w:rPr>
                      <w:color w:val="auto"/>
                      <w:sz w:val="18"/>
                      <w:szCs w:val="18"/>
                      <w:highlight w:val="none"/>
                    </w:rPr>
                    <w:t>全部</w:t>
                  </w:r>
                </w:p>
              </w:tc>
              <w:tc>
                <w:tcPr>
                  <w:tcW w:w="1118" w:type="pct"/>
                  <w:tcBorders>
                    <w:tl2br w:val="nil"/>
                    <w:tr2bl w:val="nil"/>
                  </w:tcBorders>
                  <w:vAlign w:val="center"/>
                </w:tcPr>
                <w:p w14:paraId="05D5D13F">
                  <w:pPr>
                    <w:jc w:val="center"/>
                    <w:rPr>
                      <w:color w:val="auto"/>
                      <w:kern w:val="0"/>
                      <w:sz w:val="18"/>
                      <w:szCs w:val="18"/>
                      <w:highlight w:val="none"/>
                    </w:rPr>
                  </w:pPr>
                  <w:r>
                    <w:rPr>
                      <w:color w:val="auto"/>
                      <w:sz w:val="18"/>
                      <w:szCs w:val="18"/>
                      <w:highlight w:val="none"/>
                    </w:rPr>
                    <w:t>全部</w:t>
                  </w:r>
                </w:p>
              </w:tc>
            </w:tr>
          </w:tbl>
          <w:p w14:paraId="09E50EE5">
            <w:pPr>
              <w:spacing w:line="360" w:lineRule="auto"/>
              <w:ind w:firstLine="420" w:firstLineChars="200"/>
              <w:rPr>
                <w:b/>
                <w:bCs/>
                <w:color w:val="auto"/>
                <w:szCs w:val="21"/>
                <w:highlight w:val="none"/>
              </w:rPr>
            </w:pPr>
            <w:r>
              <w:rPr>
                <w:color w:val="auto"/>
                <w:szCs w:val="21"/>
                <w:highlight w:val="none"/>
              </w:rPr>
              <w:t>项目位于余杭区钱江经济开发区产业集聚重点管控单元，属于M7320工程和技术研究和试验发展。</w:t>
            </w:r>
            <w:r>
              <w:rPr>
                <w:b w:val="0"/>
                <w:bCs w:val="0"/>
                <w:color w:val="auto"/>
                <w:szCs w:val="21"/>
                <w:highlight w:val="none"/>
              </w:rPr>
              <w:t>对照基地环境准入条件清单，</w:t>
            </w:r>
            <w:r>
              <w:rPr>
                <w:b w:val="0"/>
                <w:bCs w:val="0"/>
                <w:color w:val="auto"/>
                <w:highlight w:val="none"/>
              </w:rPr>
              <w:t>本项目不属于禁止准入类和限制准入类，项目的建设符合</w:t>
            </w:r>
            <w:r>
              <w:rPr>
                <w:b w:val="0"/>
                <w:bCs w:val="0"/>
                <w:color w:val="auto"/>
                <w:szCs w:val="21"/>
                <w:highlight w:val="none"/>
              </w:rPr>
              <w:t>环境准入条件清单中的准入要求。</w:t>
            </w:r>
          </w:p>
          <w:p w14:paraId="3379277B">
            <w:pPr>
              <w:spacing w:line="360" w:lineRule="auto"/>
              <w:ind w:firstLine="422" w:firstLineChars="200"/>
              <w:rPr>
                <w:b/>
                <w:bCs/>
                <w:color w:val="auto"/>
                <w:szCs w:val="21"/>
                <w:highlight w:val="none"/>
              </w:rPr>
            </w:pPr>
            <w:r>
              <w:rPr>
                <w:rFonts w:hint="default"/>
                <w:b/>
                <w:bCs/>
                <w:color w:val="auto"/>
                <w:szCs w:val="21"/>
                <w:highlight w:val="none"/>
              </w:rPr>
              <w:t>⑥</w:t>
            </w:r>
            <w:r>
              <w:rPr>
                <w:b/>
                <w:bCs/>
                <w:color w:val="auto"/>
                <w:szCs w:val="21"/>
                <w:highlight w:val="none"/>
              </w:rPr>
              <w:t>环境标准清单符合性</w:t>
            </w:r>
          </w:p>
          <w:p w14:paraId="56ECBAC9">
            <w:pPr>
              <w:spacing w:line="360" w:lineRule="auto"/>
              <w:ind w:firstLine="420" w:firstLineChars="200"/>
              <w:rPr>
                <w:rFonts w:hint="default" w:eastAsia="宋体"/>
                <w:b w:val="0"/>
                <w:bCs w:val="0"/>
                <w:color w:val="auto"/>
                <w:szCs w:val="21"/>
                <w:highlight w:val="none"/>
                <w:lang w:val="en-US" w:eastAsia="zh-CN"/>
              </w:rPr>
            </w:pPr>
            <w:r>
              <w:rPr>
                <w:rFonts w:hint="default"/>
                <w:b w:val="0"/>
                <w:bCs w:val="0"/>
                <w:color w:val="auto"/>
                <w:szCs w:val="21"/>
                <w:highlight w:val="none"/>
                <w:lang w:val="en-US" w:eastAsia="zh-CN"/>
              </w:rPr>
              <w:t>项目与环境标准清单符合性分析如表1-7所示。</w:t>
            </w:r>
          </w:p>
          <w:p w14:paraId="49EC6DAE">
            <w:pPr>
              <w:pStyle w:val="5"/>
              <w:keepNext/>
              <w:keepLines/>
              <w:pageBreakBefore w:val="0"/>
              <w:widowControl/>
              <w:numPr>
                <w:ilvl w:val="0"/>
                <w:numId w:val="1"/>
              </w:numPr>
              <w:tabs>
                <w:tab w:val="left" w:pos="0"/>
              </w:tabs>
              <w:kinsoku/>
              <w:wordWrap/>
              <w:overflowPunct/>
              <w:topLinePunct w:val="0"/>
              <w:autoSpaceDE/>
              <w:autoSpaceDN/>
              <w:bidi w:val="0"/>
              <w:adjustRightInd/>
              <w:snapToGrid/>
              <w:spacing w:before="0" w:after="0" w:line="360" w:lineRule="auto"/>
              <w:ind w:left="0" w:firstLine="0"/>
              <w:jc w:val="center"/>
              <w:textAlignment w:val="auto"/>
              <w:rPr>
                <w:rFonts w:hint="default" w:ascii="Times New Roman" w:hAnsi="Times New Roman" w:eastAsia="黑体" w:cs="Times New Roman"/>
                <w:b w:val="0"/>
                <w:bCs w:val="0"/>
                <w:color w:val="auto"/>
                <w:sz w:val="21"/>
                <w:szCs w:val="21"/>
                <w:highlight w:val="none"/>
              </w:rPr>
            </w:pPr>
            <w:r>
              <w:rPr>
                <w:rFonts w:hint="default" w:ascii="Times New Roman" w:hAnsi="Times New Roman" w:eastAsia="黑体" w:cs="Times New Roman"/>
                <w:b w:val="0"/>
                <w:bCs w:val="0"/>
                <w:color w:val="auto"/>
                <w:sz w:val="21"/>
                <w:szCs w:val="21"/>
                <w:highlight w:val="none"/>
              </w:rPr>
              <w:t>项目与环境标准清单符合性分析</w:t>
            </w:r>
          </w:p>
          <w:tbl>
            <w:tblPr>
              <w:tblStyle w:val="24"/>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28" w:type="dxa"/>
                <w:bottom w:w="0" w:type="dxa"/>
                <w:right w:w="28" w:type="dxa"/>
              </w:tblCellMar>
            </w:tblPr>
            <w:tblGrid>
              <w:gridCol w:w="466"/>
              <w:gridCol w:w="749"/>
              <w:gridCol w:w="5527"/>
              <w:gridCol w:w="1093"/>
            </w:tblGrid>
            <w:tr w14:paraId="6E04ED5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283" w:hRule="atLeast"/>
                <w:jc w:val="center"/>
              </w:trPr>
              <w:tc>
                <w:tcPr>
                  <w:tcW w:w="297" w:type="pct"/>
                  <w:tcBorders>
                    <w:tl2br w:val="nil"/>
                    <w:tr2bl w:val="nil"/>
                  </w:tcBorders>
                  <w:vAlign w:val="center"/>
                </w:tcPr>
                <w:p w14:paraId="0E387771">
                  <w:pPr>
                    <w:jc w:val="center"/>
                    <w:rPr>
                      <w:color w:val="auto"/>
                      <w:sz w:val="18"/>
                      <w:szCs w:val="18"/>
                      <w:highlight w:val="none"/>
                    </w:rPr>
                  </w:pPr>
                  <w:r>
                    <w:rPr>
                      <w:color w:val="auto"/>
                      <w:sz w:val="18"/>
                      <w:szCs w:val="18"/>
                      <w:highlight w:val="none"/>
                    </w:rPr>
                    <w:t>序号</w:t>
                  </w:r>
                </w:p>
              </w:tc>
              <w:tc>
                <w:tcPr>
                  <w:tcW w:w="478" w:type="pct"/>
                  <w:tcBorders>
                    <w:tl2br w:val="nil"/>
                    <w:tr2bl w:val="nil"/>
                  </w:tcBorders>
                  <w:vAlign w:val="center"/>
                </w:tcPr>
                <w:p w14:paraId="274AEB9D">
                  <w:pPr>
                    <w:jc w:val="center"/>
                    <w:rPr>
                      <w:color w:val="auto"/>
                      <w:sz w:val="18"/>
                      <w:szCs w:val="18"/>
                      <w:highlight w:val="none"/>
                    </w:rPr>
                  </w:pPr>
                  <w:r>
                    <w:rPr>
                      <w:color w:val="auto"/>
                      <w:sz w:val="18"/>
                      <w:szCs w:val="18"/>
                      <w:highlight w:val="none"/>
                    </w:rPr>
                    <w:t>类别</w:t>
                  </w:r>
                </w:p>
              </w:tc>
              <w:tc>
                <w:tcPr>
                  <w:tcW w:w="3526" w:type="pct"/>
                  <w:tcBorders>
                    <w:tl2br w:val="nil"/>
                    <w:tr2bl w:val="nil"/>
                  </w:tcBorders>
                  <w:vAlign w:val="center"/>
                </w:tcPr>
                <w:p w14:paraId="003DBD68">
                  <w:pPr>
                    <w:jc w:val="center"/>
                    <w:rPr>
                      <w:color w:val="auto"/>
                      <w:sz w:val="18"/>
                      <w:szCs w:val="18"/>
                      <w:highlight w:val="none"/>
                    </w:rPr>
                  </w:pPr>
                  <w:r>
                    <w:rPr>
                      <w:color w:val="auto"/>
                      <w:sz w:val="18"/>
                      <w:szCs w:val="18"/>
                      <w:highlight w:val="none"/>
                    </w:rPr>
                    <w:t>主要内容</w:t>
                  </w:r>
                </w:p>
              </w:tc>
              <w:tc>
                <w:tcPr>
                  <w:tcW w:w="697" w:type="pct"/>
                  <w:tcBorders>
                    <w:tl2br w:val="nil"/>
                    <w:tr2bl w:val="nil"/>
                  </w:tcBorders>
                  <w:vAlign w:val="center"/>
                </w:tcPr>
                <w:p w14:paraId="5B97EA50">
                  <w:pPr>
                    <w:jc w:val="center"/>
                    <w:rPr>
                      <w:color w:val="auto"/>
                      <w:sz w:val="18"/>
                      <w:szCs w:val="18"/>
                      <w:highlight w:val="none"/>
                    </w:rPr>
                  </w:pPr>
                  <w:r>
                    <w:rPr>
                      <w:color w:val="auto"/>
                      <w:sz w:val="18"/>
                      <w:szCs w:val="18"/>
                      <w:highlight w:val="none"/>
                    </w:rPr>
                    <w:t>符合性</w:t>
                  </w:r>
                </w:p>
              </w:tc>
            </w:tr>
            <w:tr w14:paraId="0C1F975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283" w:hRule="atLeast"/>
                <w:jc w:val="center"/>
              </w:trPr>
              <w:tc>
                <w:tcPr>
                  <w:tcW w:w="297" w:type="pct"/>
                  <w:tcBorders>
                    <w:tl2br w:val="nil"/>
                    <w:tr2bl w:val="nil"/>
                  </w:tcBorders>
                  <w:vAlign w:val="center"/>
                </w:tcPr>
                <w:p w14:paraId="4E12B2AB">
                  <w:pPr>
                    <w:jc w:val="center"/>
                    <w:rPr>
                      <w:color w:val="auto"/>
                      <w:sz w:val="18"/>
                      <w:szCs w:val="18"/>
                      <w:highlight w:val="none"/>
                    </w:rPr>
                  </w:pPr>
                  <w:r>
                    <w:rPr>
                      <w:color w:val="auto"/>
                      <w:sz w:val="18"/>
                      <w:szCs w:val="18"/>
                      <w:highlight w:val="none"/>
                    </w:rPr>
                    <w:t>1</w:t>
                  </w:r>
                </w:p>
              </w:tc>
              <w:tc>
                <w:tcPr>
                  <w:tcW w:w="478" w:type="pct"/>
                  <w:tcBorders>
                    <w:tl2br w:val="nil"/>
                    <w:tr2bl w:val="nil"/>
                  </w:tcBorders>
                  <w:vAlign w:val="center"/>
                </w:tcPr>
                <w:p w14:paraId="3E5D38A4">
                  <w:pPr>
                    <w:jc w:val="center"/>
                    <w:rPr>
                      <w:color w:val="auto"/>
                      <w:sz w:val="18"/>
                      <w:szCs w:val="18"/>
                      <w:highlight w:val="none"/>
                    </w:rPr>
                  </w:pPr>
                  <w:r>
                    <w:rPr>
                      <w:color w:val="auto"/>
                      <w:sz w:val="18"/>
                      <w:szCs w:val="18"/>
                      <w:highlight w:val="none"/>
                    </w:rPr>
                    <w:t>空间准入标准</w:t>
                  </w:r>
                </w:p>
              </w:tc>
              <w:tc>
                <w:tcPr>
                  <w:tcW w:w="3526" w:type="pct"/>
                  <w:tcBorders>
                    <w:tl2br w:val="nil"/>
                    <w:tr2bl w:val="nil"/>
                  </w:tcBorders>
                  <w:vAlign w:val="center"/>
                </w:tcPr>
                <w:p w14:paraId="1952C259">
                  <w:pPr>
                    <w:rPr>
                      <w:color w:val="auto"/>
                      <w:sz w:val="18"/>
                      <w:szCs w:val="18"/>
                      <w:highlight w:val="none"/>
                    </w:rPr>
                  </w:pPr>
                  <w:r>
                    <w:rPr>
                      <w:color w:val="auto"/>
                      <w:sz w:val="18"/>
                      <w:szCs w:val="18"/>
                      <w:highlight w:val="none"/>
                    </w:rPr>
                    <w:t>具体详见清单1生态空间清单、清单5环境准入条件清单。</w:t>
                  </w:r>
                </w:p>
              </w:tc>
              <w:tc>
                <w:tcPr>
                  <w:tcW w:w="697" w:type="pct"/>
                  <w:tcBorders>
                    <w:tl2br w:val="nil"/>
                    <w:tr2bl w:val="nil"/>
                  </w:tcBorders>
                  <w:vAlign w:val="center"/>
                </w:tcPr>
                <w:p w14:paraId="16F690D9">
                  <w:pPr>
                    <w:rPr>
                      <w:color w:val="auto"/>
                      <w:sz w:val="18"/>
                      <w:szCs w:val="18"/>
                      <w:highlight w:val="none"/>
                    </w:rPr>
                  </w:pPr>
                  <w:r>
                    <w:rPr>
                      <w:color w:val="auto"/>
                      <w:sz w:val="18"/>
                      <w:szCs w:val="18"/>
                      <w:highlight w:val="none"/>
                    </w:rPr>
                    <w:t>符合。详见表1-</w:t>
                  </w:r>
                  <w:r>
                    <w:rPr>
                      <w:rFonts w:hint="default"/>
                      <w:color w:val="auto"/>
                      <w:sz w:val="18"/>
                      <w:szCs w:val="18"/>
                      <w:highlight w:val="none"/>
                      <w:lang w:val="en-US" w:eastAsia="zh-CN"/>
                    </w:rPr>
                    <w:t>2</w:t>
                  </w:r>
                  <w:r>
                    <w:rPr>
                      <w:color w:val="auto"/>
                      <w:sz w:val="18"/>
                      <w:szCs w:val="18"/>
                      <w:highlight w:val="none"/>
                    </w:rPr>
                    <w:t>、表1-</w:t>
                  </w:r>
                  <w:r>
                    <w:rPr>
                      <w:rFonts w:hint="default"/>
                      <w:color w:val="auto"/>
                      <w:sz w:val="18"/>
                      <w:szCs w:val="18"/>
                      <w:highlight w:val="none"/>
                      <w:lang w:val="en-US" w:eastAsia="zh-CN"/>
                    </w:rPr>
                    <w:t>6</w:t>
                  </w:r>
                  <w:r>
                    <w:rPr>
                      <w:color w:val="auto"/>
                      <w:sz w:val="18"/>
                      <w:szCs w:val="18"/>
                      <w:highlight w:val="none"/>
                    </w:rPr>
                    <w:t>。</w:t>
                  </w:r>
                </w:p>
              </w:tc>
            </w:tr>
            <w:tr w14:paraId="1497398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283" w:hRule="atLeast"/>
                <w:jc w:val="center"/>
              </w:trPr>
              <w:tc>
                <w:tcPr>
                  <w:tcW w:w="297" w:type="pct"/>
                  <w:tcBorders>
                    <w:tl2br w:val="nil"/>
                    <w:tr2bl w:val="nil"/>
                  </w:tcBorders>
                  <w:vAlign w:val="center"/>
                </w:tcPr>
                <w:p w14:paraId="32FED661">
                  <w:pPr>
                    <w:jc w:val="center"/>
                    <w:rPr>
                      <w:color w:val="auto"/>
                      <w:sz w:val="18"/>
                      <w:szCs w:val="18"/>
                      <w:highlight w:val="none"/>
                    </w:rPr>
                  </w:pPr>
                  <w:r>
                    <w:rPr>
                      <w:color w:val="auto"/>
                      <w:sz w:val="18"/>
                      <w:szCs w:val="18"/>
                      <w:highlight w:val="none"/>
                    </w:rPr>
                    <w:t>2</w:t>
                  </w:r>
                </w:p>
              </w:tc>
              <w:tc>
                <w:tcPr>
                  <w:tcW w:w="478" w:type="pct"/>
                  <w:tcBorders>
                    <w:tl2br w:val="nil"/>
                    <w:tr2bl w:val="nil"/>
                  </w:tcBorders>
                  <w:vAlign w:val="center"/>
                </w:tcPr>
                <w:p w14:paraId="757309EC">
                  <w:pPr>
                    <w:jc w:val="center"/>
                    <w:rPr>
                      <w:color w:val="auto"/>
                      <w:sz w:val="18"/>
                      <w:szCs w:val="18"/>
                      <w:highlight w:val="none"/>
                    </w:rPr>
                  </w:pPr>
                  <w:r>
                    <w:rPr>
                      <w:color w:val="auto"/>
                      <w:sz w:val="18"/>
                      <w:szCs w:val="18"/>
                      <w:highlight w:val="none"/>
                    </w:rPr>
                    <w:t>污染物排放标准</w:t>
                  </w:r>
                </w:p>
              </w:tc>
              <w:tc>
                <w:tcPr>
                  <w:tcW w:w="3526" w:type="pct"/>
                  <w:tcBorders>
                    <w:tl2br w:val="nil"/>
                    <w:tr2bl w:val="nil"/>
                  </w:tcBorders>
                  <w:vAlign w:val="center"/>
                </w:tcPr>
                <w:p w14:paraId="595095E6">
                  <w:pPr>
                    <w:rPr>
                      <w:color w:val="auto"/>
                      <w:sz w:val="18"/>
                      <w:szCs w:val="18"/>
                      <w:highlight w:val="none"/>
                    </w:rPr>
                  </w:pPr>
                  <w:r>
                    <w:rPr>
                      <w:color w:val="auto"/>
                      <w:sz w:val="18"/>
                      <w:szCs w:val="18"/>
                      <w:highlight w:val="none"/>
                    </w:rPr>
                    <w:t>废水：</w:t>
                  </w:r>
                  <w:r>
                    <w:rPr>
                      <w:rFonts w:hint="default"/>
                      <w:color w:val="auto"/>
                      <w:sz w:val="18"/>
                      <w:szCs w:val="18"/>
                      <w:highlight w:val="none"/>
                    </w:rPr>
                    <w:t>①</w:t>
                  </w:r>
                  <w:r>
                    <w:rPr>
                      <w:color w:val="auto"/>
                      <w:sz w:val="18"/>
                      <w:szCs w:val="18"/>
                      <w:highlight w:val="none"/>
                    </w:rPr>
                    <w:t>综合排放标准：基地纳管废水执行《污水综合排放标准》(GB8978-1996)三级标准；良渚污水处理厂、塘栖污水处理厂尾水排放均执行GB18918-2002中的一级A标准。</w:t>
                  </w:r>
                </w:p>
                <w:p w14:paraId="03937971">
                  <w:pPr>
                    <w:rPr>
                      <w:color w:val="auto"/>
                      <w:sz w:val="18"/>
                      <w:szCs w:val="18"/>
                      <w:highlight w:val="none"/>
                    </w:rPr>
                  </w:pPr>
                  <w:r>
                    <w:rPr>
                      <w:rFonts w:hint="default"/>
                      <w:color w:val="auto"/>
                      <w:sz w:val="18"/>
                      <w:szCs w:val="18"/>
                      <w:highlight w:val="none"/>
                    </w:rPr>
                    <w:t>②</w:t>
                  </w:r>
                  <w:r>
                    <w:rPr>
                      <w:color w:val="auto"/>
                      <w:sz w:val="18"/>
                      <w:szCs w:val="18"/>
                      <w:highlight w:val="none"/>
                    </w:rPr>
                    <w:t>行业排放标准：基地内印染企业废水排放执行《纺织染整工业水污染物排放标准》(GB4287-2012)及其修改单(公告2015年第19号)；电镀企业废水排放执行《电镀水污染物排放标准》(DB33 2260-2020)；合成树脂企业废水纳管排放执行《合成树脂工业污染物排放标准》(GB31572-2015)中表1规定的间接排放限值；含酸洗工序的企业废水中总铁排放执行《酸洗废水排放总铁浓度限值》(DB33/ 844-2011)中二级标准。</w:t>
                  </w:r>
                </w:p>
                <w:p w14:paraId="4BA69235">
                  <w:pPr>
                    <w:rPr>
                      <w:color w:val="auto"/>
                      <w:sz w:val="18"/>
                      <w:szCs w:val="18"/>
                      <w:highlight w:val="none"/>
                    </w:rPr>
                  </w:pPr>
                  <w:r>
                    <w:rPr>
                      <w:color w:val="auto"/>
                      <w:sz w:val="18"/>
                      <w:szCs w:val="18"/>
                      <w:highlight w:val="none"/>
                    </w:rPr>
                    <w:t>废气：</w:t>
                  </w:r>
                  <w:r>
                    <w:rPr>
                      <w:rFonts w:hint="default"/>
                      <w:color w:val="auto"/>
                      <w:sz w:val="18"/>
                      <w:szCs w:val="18"/>
                      <w:highlight w:val="none"/>
                    </w:rPr>
                    <w:t>①</w:t>
                  </w:r>
                  <w:r>
                    <w:rPr>
                      <w:color w:val="auto"/>
                      <w:sz w:val="18"/>
                      <w:szCs w:val="18"/>
                      <w:highlight w:val="none"/>
                    </w:rPr>
                    <w:t>综合排放标准：基地内工业企业废气排放执行《大气污染物综合排放标准》(GB16297-1996)中的二级标准；GB16297-1996中无标准限值的，根据环函[2003]363号，有组织废气排放浓度参照执行GBZ2.1-2019《工作场所有害因素职业接触限值化学有害因素》中8小时加权平均容许浓度，场界无组织监控浓度按照居住区标准的4倍执行；恶臭污染物排放执行《恶臭污染物排放标准》(GB14554-93)中的新改扩建二级标准；企业自备锅炉废气排放执行《锅炉大气污染物排放标准》(GB13271-2014)中表3规定的大气污染物特别排放限值；工业炉窑废气排放执行《工业炉窑大气污染物排放标准》(GB9078-1996)中二级标准，同时根据《浙江省生态环境厅 浙江省发展和改革委员会 浙江省经济和信息化厅 浙江省财政厅关于印发浙江省工业炉窑大气污染物综合治理实施方案的通知》(浙环函[2019]315号)“暂未制订行业排放标准的，重点区域原则上按照颗粒物、二氧化硫、氮氧化物排放限值分别不高于30、200、300毫克/立方米实施改造”。</w:t>
                  </w:r>
                </w:p>
                <w:p w14:paraId="5043D0E5">
                  <w:pPr>
                    <w:rPr>
                      <w:color w:val="auto"/>
                      <w:sz w:val="18"/>
                      <w:szCs w:val="18"/>
                      <w:highlight w:val="none"/>
                    </w:rPr>
                  </w:pPr>
                  <w:r>
                    <w:rPr>
                      <w:rFonts w:hint="default"/>
                      <w:color w:val="auto"/>
                      <w:sz w:val="18"/>
                      <w:szCs w:val="18"/>
                      <w:highlight w:val="none"/>
                    </w:rPr>
                    <w:t>②</w:t>
                  </w:r>
                  <w:r>
                    <w:rPr>
                      <w:color w:val="auto"/>
                      <w:sz w:val="18"/>
                      <w:szCs w:val="18"/>
                      <w:highlight w:val="none"/>
                    </w:rPr>
                    <w:t>行业排放标准：基地内印染企业定型废气排放执行《纺织染整工业大气污染物排放标准》(DB33/962-2015)中表1规定的新建企业排放限值；涂装企业涂装工序废气执行《工业涂装工序大气污染物排放标准》(DB33 2146-2018)中表1规定的大气污染物排放限值；电镀企业废气排放执行《电镀污染物排放标准》(GB21900-2008)中新建企业大气污染物排放限值和单位产品基准排气量；合成树脂企业工艺废气排放执行《合成树脂工业污染物排放标准》(GB31572-2015)中表5规定的大气污染物特别排放限值。</w:t>
                  </w:r>
                </w:p>
                <w:p w14:paraId="54B1D2A2">
                  <w:pPr>
                    <w:rPr>
                      <w:color w:val="auto"/>
                      <w:sz w:val="18"/>
                      <w:szCs w:val="18"/>
                      <w:highlight w:val="none"/>
                    </w:rPr>
                  </w:pPr>
                  <w:r>
                    <w:rPr>
                      <w:rFonts w:hint="default"/>
                      <w:color w:val="auto"/>
                      <w:sz w:val="18"/>
                      <w:szCs w:val="18"/>
                      <w:highlight w:val="none"/>
                    </w:rPr>
                    <w:t>③</w:t>
                  </w:r>
                  <w:r>
                    <w:rPr>
                      <w:color w:val="auto"/>
                      <w:sz w:val="18"/>
                      <w:szCs w:val="18"/>
                      <w:highlight w:val="none"/>
                    </w:rPr>
                    <w:t>生活类废气污染源：基地内宾馆、酒店等自备锅炉燃料废气排放执行《锅炉大气污染物排放标准》(GB13271-2014)中的表3规定的大气污染物特别排放限值；餐饮业单位及企事业食堂油烟废气排放执行《饮食业油烟排放标准(试行)》(GB18483-2001)中的相应规模标准。</w:t>
                  </w:r>
                </w:p>
                <w:p w14:paraId="44EA6AD7">
                  <w:pPr>
                    <w:rPr>
                      <w:color w:val="auto"/>
                      <w:sz w:val="18"/>
                      <w:szCs w:val="18"/>
                      <w:highlight w:val="none"/>
                    </w:rPr>
                  </w:pPr>
                  <w:r>
                    <w:rPr>
                      <w:color w:val="auto"/>
                      <w:sz w:val="18"/>
                      <w:szCs w:val="18"/>
                      <w:highlight w:val="none"/>
                    </w:rPr>
                    <w:t>噪声：基地内工业企业厂界环境噪声排放执行《工业企业厂界环境噪声排放标准》(GB12348-2008)；营业性文化娱乐场所、商业经营活动中使用的向环境排放噪声的设备、设施产生的噪声执行《社会生活环境噪声排放标准》(GB22337-2008)；施工期噪声执行《建筑施工场界环境噪声排放标准》(GB12523-2011)。</w:t>
                  </w:r>
                </w:p>
                <w:p w14:paraId="701199B6">
                  <w:pPr>
                    <w:rPr>
                      <w:color w:val="auto"/>
                      <w:sz w:val="18"/>
                      <w:szCs w:val="18"/>
                      <w:highlight w:val="none"/>
                    </w:rPr>
                  </w:pPr>
                  <w:r>
                    <w:rPr>
                      <w:color w:val="auto"/>
                      <w:sz w:val="18"/>
                      <w:szCs w:val="18"/>
                      <w:highlight w:val="none"/>
                    </w:rPr>
                    <w:t>固废：一般工业固体废物厂内暂存、处置执行《一般工业固体废物贮存和填埋污染控制标准》(GB 18599-2020)；危险废物厂内暂存执行《危险废物贮存污染控制标准》(GB18597-20</w:t>
                  </w:r>
                  <w:r>
                    <w:rPr>
                      <w:rFonts w:hint="default"/>
                      <w:color w:val="auto"/>
                      <w:sz w:val="18"/>
                      <w:szCs w:val="18"/>
                      <w:highlight w:val="none"/>
                      <w:lang w:val="en-US" w:eastAsia="zh-CN"/>
                    </w:rPr>
                    <w:t>23</w:t>
                  </w:r>
                  <w:r>
                    <w:rPr>
                      <w:color w:val="auto"/>
                      <w:sz w:val="18"/>
                      <w:szCs w:val="18"/>
                      <w:highlight w:val="none"/>
                    </w:rPr>
                    <w:t>)及修改单；危险废物处置执行《危险废物填埋污染控制标准》(GB18598-20</w:t>
                  </w:r>
                  <w:r>
                    <w:rPr>
                      <w:rFonts w:hint="default"/>
                      <w:color w:val="auto"/>
                      <w:sz w:val="18"/>
                      <w:szCs w:val="18"/>
                      <w:highlight w:val="none"/>
                      <w:lang w:val="en-US" w:eastAsia="zh-CN"/>
                    </w:rPr>
                    <w:t>19</w:t>
                  </w:r>
                  <w:r>
                    <w:rPr>
                      <w:color w:val="auto"/>
                      <w:sz w:val="18"/>
                      <w:szCs w:val="18"/>
                      <w:highlight w:val="none"/>
                    </w:rPr>
                    <w:t>)或《危险废物焚烧污染控制标准》(GB18484-20</w:t>
                  </w:r>
                  <w:r>
                    <w:rPr>
                      <w:rFonts w:hint="default"/>
                      <w:color w:val="auto"/>
                      <w:sz w:val="18"/>
                      <w:szCs w:val="18"/>
                      <w:highlight w:val="none"/>
                      <w:lang w:val="en-US" w:eastAsia="zh-CN"/>
                    </w:rPr>
                    <w:t>20</w:t>
                  </w:r>
                  <w:r>
                    <w:rPr>
                      <w:color w:val="auto"/>
                      <w:sz w:val="18"/>
                      <w:szCs w:val="18"/>
                      <w:highlight w:val="none"/>
                    </w:rPr>
                    <w:t>)等有关规定。</w:t>
                  </w:r>
                </w:p>
              </w:tc>
              <w:tc>
                <w:tcPr>
                  <w:tcW w:w="697" w:type="pct"/>
                  <w:tcBorders>
                    <w:tl2br w:val="nil"/>
                    <w:tr2bl w:val="nil"/>
                  </w:tcBorders>
                  <w:vAlign w:val="center"/>
                </w:tcPr>
                <w:p w14:paraId="6E42D2A0">
                  <w:pPr>
                    <w:rPr>
                      <w:b/>
                      <w:bCs/>
                      <w:color w:val="auto"/>
                      <w:sz w:val="18"/>
                      <w:szCs w:val="18"/>
                      <w:highlight w:val="none"/>
                    </w:rPr>
                  </w:pPr>
                  <w:r>
                    <w:rPr>
                      <w:color w:val="auto"/>
                      <w:sz w:val="18"/>
                      <w:szCs w:val="18"/>
                      <w:highlight w:val="none"/>
                    </w:rPr>
                    <w:t>符合。本项目废水达《污水综合排放标准》(GB8978-1996)三级标准后纳管；废气排放可达到《大气污染物综合排放标准》(GB16297-1996)</w:t>
                  </w:r>
                  <w:r>
                    <w:rPr>
                      <w:rFonts w:hint="default"/>
                      <w:color w:val="auto"/>
                      <w:sz w:val="18"/>
                      <w:szCs w:val="18"/>
                      <w:highlight w:val="none"/>
                    </w:rPr>
                    <w:t>、《恶臭污染物排放标准》(GB14554-93)</w:t>
                  </w:r>
                  <w:r>
                    <w:rPr>
                      <w:color w:val="auto"/>
                      <w:sz w:val="18"/>
                      <w:szCs w:val="18"/>
                      <w:highlight w:val="none"/>
                    </w:rPr>
                    <w:t>相关要求</w:t>
                  </w:r>
                  <w:r>
                    <w:rPr>
                      <w:b/>
                      <w:bCs/>
                      <w:color w:val="auto"/>
                      <w:sz w:val="18"/>
                      <w:szCs w:val="18"/>
                      <w:highlight w:val="none"/>
                    </w:rPr>
                    <w:t>；</w:t>
                  </w:r>
                  <w:r>
                    <w:rPr>
                      <w:color w:val="auto"/>
                      <w:sz w:val="18"/>
                      <w:szCs w:val="18"/>
                      <w:highlight w:val="none"/>
                    </w:rPr>
                    <w:t>采取隔声降噪措施后，厂界噪声可达《工业企业厂界环境噪声排放标准》(GB12348-2008)中的</w:t>
                  </w:r>
                  <w:r>
                    <w:rPr>
                      <w:rFonts w:hint="default"/>
                      <w:color w:val="auto"/>
                      <w:sz w:val="18"/>
                      <w:szCs w:val="18"/>
                      <w:highlight w:val="none"/>
                    </w:rPr>
                    <w:t>相应</w:t>
                  </w:r>
                  <w:r>
                    <w:rPr>
                      <w:color w:val="auto"/>
                      <w:sz w:val="18"/>
                      <w:szCs w:val="18"/>
                      <w:highlight w:val="none"/>
                    </w:rPr>
                    <w:t>标准；各类固废均能妥善收集、处置。</w:t>
                  </w:r>
                </w:p>
              </w:tc>
            </w:tr>
            <w:tr w14:paraId="5BE2730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283" w:hRule="atLeast"/>
                <w:jc w:val="center"/>
              </w:trPr>
              <w:tc>
                <w:tcPr>
                  <w:tcW w:w="297" w:type="pct"/>
                  <w:tcBorders>
                    <w:tl2br w:val="nil"/>
                    <w:tr2bl w:val="nil"/>
                  </w:tcBorders>
                  <w:vAlign w:val="center"/>
                </w:tcPr>
                <w:p w14:paraId="08872EE4">
                  <w:pPr>
                    <w:jc w:val="center"/>
                    <w:rPr>
                      <w:color w:val="auto"/>
                      <w:sz w:val="18"/>
                      <w:szCs w:val="18"/>
                      <w:highlight w:val="none"/>
                    </w:rPr>
                  </w:pPr>
                  <w:r>
                    <w:rPr>
                      <w:color w:val="auto"/>
                      <w:sz w:val="18"/>
                      <w:szCs w:val="18"/>
                      <w:highlight w:val="none"/>
                    </w:rPr>
                    <w:t>3</w:t>
                  </w:r>
                </w:p>
              </w:tc>
              <w:tc>
                <w:tcPr>
                  <w:tcW w:w="478" w:type="pct"/>
                  <w:tcBorders>
                    <w:tl2br w:val="nil"/>
                    <w:tr2bl w:val="nil"/>
                  </w:tcBorders>
                  <w:vAlign w:val="center"/>
                </w:tcPr>
                <w:p w14:paraId="451E8671">
                  <w:pPr>
                    <w:jc w:val="center"/>
                    <w:rPr>
                      <w:color w:val="auto"/>
                      <w:sz w:val="18"/>
                      <w:szCs w:val="18"/>
                      <w:highlight w:val="none"/>
                    </w:rPr>
                  </w:pPr>
                  <w:r>
                    <w:rPr>
                      <w:color w:val="auto"/>
                      <w:sz w:val="18"/>
                      <w:szCs w:val="18"/>
                      <w:highlight w:val="none"/>
                    </w:rPr>
                    <w:t>环境质量管控标准</w:t>
                  </w:r>
                </w:p>
              </w:tc>
              <w:tc>
                <w:tcPr>
                  <w:tcW w:w="3526" w:type="pct"/>
                  <w:tcBorders>
                    <w:tl2br w:val="nil"/>
                    <w:tr2bl w:val="nil"/>
                  </w:tcBorders>
                  <w:vAlign w:val="center"/>
                </w:tcPr>
                <w:p w14:paraId="3F187DEF">
                  <w:pPr>
                    <w:rPr>
                      <w:color w:val="auto"/>
                      <w:sz w:val="18"/>
                      <w:szCs w:val="18"/>
                      <w:highlight w:val="none"/>
                    </w:rPr>
                  </w:pPr>
                  <w:r>
                    <w:rPr>
                      <w:color w:val="auto"/>
                      <w:sz w:val="18"/>
                      <w:szCs w:val="18"/>
                      <w:highlight w:val="none"/>
                    </w:rPr>
                    <w:t>大气环境：基地所在区域环境空气质量执行《环境空气质量标准》(GB3095-2012)中的二级标准；对于GB3095-2012中无规划的特殊空气污染物，参照执行《环境影响评价技术导则大气环境》(HJ2.2-2018)中附录D其他污染物空气质量浓度参考限值，若该标准中没有规定的，参照执行前苏联 “居民区大气中有害物质最高允许浓度” (CH-245-71)；非甲烷总烃以《大气污染物综合排放标准详解》中Cm取值规定作为质量标准参考值。</w:t>
                  </w:r>
                </w:p>
                <w:p w14:paraId="29A40E58">
                  <w:pPr>
                    <w:rPr>
                      <w:color w:val="auto"/>
                      <w:sz w:val="18"/>
                      <w:szCs w:val="18"/>
                      <w:highlight w:val="none"/>
                    </w:rPr>
                  </w:pPr>
                  <w:r>
                    <w:rPr>
                      <w:color w:val="auto"/>
                      <w:sz w:val="18"/>
                      <w:szCs w:val="18"/>
                      <w:highlight w:val="none"/>
                    </w:rPr>
                    <w:t>地表水环境：基地内及周边的东苕溪(苕溪61)水质执行《地表水环境质量标准》(GB3838-2002)中的</w:t>
                  </w:r>
                  <w:r>
                    <w:rPr>
                      <w:rFonts w:hint="default"/>
                      <w:color w:val="auto"/>
                      <w:sz w:val="18"/>
                      <w:szCs w:val="18"/>
                      <w:highlight w:val="none"/>
                    </w:rPr>
                    <w:t>Ⅱ</w:t>
                  </w:r>
                  <w:r>
                    <w:rPr>
                      <w:color w:val="auto"/>
                      <w:sz w:val="18"/>
                      <w:szCs w:val="18"/>
                      <w:highlight w:val="none"/>
                    </w:rPr>
                    <w:t>类(上纤埠—北窑坞大桥下游1.1公里)、</w:t>
                  </w:r>
                  <w:r>
                    <w:rPr>
                      <w:rFonts w:hint="default"/>
                      <w:color w:val="auto"/>
                      <w:sz w:val="18"/>
                      <w:szCs w:val="18"/>
                      <w:highlight w:val="none"/>
                    </w:rPr>
                    <w:t>Ⅲ</w:t>
                  </w:r>
                  <w:r>
                    <w:rPr>
                      <w:color w:val="auto"/>
                      <w:sz w:val="18"/>
                      <w:szCs w:val="18"/>
                      <w:highlight w:val="none"/>
                    </w:rPr>
                    <w:t>类(北窑坞大桥下游1.1公里—杭宁高速下游800米)水质标准，京杭运河(杭嘉湖14)、西塘河(杭嘉湖31)、良渚港(杭嘉湖34)、东塘港(杭嘉湖36)执行</w:t>
                  </w:r>
                  <w:r>
                    <w:rPr>
                      <w:rFonts w:hint="default"/>
                      <w:color w:val="auto"/>
                      <w:sz w:val="18"/>
                      <w:szCs w:val="18"/>
                      <w:highlight w:val="none"/>
                    </w:rPr>
                    <w:t>Ⅲ</w:t>
                  </w:r>
                  <w:r>
                    <w:rPr>
                      <w:color w:val="auto"/>
                      <w:sz w:val="18"/>
                      <w:szCs w:val="18"/>
                      <w:highlight w:val="none"/>
                    </w:rPr>
                    <w:t>类水质标准，京杭运河(杭嘉湖13)执行</w:t>
                  </w:r>
                  <w:r>
                    <w:rPr>
                      <w:rFonts w:hint="default"/>
                      <w:color w:val="auto"/>
                      <w:sz w:val="18"/>
                      <w:szCs w:val="18"/>
                      <w:highlight w:val="none"/>
                    </w:rPr>
                    <w:t>Ⅳ</w:t>
                  </w:r>
                  <w:r>
                    <w:rPr>
                      <w:color w:val="auto"/>
                      <w:sz w:val="18"/>
                      <w:szCs w:val="18"/>
                      <w:highlight w:val="none"/>
                    </w:rPr>
                    <w:t>类水质标准。</w:t>
                  </w:r>
                </w:p>
                <w:p w14:paraId="15C71B9D">
                  <w:pPr>
                    <w:rPr>
                      <w:color w:val="auto"/>
                      <w:sz w:val="18"/>
                      <w:szCs w:val="18"/>
                      <w:highlight w:val="none"/>
                    </w:rPr>
                  </w:pPr>
                  <w:r>
                    <w:rPr>
                      <w:color w:val="auto"/>
                      <w:sz w:val="18"/>
                      <w:szCs w:val="18"/>
                      <w:highlight w:val="none"/>
                    </w:rPr>
                    <w:t>地下水环境：基地所在区域地下水质参照执行《地下水质量标准》(GB/T14848-2017)中的</w:t>
                  </w:r>
                  <w:r>
                    <w:rPr>
                      <w:rFonts w:hint="default"/>
                      <w:color w:val="auto"/>
                      <w:sz w:val="18"/>
                      <w:szCs w:val="18"/>
                      <w:highlight w:val="none"/>
                    </w:rPr>
                    <w:t>Ⅲ</w:t>
                  </w:r>
                  <w:r>
                    <w:rPr>
                      <w:color w:val="auto"/>
                      <w:sz w:val="18"/>
                      <w:szCs w:val="18"/>
                      <w:highlight w:val="none"/>
                    </w:rPr>
                    <w:t>类标准。</w:t>
                  </w:r>
                </w:p>
                <w:p w14:paraId="127B211E">
                  <w:pPr>
                    <w:rPr>
                      <w:color w:val="auto"/>
                      <w:sz w:val="18"/>
                      <w:szCs w:val="18"/>
                      <w:highlight w:val="none"/>
                    </w:rPr>
                  </w:pPr>
                  <w:r>
                    <w:rPr>
                      <w:color w:val="auto"/>
                      <w:sz w:val="18"/>
                      <w:szCs w:val="18"/>
                      <w:highlight w:val="none"/>
                    </w:rPr>
                    <w:t>土壤环境：基地内居住用地等第一类建设用地土壤环境执行《土壤环境质量 建设用地土壤污染风险管控标准(试行)》(GB36600-2018)中第一类用地筛选值，工业用地等第二类建设用地土壤环境执行GB36600-2018中第二类用地筛选值；农用地土壤环境执行《土壤环境质量 农用地土壤污染风险管控标准(试行)》(GB15618-2018)中相应风险筛选值，底泥参照执行GB15618-2018中“其他”标准。</w:t>
                  </w:r>
                </w:p>
                <w:p w14:paraId="18B22F87">
                  <w:pPr>
                    <w:rPr>
                      <w:color w:val="auto"/>
                      <w:sz w:val="18"/>
                      <w:szCs w:val="18"/>
                      <w:highlight w:val="none"/>
                    </w:rPr>
                  </w:pPr>
                  <w:r>
                    <w:rPr>
                      <w:color w:val="auto"/>
                      <w:sz w:val="18"/>
                      <w:szCs w:val="18"/>
                      <w:highlight w:val="none"/>
                    </w:rPr>
                    <w:t>声环境：基地内声环境执行《声环境质量标准》(GB3096-2008)中相应标准：大运河工业片区、仁和北产业发展片区、仁和中产业发展片区等工业区块为3类标准，交通干线两侧区域及京杭运河等河道两岸为4类标准，商业居住等其他区块执行2类标准。</w:t>
                  </w:r>
                </w:p>
              </w:tc>
              <w:tc>
                <w:tcPr>
                  <w:tcW w:w="697" w:type="pct"/>
                  <w:tcBorders>
                    <w:tl2br w:val="nil"/>
                    <w:tr2bl w:val="nil"/>
                  </w:tcBorders>
                  <w:vAlign w:val="center"/>
                </w:tcPr>
                <w:p w14:paraId="06D6074B">
                  <w:pPr>
                    <w:rPr>
                      <w:color w:val="auto"/>
                      <w:sz w:val="18"/>
                      <w:szCs w:val="18"/>
                      <w:highlight w:val="none"/>
                    </w:rPr>
                  </w:pPr>
                  <w:r>
                    <w:rPr>
                      <w:color w:val="auto"/>
                      <w:sz w:val="18"/>
                      <w:szCs w:val="18"/>
                      <w:highlight w:val="none"/>
                    </w:rPr>
                    <w:t>符合。项目实施后各类污染物均可达标排放</w:t>
                  </w:r>
                  <w:r>
                    <w:rPr>
                      <w:rFonts w:hint="default"/>
                      <w:color w:val="auto"/>
                      <w:sz w:val="18"/>
                      <w:szCs w:val="18"/>
                      <w:highlight w:val="none"/>
                    </w:rPr>
                    <w:t>。</w:t>
                  </w:r>
                </w:p>
              </w:tc>
            </w:tr>
            <w:tr w14:paraId="06946CA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283" w:hRule="atLeast"/>
                <w:jc w:val="center"/>
              </w:trPr>
              <w:tc>
                <w:tcPr>
                  <w:tcW w:w="297" w:type="pct"/>
                  <w:tcBorders>
                    <w:tl2br w:val="nil"/>
                    <w:tr2bl w:val="nil"/>
                  </w:tcBorders>
                  <w:vAlign w:val="center"/>
                </w:tcPr>
                <w:p w14:paraId="1963C8E2">
                  <w:pPr>
                    <w:jc w:val="center"/>
                    <w:rPr>
                      <w:color w:val="auto"/>
                      <w:sz w:val="18"/>
                      <w:szCs w:val="18"/>
                      <w:highlight w:val="none"/>
                    </w:rPr>
                  </w:pPr>
                  <w:r>
                    <w:rPr>
                      <w:color w:val="auto"/>
                      <w:sz w:val="18"/>
                      <w:szCs w:val="18"/>
                      <w:highlight w:val="none"/>
                    </w:rPr>
                    <w:t>4</w:t>
                  </w:r>
                </w:p>
              </w:tc>
              <w:tc>
                <w:tcPr>
                  <w:tcW w:w="478" w:type="pct"/>
                  <w:tcBorders>
                    <w:tl2br w:val="nil"/>
                    <w:tr2bl w:val="nil"/>
                  </w:tcBorders>
                  <w:vAlign w:val="center"/>
                </w:tcPr>
                <w:p w14:paraId="241E4AD0">
                  <w:pPr>
                    <w:jc w:val="center"/>
                    <w:rPr>
                      <w:color w:val="auto"/>
                      <w:sz w:val="18"/>
                      <w:szCs w:val="18"/>
                      <w:highlight w:val="none"/>
                    </w:rPr>
                  </w:pPr>
                  <w:r>
                    <w:rPr>
                      <w:color w:val="auto"/>
                      <w:sz w:val="18"/>
                      <w:szCs w:val="18"/>
                      <w:highlight w:val="none"/>
                    </w:rPr>
                    <w:t>总量</w:t>
                  </w:r>
                </w:p>
                <w:p w14:paraId="3928D6B1">
                  <w:pPr>
                    <w:jc w:val="center"/>
                    <w:rPr>
                      <w:color w:val="auto"/>
                      <w:sz w:val="18"/>
                      <w:szCs w:val="18"/>
                      <w:highlight w:val="none"/>
                    </w:rPr>
                  </w:pPr>
                  <w:r>
                    <w:rPr>
                      <w:color w:val="auto"/>
                      <w:sz w:val="18"/>
                      <w:szCs w:val="18"/>
                      <w:highlight w:val="none"/>
                    </w:rPr>
                    <w:t>控制</w:t>
                  </w:r>
                </w:p>
              </w:tc>
              <w:tc>
                <w:tcPr>
                  <w:tcW w:w="3526" w:type="pct"/>
                  <w:tcBorders>
                    <w:tl2br w:val="nil"/>
                    <w:tr2bl w:val="nil"/>
                  </w:tcBorders>
                  <w:vAlign w:val="center"/>
                </w:tcPr>
                <w:tbl>
                  <w:tblPr>
                    <w:tblStyle w:val="24"/>
                    <w:tblW w:w="5000" w:type="pct"/>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57" w:type="dxa"/>
                      <w:bottom w:w="0" w:type="dxa"/>
                      <w:right w:w="57" w:type="dxa"/>
                    </w:tblCellMar>
                  </w:tblPr>
                  <w:tblGrid>
                    <w:gridCol w:w="1371"/>
                    <w:gridCol w:w="908"/>
                    <w:gridCol w:w="1516"/>
                    <w:gridCol w:w="1666"/>
                  </w:tblGrid>
                  <w:tr w14:paraId="421DCF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284" w:hRule="atLeast"/>
                    </w:trPr>
                    <w:tc>
                      <w:tcPr>
                        <w:tcW w:w="2087" w:type="pct"/>
                        <w:gridSpan w:val="2"/>
                        <w:vMerge w:val="restart"/>
                        <w:tcBorders>
                          <w:tl2br w:val="nil"/>
                          <w:tr2bl w:val="nil"/>
                        </w:tcBorders>
                        <w:vAlign w:val="center"/>
                      </w:tcPr>
                      <w:p w14:paraId="6EC128ED">
                        <w:pPr>
                          <w:jc w:val="center"/>
                          <w:rPr>
                            <w:color w:val="auto"/>
                            <w:sz w:val="18"/>
                            <w:szCs w:val="18"/>
                            <w:highlight w:val="none"/>
                          </w:rPr>
                        </w:pPr>
                        <w:r>
                          <w:rPr>
                            <w:color w:val="auto"/>
                            <w:sz w:val="18"/>
                            <w:szCs w:val="18"/>
                            <w:highlight w:val="none"/>
                          </w:rPr>
                          <w:t>规划期</w:t>
                        </w:r>
                      </w:p>
                    </w:tc>
                    <w:tc>
                      <w:tcPr>
                        <w:tcW w:w="1388" w:type="pct"/>
                        <w:tcBorders>
                          <w:tl2br w:val="nil"/>
                          <w:tr2bl w:val="nil"/>
                        </w:tcBorders>
                        <w:vAlign w:val="center"/>
                      </w:tcPr>
                      <w:p w14:paraId="034C0A22">
                        <w:pPr>
                          <w:jc w:val="center"/>
                          <w:rPr>
                            <w:color w:val="auto"/>
                            <w:sz w:val="18"/>
                            <w:szCs w:val="18"/>
                            <w:highlight w:val="none"/>
                          </w:rPr>
                        </w:pPr>
                        <w:r>
                          <w:rPr>
                            <w:color w:val="auto"/>
                            <w:sz w:val="18"/>
                            <w:szCs w:val="18"/>
                            <w:highlight w:val="none"/>
                          </w:rPr>
                          <w:t>规划近期(2020年)</w:t>
                        </w:r>
                      </w:p>
                    </w:tc>
                    <w:tc>
                      <w:tcPr>
                        <w:tcW w:w="1526" w:type="pct"/>
                        <w:tcBorders>
                          <w:tl2br w:val="nil"/>
                          <w:tr2bl w:val="nil"/>
                        </w:tcBorders>
                        <w:vAlign w:val="center"/>
                      </w:tcPr>
                      <w:p w14:paraId="172D5B8C">
                        <w:pPr>
                          <w:jc w:val="center"/>
                          <w:rPr>
                            <w:color w:val="auto"/>
                            <w:sz w:val="18"/>
                            <w:szCs w:val="18"/>
                            <w:highlight w:val="none"/>
                          </w:rPr>
                        </w:pPr>
                        <w:r>
                          <w:rPr>
                            <w:color w:val="auto"/>
                            <w:sz w:val="18"/>
                            <w:szCs w:val="18"/>
                            <w:highlight w:val="none"/>
                          </w:rPr>
                          <w:t>规划远期(2030年)</w:t>
                        </w:r>
                      </w:p>
                    </w:tc>
                  </w:tr>
                  <w:tr w14:paraId="1C36BB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284" w:hRule="atLeast"/>
                    </w:trPr>
                    <w:tc>
                      <w:tcPr>
                        <w:tcW w:w="2087" w:type="pct"/>
                        <w:gridSpan w:val="2"/>
                        <w:vMerge w:val="continue"/>
                        <w:tcBorders>
                          <w:tl2br w:val="nil"/>
                          <w:tr2bl w:val="nil"/>
                        </w:tcBorders>
                        <w:vAlign w:val="center"/>
                      </w:tcPr>
                      <w:p w14:paraId="0CA47603">
                        <w:pPr>
                          <w:rPr>
                            <w:color w:val="auto"/>
                            <w:sz w:val="18"/>
                            <w:szCs w:val="18"/>
                            <w:highlight w:val="none"/>
                          </w:rPr>
                        </w:pPr>
                      </w:p>
                    </w:tc>
                    <w:tc>
                      <w:tcPr>
                        <w:tcW w:w="1388" w:type="pct"/>
                        <w:tcBorders>
                          <w:tl2br w:val="nil"/>
                          <w:tr2bl w:val="nil"/>
                        </w:tcBorders>
                        <w:vAlign w:val="center"/>
                      </w:tcPr>
                      <w:p w14:paraId="1C500791">
                        <w:pPr>
                          <w:jc w:val="center"/>
                          <w:rPr>
                            <w:color w:val="auto"/>
                            <w:sz w:val="18"/>
                            <w:szCs w:val="18"/>
                            <w:highlight w:val="none"/>
                          </w:rPr>
                        </w:pPr>
                        <w:r>
                          <w:rPr>
                            <w:color w:val="auto"/>
                            <w:sz w:val="18"/>
                            <w:szCs w:val="18"/>
                            <w:highlight w:val="none"/>
                          </w:rPr>
                          <w:t>总量</w:t>
                        </w:r>
                      </w:p>
                    </w:tc>
                    <w:tc>
                      <w:tcPr>
                        <w:tcW w:w="1526" w:type="pct"/>
                        <w:tcBorders>
                          <w:tl2br w:val="nil"/>
                          <w:tr2bl w:val="nil"/>
                        </w:tcBorders>
                        <w:vAlign w:val="center"/>
                      </w:tcPr>
                      <w:p w14:paraId="453EFB2D">
                        <w:pPr>
                          <w:jc w:val="center"/>
                          <w:rPr>
                            <w:color w:val="auto"/>
                            <w:sz w:val="18"/>
                            <w:szCs w:val="18"/>
                            <w:highlight w:val="none"/>
                          </w:rPr>
                        </w:pPr>
                        <w:r>
                          <w:rPr>
                            <w:color w:val="auto"/>
                            <w:sz w:val="18"/>
                            <w:szCs w:val="18"/>
                            <w:highlight w:val="none"/>
                          </w:rPr>
                          <w:t>总量</w:t>
                        </w:r>
                      </w:p>
                    </w:tc>
                  </w:tr>
                  <w:tr w14:paraId="08259A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284" w:hRule="atLeast"/>
                    </w:trPr>
                    <w:tc>
                      <w:tcPr>
                        <w:tcW w:w="1256" w:type="pct"/>
                        <w:vMerge w:val="restart"/>
                        <w:tcBorders>
                          <w:tl2br w:val="nil"/>
                          <w:tr2bl w:val="nil"/>
                        </w:tcBorders>
                        <w:vAlign w:val="center"/>
                      </w:tcPr>
                      <w:p w14:paraId="7ABE228A">
                        <w:pPr>
                          <w:jc w:val="center"/>
                          <w:rPr>
                            <w:color w:val="auto"/>
                            <w:sz w:val="18"/>
                            <w:szCs w:val="18"/>
                            <w:highlight w:val="none"/>
                          </w:rPr>
                        </w:pPr>
                        <w:r>
                          <w:rPr>
                            <w:color w:val="auto"/>
                            <w:sz w:val="18"/>
                            <w:szCs w:val="18"/>
                            <w:highlight w:val="none"/>
                          </w:rPr>
                          <w:t>水污染物总量管控限值(t/a)</w:t>
                        </w:r>
                      </w:p>
                    </w:tc>
                    <w:tc>
                      <w:tcPr>
                        <w:tcW w:w="831" w:type="pct"/>
                        <w:tcBorders>
                          <w:tl2br w:val="nil"/>
                          <w:tr2bl w:val="nil"/>
                        </w:tcBorders>
                        <w:vAlign w:val="center"/>
                      </w:tcPr>
                      <w:p w14:paraId="6B4006D6">
                        <w:pPr>
                          <w:jc w:val="center"/>
                          <w:rPr>
                            <w:color w:val="auto"/>
                            <w:sz w:val="18"/>
                            <w:szCs w:val="18"/>
                            <w:highlight w:val="none"/>
                          </w:rPr>
                        </w:pPr>
                        <w:r>
                          <w:rPr>
                            <w:color w:val="auto"/>
                            <w:sz w:val="18"/>
                            <w:szCs w:val="18"/>
                            <w:highlight w:val="none"/>
                          </w:rPr>
                          <w:t>COD</w:t>
                        </w:r>
                        <w:r>
                          <w:rPr>
                            <w:color w:val="auto"/>
                            <w:sz w:val="18"/>
                            <w:szCs w:val="18"/>
                            <w:highlight w:val="none"/>
                            <w:vertAlign w:val="subscript"/>
                          </w:rPr>
                          <w:t>Cr</w:t>
                        </w:r>
                      </w:p>
                    </w:tc>
                    <w:tc>
                      <w:tcPr>
                        <w:tcW w:w="1388" w:type="pct"/>
                        <w:tcBorders>
                          <w:tl2br w:val="nil"/>
                          <w:tr2bl w:val="nil"/>
                        </w:tcBorders>
                        <w:vAlign w:val="center"/>
                      </w:tcPr>
                      <w:p w14:paraId="12531F94">
                        <w:pPr>
                          <w:jc w:val="center"/>
                          <w:rPr>
                            <w:color w:val="auto"/>
                            <w:sz w:val="18"/>
                            <w:szCs w:val="18"/>
                            <w:highlight w:val="none"/>
                          </w:rPr>
                        </w:pPr>
                        <w:r>
                          <w:rPr>
                            <w:color w:val="auto"/>
                            <w:sz w:val="18"/>
                            <w:szCs w:val="18"/>
                            <w:highlight w:val="none"/>
                          </w:rPr>
                          <w:t>388.73</w:t>
                        </w:r>
                      </w:p>
                    </w:tc>
                    <w:tc>
                      <w:tcPr>
                        <w:tcW w:w="1526" w:type="pct"/>
                        <w:tcBorders>
                          <w:tl2br w:val="nil"/>
                          <w:tr2bl w:val="nil"/>
                        </w:tcBorders>
                        <w:vAlign w:val="center"/>
                      </w:tcPr>
                      <w:p w14:paraId="19EF3088">
                        <w:pPr>
                          <w:jc w:val="center"/>
                          <w:rPr>
                            <w:color w:val="auto"/>
                            <w:sz w:val="18"/>
                            <w:szCs w:val="18"/>
                            <w:highlight w:val="none"/>
                          </w:rPr>
                        </w:pPr>
                        <w:r>
                          <w:rPr>
                            <w:color w:val="auto"/>
                            <w:sz w:val="18"/>
                            <w:szCs w:val="18"/>
                            <w:highlight w:val="none"/>
                          </w:rPr>
                          <w:t>1396.13</w:t>
                        </w:r>
                      </w:p>
                    </w:tc>
                  </w:tr>
                  <w:tr w14:paraId="17210B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284" w:hRule="atLeast"/>
                    </w:trPr>
                    <w:tc>
                      <w:tcPr>
                        <w:tcW w:w="1285" w:type="dxa"/>
                        <w:vMerge w:val="continue"/>
                        <w:tcBorders>
                          <w:tl2br w:val="nil"/>
                          <w:tr2bl w:val="nil"/>
                        </w:tcBorders>
                        <w:vAlign w:val="center"/>
                      </w:tcPr>
                      <w:p w14:paraId="25B79DA0">
                        <w:pPr>
                          <w:rPr>
                            <w:color w:val="auto"/>
                            <w:sz w:val="18"/>
                            <w:szCs w:val="18"/>
                            <w:highlight w:val="none"/>
                          </w:rPr>
                        </w:pPr>
                      </w:p>
                    </w:tc>
                    <w:tc>
                      <w:tcPr>
                        <w:tcW w:w="831" w:type="pct"/>
                        <w:tcBorders>
                          <w:tl2br w:val="nil"/>
                          <w:tr2bl w:val="nil"/>
                        </w:tcBorders>
                        <w:vAlign w:val="center"/>
                      </w:tcPr>
                      <w:p w14:paraId="1026C211">
                        <w:pPr>
                          <w:jc w:val="center"/>
                          <w:rPr>
                            <w:color w:val="auto"/>
                            <w:sz w:val="18"/>
                            <w:szCs w:val="18"/>
                            <w:highlight w:val="none"/>
                          </w:rPr>
                        </w:pPr>
                        <w:r>
                          <w:rPr>
                            <w:color w:val="auto"/>
                            <w:sz w:val="18"/>
                            <w:szCs w:val="18"/>
                            <w:highlight w:val="none"/>
                          </w:rPr>
                          <w:t>NH</w:t>
                        </w:r>
                        <w:r>
                          <w:rPr>
                            <w:color w:val="auto"/>
                            <w:sz w:val="18"/>
                            <w:szCs w:val="18"/>
                            <w:highlight w:val="none"/>
                            <w:vertAlign w:val="subscript"/>
                          </w:rPr>
                          <w:t>3</w:t>
                        </w:r>
                        <w:r>
                          <w:rPr>
                            <w:color w:val="auto"/>
                            <w:sz w:val="18"/>
                            <w:szCs w:val="18"/>
                            <w:highlight w:val="none"/>
                          </w:rPr>
                          <w:t>-N</w:t>
                        </w:r>
                      </w:p>
                    </w:tc>
                    <w:tc>
                      <w:tcPr>
                        <w:tcW w:w="1388" w:type="pct"/>
                        <w:tcBorders>
                          <w:tl2br w:val="nil"/>
                          <w:tr2bl w:val="nil"/>
                        </w:tcBorders>
                        <w:vAlign w:val="center"/>
                      </w:tcPr>
                      <w:p w14:paraId="39EFCFD5">
                        <w:pPr>
                          <w:jc w:val="center"/>
                          <w:rPr>
                            <w:color w:val="auto"/>
                            <w:sz w:val="18"/>
                            <w:szCs w:val="18"/>
                            <w:highlight w:val="none"/>
                          </w:rPr>
                        </w:pPr>
                        <w:r>
                          <w:rPr>
                            <w:color w:val="auto"/>
                            <w:sz w:val="18"/>
                            <w:szCs w:val="18"/>
                            <w:highlight w:val="none"/>
                          </w:rPr>
                          <w:t>38.87</w:t>
                        </w:r>
                      </w:p>
                    </w:tc>
                    <w:tc>
                      <w:tcPr>
                        <w:tcW w:w="1526" w:type="pct"/>
                        <w:tcBorders>
                          <w:tl2br w:val="nil"/>
                          <w:tr2bl w:val="nil"/>
                        </w:tcBorders>
                        <w:vAlign w:val="center"/>
                      </w:tcPr>
                      <w:p w14:paraId="4004E70F">
                        <w:pPr>
                          <w:jc w:val="center"/>
                          <w:rPr>
                            <w:color w:val="auto"/>
                            <w:sz w:val="18"/>
                            <w:szCs w:val="18"/>
                            <w:highlight w:val="none"/>
                          </w:rPr>
                        </w:pPr>
                        <w:r>
                          <w:rPr>
                            <w:color w:val="auto"/>
                            <w:sz w:val="18"/>
                            <w:szCs w:val="18"/>
                            <w:highlight w:val="none"/>
                          </w:rPr>
                          <w:t>139.61</w:t>
                        </w:r>
                      </w:p>
                    </w:tc>
                  </w:tr>
                  <w:tr w14:paraId="7184E2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284" w:hRule="atLeast"/>
                    </w:trPr>
                    <w:tc>
                      <w:tcPr>
                        <w:tcW w:w="1285" w:type="dxa"/>
                        <w:vMerge w:val="continue"/>
                        <w:tcBorders>
                          <w:tl2br w:val="nil"/>
                          <w:tr2bl w:val="nil"/>
                        </w:tcBorders>
                        <w:vAlign w:val="center"/>
                      </w:tcPr>
                      <w:p w14:paraId="69C80FE1">
                        <w:pPr>
                          <w:rPr>
                            <w:color w:val="auto"/>
                            <w:sz w:val="18"/>
                            <w:szCs w:val="18"/>
                            <w:highlight w:val="none"/>
                          </w:rPr>
                        </w:pPr>
                      </w:p>
                    </w:tc>
                    <w:tc>
                      <w:tcPr>
                        <w:tcW w:w="831" w:type="pct"/>
                        <w:tcBorders>
                          <w:tl2br w:val="nil"/>
                          <w:tr2bl w:val="nil"/>
                        </w:tcBorders>
                        <w:vAlign w:val="center"/>
                      </w:tcPr>
                      <w:p w14:paraId="3B161643">
                        <w:pPr>
                          <w:jc w:val="center"/>
                          <w:rPr>
                            <w:color w:val="auto"/>
                            <w:sz w:val="18"/>
                            <w:szCs w:val="18"/>
                            <w:highlight w:val="none"/>
                          </w:rPr>
                        </w:pPr>
                        <w:r>
                          <w:rPr>
                            <w:color w:val="auto"/>
                            <w:sz w:val="18"/>
                            <w:szCs w:val="18"/>
                            <w:highlight w:val="none"/>
                          </w:rPr>
                          <w:t>TP</w:t>
                        </w:r>
                      </w:p>
                    </w:tc>
                    <w:tc>
                      <w:tcPr>
                        <w:tcW w:w="1388" w:type="pct"/>
                        <w:tcBorders>
                          <w:tl2br w:val="nil"/>
                          <w:tr2bl w:val="nil"/>
                        </w:tcBorders>
                        <w:vAlign w:val="bottom"/>
                      </w:tcPr>
                      <w:p w14:paraId="5960D4EA">
                        <w:pPr>
                          <w:jc w:val="center"/>
                          <w:rPr>
                            <w:color w:val="auto"/>
                            <w:sz w:val="18"/>
                            <w:szCs w:val="18"/>
                            <w:highlight w:val="none"/>
                          </w:rPr>
                        </w:pPr>
                        <w:r>
                          <w:rPr>
                            <w:color w:val="auto"/>
                            <w:sz w:val="18"/>
                            <w:szCs w:val="18"/>
                            <w:highlight w:val="none"/>
                          </w:rPr>
                          <w:t>3.89</w:t>
                        </w:r>
                      </w:p>
                    </w:tc>
                    <w:tc>
                      <w:tcPr>
                        <w:tcW w:w="1526" w:type="pct"/>
                        <w:tcBorders>
                          <w:tl2br w:val="nil"/>
                          <w:tr2bl w:val="nil"/>
                        </w:tcBorders>
                        <w:vAlign w:val="bottom"/>
                      </w:tcPr>
                      <w:p w14:paraId="72D50745">
                        <w:pPr>
                          <w:jc w:val="center"/>
                          <w:rPr>
                            <w:color w:val="auto"/>
                            <w:sz w:val="18"/>
                            <w:szCs w:val="18"/>
                            <w:highlight w:val="none"/>
                          </w:rPr>
                        </w:pPr>
                        <w:r>
                          <w:rPr>
                            <w:color w:val="auto"/>
                            <w:sz w:val="18"/>
                            <w:szCs w:val="18"/>
                            <w:highlight w:val="none"/>
                          </w:rPr>
                          <w:t>13.96</w:t>
                        </w:r>
                      </w:p>
                    </w:tc>
                  </w:tr>
                  <w:tr w14:paraId="2724AD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284" w:hRule="atLeast"/>
                    </w:trPr>
                    <w:tc>
                      <w:tcPr>
                        <w:tcW w:w="1256" w:type="pct"/>
                        <w:vMerge w:val="restart"/>
                        <w:tcBorders>
                          <w:tl2br w:val="nil"/>
                          <w:tr2bl w:val="nil"/>
                        </w:tcBorders>
                        <w:vAlign w:val="center"/>
                      </w:tcPr>
                      <w:p w14:paraId="11EC229D">
                        <w:pPr>
                          <w:jc w:val="center"/>
                          <w:rPr>
                            <w:color w:val="auto"/>
                            <w:sz w:val="18"/>
                            <w:szCs w:val="18"/>
                            <w:highlight w:val="none"/>
                          </w:rPr>
                        </w:pPr>
                        <w:r>
                          <w:rPr>
                            <w:color w:val="auto"/>
                            <w:sz w:val="18"/>
                            <w:szCs w:val="18"/>
                            <w:highlight w:val="none"/>
                          </w:rPr>
                          <w:t>大气污染物总量管控限值(t/a)</w:t>
                        </w:r>
                      </w:p>
                    </w:tc>
                    <w:tc>
                      <w:tcPr>
                        <w:tcW w:w="831" w:type="pct"/>
                        <w:tcBorders>
                          <w:tl2br w:val="nil"/>
                          <w:tr2bl w:val="nil"/>
                        </w:tcBorders>
                        <w:vAlign w:val="center"/>
                      </w:tcPr>
                      <w:p w14:paraId="2AF89004">
                        <w:pPr>
                          <w:jc w:val="center"/>
                          <w:rPr>
                            <w:color w:val="auto"/>
                            <w:sz w:val="18"/>
                            <w:szCs w:val="18"/>
                            <w:highlight w:val="none"/>
                            <w:vertAlign w:val="subscript"/>
                          </w:rPr>
                        </w:pPr>
                        <w:r>
                          <w:rPr>
                            <w:color w:val="auto"/>
                            <w:sz w:val="18"/>
                            <w:szCs w:val="18"/>
                            <w:highlight w:val="none"/>
                          </w:rPr>
                          <w:t>SO</w:t>
                        </w:r>
                        <w:r>
                          <w:rPr>
                            <w:color w:val="auto"/>
                            <w:sz w:val="18"/>
                            <w:szCs w:val="18"/>
                            <w:highlight w:val="none"/>
                            <w:vertAlign w:val="subscript"/>
                          </w:rPr>
                          <w:t>2</w:t>
                        </w:r>
                      </w:p>
                    </w:tc>
                    <w:tc>
                      <w:tcPr>
                        <w:tcW w:w="1388" w:type="pct"/>
                        <w:tcBorders>
                          <w:tl2br w:val="nil"/>
                          <w:tr2bl w:val="nil"/>
                        </w:tcBorders>
                        <w:vAlign w:val="center"/>
                      </w:tcPr>
                      <w:p w14:paraId="1CB9BF06">
                        <w:pPr>
                          <w:jc w:val="center"/>
                          <w:rPr>
                            <w:color w:val="auto"/>
                            <w:sz w:val="18"/>
                            <w:szCs w:val="18"/>
                            <w:highlight w:val="none"/>
                          </w:rPr>
                        </w:pPr>
                        <w:r>
                          <w:rPr>
                            <w:color w:val="auto"/>
                            <w:sz w:val="18"/>
                            <w:szCs w:val="18"/>
                            <w:highlight w:val="none"/>
                          </w:rPr>
                          <w:t>40.52</w:t>
                        </w:r>
                      </w:p>
                    </w:tc>
                    <w:tc>
                      <w:tcPr>
                        <w:tcW w:w="1526" w:type="pct"/>
                        <w:tcBorders>
                          <w:tl2br w:val="nil"/>
                          <w:tr2bl w:val="nil"/>
                        </w:tcBorders>
                        <w:vAlign w:val="center"/>
                      </w:tcPr>
                      <w:p w14:paraId="1CE20D4B">
                        <w:pPr>
                          <w:jc w:val="center"/>
                          <w:rPr>
                            <w:color w:val="auto"/>
                            <w:sz w:val="18"/>
                            <w:szCs w:val="18"/>
                            <w:highlight w:val="none"/>
                          </w:rPr>
                        </w:pPr>
                        <w:r>
                          <w:rPr>
                            <w:color w:val="auto"/>
                            <w:sz w:val="18"/>
                            <w:szCs w:val="18"/>
                            <w:highlight w:val="none"/>
                          </w:rPr>
                          <w:t>77.09</w:t>
                        </w:r>
                      </w:p>
                    </w:tc>
                  </w:tr>
                  <w:tr w14:paraId="7A76B6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284" w:hRule="atLeast"/>
                    </w:trPr>
                    <w:tc>
                      <w:tcPr>
                        <w:tcW w:w="1285" w:type="dxa"/>
                        <w:vMerge w:val="continue"/>
                        <w:tcBorders>
                          <w:tl2br w:val="nil"/>
                          <w:tr2bl w:val="nil"/>
                        </w:tcBorders>
                        <w:vAlign w:val="center"/>
                      </w:tcPr>
                      <w:p w14:paraId="4533C882">
                        <w:pPr>
                          <w:rPr>
                            <w:color w:val="auto"/>
                            <w:sz w:val="18"/>
                            <w:szCs w:val="18"/>
                            <w:highlight w:val="none"/>
                          </w:rPr>
                        </w:pPr>
                      </w:p>
                    </w:tc>
                    <w:tc>
                      <w:tcPr>
                        <w:tcW w:w="831" w:type="pct"/>
                        <w:tcBorders>
                          <w:tl2br w:val="nil"/>
                          <w:tr2bl w:val="nil"/>
                        </w:tcBorders>
                        <w:vAlign w:val="center"/>
                      </w:tcPr>
                      <w:p w14:paraId="6E9FF7E5">
                        <w:pPr>
                          <w:jc w:val="center"/>
                          <w:rPr>
                            <w:color w:val="auto"/>
                            <w:sz w:val="18"/>
                            <w:szCs w:val="18"/>
                            <w:highlight w:val="none"/>
                          </w:rPr>
                        </w:pPr>
                        <w:r>
                          <w:rPr>
                            <w:color w:val="auto"/>
                            <w:sz w:val="18"/>
                            <w:szCs w:val="18"/>
                            <w:highlight w:val="none"/>
                          </w:rPr>
                          <w:t>NO</w:t>
                        </w:r>
                        <w:r>
                          <w:rPr>
                            <w:color w:val="auto"/>
                            <w:sz w:val="18"/>
                            <w:szCs w:val="18"/>
                            <w:highlight w:val="none"/>
                            <w:vertAlign w:val="subscript"/>
                          </w:rPr>
                          <w:t>x</w:t>
                        </w:r>
                      </w:p>
                    </w:tc>
                    <w:tc>
                      <w:tcPr>
                        <w:tcW w:w="1388" w:type="pct"/>
                        <w:tcBorders>
                          <w:tl2br w:val="nil"/>
                          <w:tr2bl w:val="nil"/>
                        </w:tcBorders>
                        <w:vAlign w:val="center"/>
                      </w:tcPr>
                      <w:p w14:paraId="09F5EFC6">
                        <w:pPr>
                          <w:jc w:val="center"/>
                          <w:rPr>
                            <w:color w:val="auto"/>
                            <w:sz w:val="18"/>
                            <w:szCs w:val="18"/>
                            <w:highlight w:val="none"/>
                          </w:rPr>
                        </w:pPr>
                        <w:r>
                          <w:rPr>
                            <w:color w:val="auto"/>
                            <w:sz w:val="18"/>
                            <w:szCs w:val="18"/>
                            <w:highlight w:val="none"/>
                          </w:rPr>
                          <w:t>57.72</w:t>
                        </w:r>
                      </w:p>
                    </w:tc>
                    <w:tc>
                      <w:tcPr>
                        <w:tcW w:w="1526" w:type="pct"/>
                        <w:tcBorders>
                          <w:tl2br w:val="nil"/>
                          <w:tr2bl w:val="nil"/>
                        </w:tcBorders>
                        <w:vAlign w:val="center"/>
                      </w:tcPr>
                      <w:p w14:paraId="3AFC41D7">
                        <w:pPr>
                          <w:jc w:val="center"/>
                          <w:rPr>
                            <w:color w:val="auto"/>
                            <w:sz w:val="18"/>
                            <w:szCs w:val="18"/>
                            <w:highlight w:val="none"/>
                          </w:rPr>
                        </w:pPr>
                        <w:r>
                          <w:rPr>
                            <w:color w:val="auto"/>
                            <w:sz w:val="18"/>
                            <w:szCs w:val="18"/>
                            <w:highlight w:val="none"/>
                          </w:rPr>
                          <w:t>112.57</w:t>
                        </w:r>
                      </w:p>
                    </w:tc>
                  </w:tr>
                  <w:tr w14:paraId="756F64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284" w:hRule="atLeast"/>
                    </w:trPr>
                    <w:tc>
                      <w:tcPr>
                        <w:tcW w:w="1285" w:type="dxa"/>
                        <w:vMerge w:val="continue"/>
                        <w:tcBorders>
                          <w:tl2br w:val="nil"/>
                          <w:tr2bl w:val="nil"/>
                        </w:tcBorders>
                        <w:vAlign w:val="center"/>
                      </w:tcPr>
                      <w:p w14:paraId="37501E02">
                        <w:pPr>
                          <w:rPr>
                            <w:color w:val="auto"/>
                            <w:sz w:val="18"/>
                            <w:szCs w:val="18"/>
                            <w:highlight w:val="none"/>
                          </w:rPr>
                        </w:pPr>
                      </w:p>
                    </w:tc>
                    <w:tc>
                      <w:tcPr>
                        <w:tcW w:w="831" w:type="pct"/>
                        <w:tcBorders>
                          <w:tl2br w:val="nil"/>
                          <w:tr2bl w:val="nil"/>
                        </w:tcBorders>
                        <w:vAlign w:val="center"/>
                      </w:tcPr>
                      <w:p w14:paraId="179C017B">
                        <w:pPr>
                          <w:jc w:val="center"/>
                          <w:rPr>
                            <w:color w:val="auto"/>
                            <w:sz w:val="18"/>
                            <w:szCs w:val="18"/>
                            <w:highlight w:val="none"/>
                          </w:rPr>
                        </w:pPr>
                        <w:r>
                          <w:rPr>
                            <w:color w:val="auto"/>
                            <w:sz w:val="18"/>
                            <w:szCs w:val="18"/>
                            <w:highlight w:val="none"/>
                          </w:rPr>
                          <w:t>烟粉尘</w:t>
                        </w:r>
                      </w:p>
                    </w:tc>
                    <w:tc>
                      <w:tcPr>
                        <w:tcW w:w="1388" w:type="pct"/>
                        <w:tcBorders>
                          <w:tl2br w:val="nil"/>
                          <w:tr2bl w:val="nil"/>
                        </w:tcBorders>
                        <w:vAlign w:val="center"/>
                      </w:tcPr>
                      <w:p w14:paraId="56F17B7D">
                        <w:pPr>
                          <w:jc w:val="center"/>
                          <w:rPr>
                            <w:color w:val="auto"/>
                            <w:sz w:val="18"/>
                            <w:szCs w:val="18"/>
                            <w:highlight w:val="none"/>
                          </w:rPr>
                        </w:pPr>
                        <w:r>
                          <w:rPr>
                            <w:color w:val="auto"/>
                            <w:sz w:val="18"/>
                            <w:szCs w:val="18"/>
                            <w:highlight w:val="none"/>
                          </w:rPr>
                          <w:t>156.51</w:t>
                        </w:r>
                      </w:p>
                    </w:tc>
                    <w:tc>
                      <w:tcPr>
                        <w:tcW w:w="1526" w:type="pct"/>
                        <w:tcBorders>
                          <w:tl2br w:val="nil"/>
                          <w:tr2bl w:val="nil"/>
                        </w:tcBorders>
                        <w:vAlign w:val="center"/>
                      </w:tcPr>
                      <w:p w14:paraId="091B3FE8">
                        <w:pPr>
                          <w:jc w:val="center"/>
                          <w:rPr>
                            <w:color w:val="auto"/>
                            <w:sz w:val="18"/>
                            <w:szCs w:val="18"/>
                            <w:highlight w:val="none"/>
                          </w:rPr>
                        </w:pPr>
                        <w:r>
                          <w:rPr>
                            <w:color w:val="auto"/>
                            <w:sz w:val="18"/>
                            <w:szCs w:val="18"/>
                            <w:highlight w:val="none"/>
                          </w:rPr>
                          <w:t>181.18</w:t>
                        </w:r>
                      </w:p>
                    </w:tc>
                  </w:tr>
                  <w:tr w14:paraId="4CC979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284" w:hRule="atLeast"/>
                    </w:trPr>
                    <w:tc>
                      <w:tcPr>
                        <w:tcW w:w="1285" w:type="dxa"/>
                        <w:vMerge w:val="continue"/>
                        <w:tcBorders>
                          <w:tl2br w:val="nil"/>
                          <w:tr2bl w:val="nil"/>
                        </w:tcBorders>
                        <w:vAlign w:val="center"/>
                      </w:tcPr>
                      <w:p w14:paraId="4D6C6577">
                        <w:pPr>
                          <w:rPr>
                            <w:color w:val="auto"/>
                            <w:sz w:val="18"/>
                            <w:szCs w:val="18"/>
                            <w:highlight w:val="none"/>
                          </w:rPr>
                        </w:pPr>
                      </w:p>
                    </w:tc>
                    <w:tc>
                      <w:tcPr>
                        <w:tcW w:w="831" w:type="pct"/>
                        <w:tcBorders>
                          <w:tl2br w:val="nil"/>
                          <w:tr2bl w:val="nil"/>
                        </w:tcBorders>
                        <w:vAlign w:val="center"/>
                      </w:tcPr>
                      <w:p w14:paraId="527D652A">
                        <w:pPr>
                          <w:jc w:val="center"/>
                          <w:rPr>
                            <w:color w:val="auto"/>
                            <w:sz w:val="18"/>
                            <w:szCs w:val="18"/>
                            <w:highlight w:val="none"/>
                          </w:rPr>
                        </w:pPr>
                        <w:r>
                          <w:rPr>
                            <w:color w:val="auto"/>
                            <w:sz w:val="18"/>
                            <w:szCs w:val="18"/>
                            <w:highlight w:val="none"/>
                          </w:rPr>
                          <w:t>VOCs</w:t>
                        </w:r>
                      </w:p>
                    </w:tc>
                    <w:tc>
                      <w:tcPr>
                        <w:tcW w:w="1388" w:type="pct"/>
                        <w:tcBorders>
                          <w:tl2br w:val="nil"/>
                          <w:tr2bl w:val="nil"/>
                        </w:tcBorders>
                        <w:vAlign w:val="center"/>
                      </w:tcPr>
                      <w:p w14:paraId="2F9EDB6B">
                        <w:pPr>
                          <w:jc w:val="center"/>
                          <w:rPr>
                            <w:color w:val="auto"/>
                            <w:sz w:val="18"/>
                            <w:szCs w:val="18"/>
                            <w:highlight w:val="none"/>
                          </w:rPr>
                        </w:pPr>
                        <w:r>
                          <w:rPr>
                            <w:color w:val="auto"/>
                            <w:sz w:val="18"/>
                            <w:szCs w:val="18"/>
                            <w:highlight w:val="none"/>
                          </w:rPr>
                          <w:t>138.31</w:t>
                        </w:r>
                      </w:p>
                    </w:tc>
                    <w:tc>
                      <w:tcPr>
                        <w:tcW w:w="1526" w:type="pct"/>
                        <w:tcBorders>
                          <w:tl2br w:val="nil"/>
                          <w:tr2bl w:val="nil"/>
                        </w:tcBorders>
                        <w:vAlign w:val="center"/>
                      </w:tcPr>
                      <w:p w14:paraId="7C546592">
                        <w:pPr>
                          <w:jc w:val="center"/>
                          <w:rPr>
                            <w:color w:val="auto"/>
                            <w:sz w:val="18"/>
                            <w:szCs w:val="18"/>
                            <w:highlight w:val="none"/>
                          </w:rPr>
                        </w:pPr>
                        <w:r>
                          <w:rPr>
                            <w:color w:val="auto"/>
                            <w:sz w:val="18"/>
                            <w:szCs w:val="18"/>
                            <w:highlight w:val="none"/>
                          </w:rPr>
                          <w:t>140.96</w:t>
                        </w:r>
                      </w:p>
                    </w:tc>
                  </w:tr>
                  <w:tr w14:paraId="2A088B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284" w:hRule="atLeast"/>
                    </w:trPr>
                    <w:tc>
                      <w:tcPr>
                        <w:tcW w:w="2087" w:type="pct"/>
                        <w:gridSpan w:val="2"/>
                        <w:tcBorders>
                          <w:tl2br w:val="nil"/>
                          <w:tr2bl w:val="nil"/>
                        </w:tcBorders>
                        <w:vAlign w:val="center"/>
                      </w:tcPr>
                      <w:p w14:paraId="6850307C">
                        <w:pPr>
                          <w:jc w:val="center"/>
                          <w:rPr>
                            <w:color w:val="auto"/>
                            <w:sz w:val="18"/>
                            <w:szCs w:val="18"/>
                            <w:highlight w:val="none"/>
                          </w:rPr>
                        </w:pPr>
                        <w:r>
                          <w:rPr>
                            <w:color w:val="auto"/>
                            <w:sz w:val="18"/>
                            <w:szCs w:val="18"/>
                            <w:highlight w:val="none"/>
                          </w:rPr>
                          <w:t>危险废物管控总量限值(万t/a)</w:t>
                        </w:r>
                      </w:p>
                    </w:tc>
                    <w:tc>
                      <w:tcPr>
                        <w:tcW w:w="1388" w:type="pct"/>
                        <w:tcBorders>
                          <w:tl2br w:val="nil"/>
                          <w:tr2bl w:val="nil"/>
                        </w:tcBorders>
                        <w:vAlign w:val="center"/>
                      </w:tcPr>
                      <w:p w14:paraId="6760E34E">
                        <w:pPr>
                          <w:jc w:val="center"/>
                          <w:rPr>
                            <w:color w:val="auto"/>
                            <w:sz w:val="18"/>
                            <w:szCs w:val="18"/>
                            <w:highlight w:val="none"/>
                          </w:rPr>
                        </w:pPr>
                        <w:r>
                          <w:rPr>
                            <w:color w:val="auto"/>
                            <w:sz w:val="18"/>
                            <w:szCs w:val="18"/>
                            <w:highlight w:val="none"/>
                          </w:rPr>
                          <w:t>0.127</w:t>
                        </w:r>
                      </w:p>
                    </w:tc>
                    <w:tc>
                      <w:tcPr>
                        <w:tcW w:w="1526" w:type="pct"/>
                        <w:tcBorders>
                          <w:tl2br w:val="nil"/>
                          <w:tr2bl w:val="nil"/>
                        </w:tcBorders>
                        <w:vAlign w:val="center"/>
                      </w:tcPr>
                      <w:p w14:paraId="0AFD1483">
                        <w:pPr>
                          <w:jc w:val="center"/>
                          <w:rPr>
                            <w:color w:val="auto"/>
                            <w:sz w:val="18"/>
                            <w:szCs w:val="18"/>
                            <w:highlight w:val="none"/>
                          </w:rPr>
                        </w:pPr>
                        <w:r>
                          <w:rPr>
                            <w:color w:val="auto"/>
                            <w:sz w:val="18"/>
                            <w:szCs w:val="18"/>
                            <w:highlight w:val="none"/>
                          </w:rPr>
                          <w:t>0.333</w:t>
                        </w:r>
                      </w:p>
                    </w:tc>
                  </w:tr>
                </w:tbl>
                <w:p w14:paraId="24E26A00">
                  <w:pPr>
                    <w:rPr>
                      <w:color w:val="auto"/>
                      <w:sz w:val="18"/>
                      <w:szCs w:val="18"/>
                      <w:highlight w:val="none"/>
                    </w:rPr>
                  </w:pPr>
                </w:p>
              </w:tc>
              <w:tc>
                <w:tcPr>
                  <w:tcW w:w="697" w:type="pct"/>
                  <w:tcBorders>
                    <w:tl2br w:val="nil"/>
                    <w:tr2bl w:val="nil"/>
                  </w:tcBorders>
                  <w:vAlign w:val="center"/>
                </w:tcPr>
                <w:p w14:paraId="1D093DCC">
                  <w:pPr>
                    <w:rPr>
                      <w:color w:val="auto"/>
                      <w:sz w:val="18"/>
                      <w:szCs w:val="18"/>
                      <w:highlight w:val="none"/>
                    </w:rPr>
                  </w:pPr>
                  <w:r>
                    <w:rPr>
                      <w:color w:val="auto"/>
                      <w:sz w:val="18"/>
                      <w:szCs w:val="18"/>
                      <w:highlight w:val="none"/>
                    </w:rPr>
                    <w:t>符合。本项目</w:t>
                  </w:r>
                  <w:r>
                    <w:rPr>
                      <w:rFonts w:hint="default"/>
                      <w:color w:val="auto"/>
                      <w:sz w:val="18"/>
                      <w:szCs w:val="18"/>
                      <w:highlight w:val="none"/>
                    </w:rPr>
                    <w:t>实施</w:t>
                  </w:r>
                  <w:r>
                    <w:rPr>
                      <w:color w:val="auto"/>
                      <w:sz w:val="18"/>
                      <w:szCs w:val="18"/>
                      <w:highlight w:val="none"/>
                    </w:rPr>
                    <w:t>后</w:t>
                  </w:r>
                  <w:r>
                    <w:rPr>
                      <w:rFonts w:hint="default"/>
                      <w:color w:val="auto"/>
                      <w:sz w:val="18"/>
                      <w:szCs w:val="18"/>
                      <w:highlight w:val="none"/>
                    </w:rPr>
                    <w:t>新增污染物总量较少</w:t>
                  </w:r>
                  <w:r>
                    <w:rPr>
                      <w:color w:val="auto"/>
                      <w:sz w:val="18"/>
                      <w:szCs w:val="18"/>
                      <w:highlight w:val="none"/>
                    </w:rPr>
                    <w:t>，不会突破区域总量管控限值。</w:t>
                  </w:r>
                </w:p>
              </w:tc>
            </w:tr>
            <w:tr w14:paraId="5B8DB24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283" w:hRule="atLeast"/>
                <w:jc w:val="center"/>
              </w:trPr>
              <w:tc>
                <w:tcPr>
                  <w:tcW w:w="297" w:type="pct"/>
                  <w:tcBorders>
                    <w:tl2br w:val="nil"/>
                    <w:tr2bl w:val="nil"/>
                  </w:tcBorders>
                  <w:vAlign w:val="center"/>
                </w:tcPr>
                <w:p w14:paraId="07188588">
                  <w:pPr>
                    <w:jc w:val="center"/>
                    <w:rPr>
                      <w:color w:val="auto"/>
                      <w:sz w:val="18"/>
                      <w:szCs w:val="18"/>
                      <w:highlight w:val="none"/>
                    </w:rPr>
                  </w:pPr>
                  <w:r>
                    <w:rPr>
                      <w:color w:val="auto"/>
                      <w:sz w:val="18"/>
                      <w:szCs w:val="18"/>
                      <w:highlight w:val="none"/>
                    </w:rPr>
                    <w:t>5</w:t>
                  </w:r>
                </w:p>
              </w:tc>
              <w:tc>
                <w:tcPr>
                  <w:tcW w:w="478" w:type="pct"/>
                  <w:tcBorders>
                    <w:tl2br w:val="nil"/>
                    <w:tr2bl w:val="nil"/>
                  </w:tcBorders>
                  <w:vAlign w:val="center"/>
                </w:tcPr>
                <w:p w14:paraId="52C75D7D">
                  <w:pPr>
                    <w:jc w:val="center"/>
                    <w:rPr>
                      <w:color w:val="auto"/>
                      <w:sz w:val="18"/>
                      <w:szCs w:val="18"/>
                      <w:highlight w:val="none"/>
                    </w:rPr>
                  </w:pPr>
                  <w:r>
                    <w:rPr>
                      <w:color w:val="auto"/>
                      <w:sz w:val="18"/>
                      <w:szCs w:val="18"/>
                      <w:highlight w:val="none"/>
                    </w:rPr>
                    <w:t>行业准入标准</w:t>
                  </w:r>
                </w:p>
              </w:tc>
              <w:tc>
                <w:tcPr>
                  <w:tcW w:w="3526" w:type="pct"/>
                  <w:tcBorders>
                    <w:tl2br w:val="nil"/>
                    <w:tr2bl w:val="nil"/>
                  </w:tcBorders>
                  <w:vAlign w:val="center"/>
                </w:tcPr>
                <w:p w14:paraId="455A6F42">
                  <w:pPr>
                    <w:rPr>
                      <w:color w:val="auto"/>
                      <w:sz w:val="18"/>
                      <w:szCs w:val="18"/>
                      <w:highlight w:val="none"/>
                    </w:rPr>
                  </w:pPr>
                  <w:r>
                    <w:rPr>
                      <w:color w:val="auto"/>
                      <w:sz w:val="18"/>
                      <w:szCs w:val="18"/>
                      <w:highlight w:val="none"/>
                    </w:rPr>
                    <w:t>《挥发性有机物(VOCs)污染防治技术政策》(环保部公告2013年第31号)、《浙江省印染产业环境准入指导意见(修订)》(浙环发[2016]12号)、《</w:t>
                  </w:r>
                  <w:bookmarkStart w:id="8" w:name="_Hlk529710486"/>
                  <w:r>
                    <w:rPr>
                      <w:color w:val="auto"/>
                      <w:sz w:val="18"/>
                      <w:szCs w:val="18"/>
                      <w:highlight w:val="none"/>
                    </w:rPr>
                    <w:t>浙江省电镀产业环境准入指导意见</w:t>
                  </w:r>
                  <w:bookmarkEnd w:id="8"/>
                  <w:r>
                    <w:rPr>
                      <w:color w:val="auto"/>
                      <w:sz w:val="18"/>
                      <w:szCs w:val="18"/>
                      <w:highlight w:val="none"/>
                    </w:rPr>
                    <w:t>(修订)》(浙环发[2016]12号)、《浙江省涂装行业挥发性有机物污染整治规范》(浙环函[2015]402号)等。</w:t>
                  </w:r>
                </w:p>
              </w:tc>
              <w:tc>
                <w:tcPr>
                  <w:tcW w:w="697" w:type="pct"/>
                  <w:tcBorders>
                    <w:tl2br w:val="nil"/>
                    <w:tr2bl w:val="nil"/>
                  </w:tcBorders>
                  <w:vAlign w:val="center"/>
                </w:tcPr>
                <w:p w14:paraId="396B1191">
                  <w:pPr>
                    <w:rPr>
                      <w:color w:val="auto"/>
                      <w:sz w:val="18"/>
                      <w:szCs w:val="18"/>
                      <w:highlight w:val="none"/>
                    </w:rPr>
                  </w:pPr>
                  <w:r>
                    <w:rPr>
                      <w:color w:val="auto"/>
                      <w:sz w:val="18"/>
                      <w:szCs w:val="18"/>
                      <w:highlight w:val="none"/>
                    </w:rPr>
                    <w:t>无相关行业准入标准。</w:t>
                  </w:r>
                </w:p>
              </w:tc>
            </w:tr>
          </w:tbl>
          <w:p w14:paraId="65FE30E0">
            <w:pPr>
              <w:spacing w:line="360" w:lineRule="auto"/>
              <w:ind w:firstLine="420" w:firstLineChars="200"/>
              <w:rPr>
                <w:b w:val="0"/>
                <w:bCs w:val="0"/>
                <w:color w:val="auto"/>
                <w:szCs w:val="21"/>
                <w:highlight w:val="none"/>
              </w:rPr>
            </w:pPr>
            <w:r>
              <w:rPr>
                <w:b w:val="0"/>
                <w:bCs w:val="0"/>
                <w:color w:val="auto"/>
                <w:szCs w:val="21"/>
                <w:highlight w:val="none"/>
              </w:rPr>
              <w:t>本项目采取各类环保措施后，污染物均可达标排放，</w:t>
            </w:r>
            <w:r>
              <w:rPr>
                <w:rFonts w:hint="default"/>
                <w:b w:val="0"/>
                <w:bCs w:val="0"/>
                <w:color w:val="auto"/>
                <w:szCs w:val="21"/>
                <w:highlight w:val="none"/>
              </w:rPr>
              <w:t>全厂</w:t>
            </w:r>
            <w:r>
              <w:rPr>
                <w:b w:val="0"/>
                <w:bCs w:val="0"/>
                <w:color w:val="auto"/>
                <w:szCs w:val="21"/>
                <w:highlight w:val="none"/>
              </w:rPr>
              <w:t>不新增污染物排放量，符合基地环境标准清单要求。</w:t>
            </w:r>
          </w:p>
          <w:p w14:paraId="71698A04">
            <w:pPr>
              <w:widowControl/>
              <w:spacing w:line="360" w:lineRule="auto"/>
              <w:jc w:val="left"/>
              <w:outlineLvl w:val="2"/>
              <w:rPr>
                <w:b/>
                <w:bCs/>
                <w:color w:val="auto"/>
                <w:kern w:val="0"/>
                <w:sz w:val="22"/>
                <w:szCs w:val="22"/>
                <w:highlight w:val="none"/>
              </w:rPr>
            </w:pPr>
            <w:r>
              <w:rPr>
                <w:rFonts w:hint="default"/>
                <w:b/>
                <w:bCs/>
                <w:color w:val="auto"/>
                <w:kern w:val="0"/>
                <w:sz w:val="22"/>
                <w:szCs w:val="22"/>
                <w:highlight w:val="none"/>
              </w:rPr>
              <w:t xml:space="preserve">1.2.2 </w:t>
            </w:r>
            <w:r>
              <w:rPr>
                <w:b/>
                <w:bCs/>
                <w:color w:val="auto"/>
                <w:kern w:val="0"/>
                <w:sz w:val="22"/>
                <w:szCs w:val="22"/>
                <w:highlight w:val="none"/>
              </w:rPr>
              <w:t>规划环评审查意见符合性分析</w:t>
            </w:r>
          </w:p>
          <w:p w14:paraId="48416D48">
            <w:pPr>
              <w:widowControl/>
              <w:spacing w:line="360" w:lineRule="auto"/>
              <w:ind w:firstLine="420" w:firstLineChars="200"/>
              <w:jc w:val="left"/>
              <w:rPr>
                <w:rFonts w:hint="default"/>
                <w:b w:val="0"/>
                <w:bCs w:val="0"/>
                <w:color w:val="auto"/>
                <w:kern w:val="0"/>
                <w:szCs w:val="21"/>
                <w:highlight w:val="none"/>
                <w:lang w:val="en-US" w:eastAsia="zh-CN"/>
              </w:rPr>
            </w:pPr>
            <w:r>
              <w:rPr>
                <w:rFonts w:hint="default"/>
                <w:b w:val="0"/>
                <w:bCs w:val="0"/>
                <w:color w:val="auto"/>
                <w:kern w:val="0"/>
                <w:szCs w:val="21"/>
                <w:highlight w:val="none"/>
                <w:lang w:val="en-US" w:eastAsia="zh-CN"/>
              </w:rPr>
              <w:t>本项目与规划环评审查意见符合性分析情况如表1-8所示。</w:t>
            </w:r>
          </w:p>
          <w:p w14:paraId="4508692F">
            <w:pPr>
              <w:pStyle w:val="14"/>
              <w:rPr>
                <w:rFonts w:hint="default" w:ascii="Times New Roman" w:hAnsi="Times New Roman" w:cs="Times New Roman"/>
                <w:b w:val="0"/>
                <w:bCs w:val="0"/>
                <w:color w:val="auto"/>
                <w:kern w:val="0"/>
                <w:szCs w:val="21"/>
                <w:highlight w:val="none"/>
                <w:lang w:val="en-US" w:eastAsia="zh-CN"/>
              </w:rPr>
            </w:pPr>
          </w:p>
          <w:p w14:paraId="44287545">
            <w:pPr>
              <w:pStyle w:val="14"/>
              <w:rPr>
                <w:rFonts w:hint="default" w:ascii="Times New Roman" w:hAnsi="Times New Roman" w:cs="Times New Roman"/>
                <w:b w:val="0"/>
                <w:bCs w:val="0"/>
                <w:color w:val="auto"/>
                <w:kern w:val="0"/>
                <w:szCs w:val="21"/>
                <w:highlight w:val="none"/>
                <w:lang w:val="en-US" w:eastAsia="zh-CN"/>
              </w:rPr>
            </w:pPr>
          </w:p>
          <w:p w14:paraId="24D67D5E">
            <w:pPr>
              <w:pStyle w:val="14"/>
              <w:rPr>
                <w:rFonts w:hint="default" w:ascii="Times New Roman" w:hAnsi="Times New Roman" w:cs="Times New Roman"/>
                <w:b w:val="0"/>
                <w:bCs w:val="0"/>
                <w:color w:val="auto"/>
                <w:kern w:val="0"/>
                <w:szCs w:val="21"/>
                <w:highlight w:val="none"/>
                <w:lang w:val="en-US" w:eastAsia="zh-CN"/>
              </w:rPr>
            </w:pPr>
          </w:p>
          <w:p w14:paraId="78E09F8E">
            <w:pPr>
              <w:keepNext/>
              <w:keepLines/>
              <w:pageBreakBefore w:val="0"/>
              <w:widowControl/>
              <w:numPr>
                <w:ilvl w:val="0"/>
                <w:numId w:val="1"/>
              </w:numPr>
              <w:tabs>
                <w:tab w:val="left" w:pos="0"/>
              </w:tabs>
              <w:kinsoku/>
              <w:wordWrap/>
              <w:overflowPunct/>
              <w:topLinePunct w:val="0"/>
              <w:autoSpaceDE/>
              <w:autoSpaceDN/>
              <w:bidi w:val="0"/>
              <w:adjustRightInd/>
              <w:snapToGrid/>
              <w:spacing w:line="360" w:lineRule="auto"/>
              <w:ind w:left="1134" w:hanging="1134"/>
              <w:jc w:val="center"/>
              <w:textAlignment w:val="auto"/>
              <w:outlineLvl w:val="3"/>
              <w:rPr>
                <w:rFonts w:hint="default" w:ascii="Times New Roman" w:hAnsi="Times New Roman" w:eastAsia="黑体" w:cs="Times New Roman"/>
                <w:b w:val="0"/>
                <w:bCs w:val="0"/>
                <w:color w:val="auto"/>
                <w:kern w:val="0"/>
                <w:szCs w:val="21"/>
                <w:highlight w:val="none"/>
                <w:lang w:val="zh-CN"/>
              </w:rPr>
            </w:pPr>
            <w:r>
              <w:rPr>
                <w:rFonts w:hint="default" w:ascii="Times New Roman" w:hAnsi="Times New Roman" w:eastAsia="黑体" w:cs="Times New Roman"/>
                <w:b w:val="0"/>
                <w:bCs w:val="0"/>
                <w:color w:val="auto"/>
                <w:kern w:val="0"/>
                <w:szCs w:val="21"/>
                <w:highlight w:val="none"/>
                <w:lang w:val="zh-CN"/>
              </w:rPr>
              <w:t>项目与规划环评审查意见符合性分析</w:t>
            </w:r>
          </w:p>
          <w:tbl>
            <w:tblPr>
              <w:tblStyle w:val="24"/>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1" w:type="dxa"/>
                <w:bottom w:w="0" w:type="dxa"/>
                <w:right w:w="11" w:type="dxa"/>
              </w:tblCellMar>
            </w:tblPr>
            <w:tblGrid>
              <w:gridCol w:w="481"/>
              <w:gridCol w:w="5065"/>
              <w:gridCol w:w="2289"/>
            </w:tblGrid>
            <w:tr w14:paraId="7CF9095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1" w:type="dxa"/>
                  <w:bottom w:w="0" w:type="dxa"/>
                  <w:right w:w="11" w:type="dxa"/>
                </w:tblCellMar>
              </w:tblPrEx>
              <w:trPr>
                <w:trHeight w:val="283" w:hRule="atLeast"/>
                <w:jc w:val="center"/>
              </w:trPr>
              <w:tc>
                <w:tcPr>
                  <w:tcW w:w="307" w:type="pct"/>
                  <w:tcBorders>
                    <w:tl2br w:val="nil"/>
                    <w:tr2bl w:val="nil"/>
                  </w:tcBorders>
                  <w:vAlign w:val="center"/>
                </w:tcPr>
                <w:p w14:paraId="5C55FE33">
                  <w:pPr>
                    <w:widowControl/>
                    <w:jc w:val="center"/>
                    <w:rPr>
                      <w:color w:val="auto"/>
                      <w:kern w:val="0"/>
                      <w:sz w:val="18"/>
                      <w:szCs w:val="18"/>
                      <w:highlight w:val="none"/>
                    </w:rPr>
                  </w:pPr>
                  <w:r>
                    <w:rPr>
                      <w:color w:val="auto"/>
                      <w:kern w:val="0"/>
                      <w:sz w:val="18"/>
                      <w:szCs w:val="18"/>
                      <w:highlight w:val="none"/>
                    </w:rPr>
                    <w:t>序号</w:t>
                  </w:r>
                </w:p>
              </w:tc>
              <w:tc>
                <w:tcPr>
                  <w:tcW w:w="3232" w:type="pct"/>
                  <w:tcBorders>
                    <w:tl2br w:val="nil"/>
                    <w:tr2bl w:val="nil"/>
                  </w:tcBorders>
                  <w:vAlign w:val="center"/>
                </w:tcPr>
                <w:p w14:paraId="6A05CEDB">
                  <w:pPr>
                    <w:widowControl/>
                    <w:jc w:val="center"/>
                    <w:rPr>
                      <w:color w:val="auto"/>
                      <w:kern w:val="0"/>
                      <w:sz w:val="18"/>
                      <w:szCs w:val="18"/>
                      <w:highlight w:val="none"/>
                    </w:rPr>
                  </w:pPr>
                  <w:r>
                    <w:rPr>
                      <w:color w:val="auto"/>
                      <w:kern w:val="0"/>
                      <w:sz w:val="18"/>
                      <w:szCs w:val="18"/>
                      <w:highlight w:val="none"/>
                    </w:rPr>
                    <w:t>审查意见</w:t>
                  </w:r>
                </w:p>
              </w:tc>
              <w:tc>
                <w:tcPr>
                  <w:tcW w:w="1461" w:type="pct"/>
                  <w:tcBorders>
                    <w:tl2br w:val="nil"/>
                    <w:tr2bl w:val="nil"/>
                  </w:tcBorders>
                  <w:vAlign w:val="center"/>
                </w:tcPr>
                <w:p w14:paraId="7BDD89B6">
                  <w:pPr>
                    <w:widowControl/>
                    <w:jc w:val="center"/>
                    <w:rPr>
                      <w:color w:val="auto"/>
                      <w:kern w:val="0"/>
                      <w:sz w:val="18"/>
                      <w:szCs w:val="18"/>
                      <w:highlight w:val="none"/>
                    </w:rPr>
                  </w:pPr>
                  <w:r>
                    <w:rPr>
                      <w:color w:val="auto"/>
                      <w:kern w:val="0"/>
                      <w:sz w:val="18"/>
                      <w:szCs w:val="18"/>
                      <w:highlight w:val="none"/>
                    </w:rPr>
                    <w:t>符合性分析</w:t>
                  </w:r>
                </w:p>
              </w:tc>
            </w:tr>
            <w:tr w14:paraId="63B4450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1" w:type="dxa"/>
                  <w:bottom w:w="0" w:type="dxa"/>
                  <w:right w:w="11" w:type="dxa"/>
                </w:tblCellMar>
              </w:tblPrEx>
              <w:trPr>
                <w:trHeight w:val="283" w:hRule="atLeast"/>
                <w:jc w:val="center"/>
              </w:trPr>
              <w:tc>
                <w:tcPr>
                  <w:tcW w:w="307" w:type="pct"/>
                  <w:tcBorders>
                    <w:tl2br w:val="nil"/>
                    <w:tr2bl w:val="nil"/>
                  </w:tcBorders>
                  <w:vAlign w:val="center"/>
                </w:tcPr>
                <w:p w14:paraId="78E95DE5">
                  <w:pPr>
                    <w:widowControl/>
                    <w:jc w:val="center"/>
                    <w:rPr>
                      <w:color w:val="auto"/>
                      <w:kern w:val="0"/>
                      <w:sz w:val="18"/>
                      <w:szCs w:val="18"/>
                      <w:highlight w:val="none"/>
                    </w:rPr>
                  </w:pPr>
                  <w:r>
                    <w:rPr>
                      <w:color w:val="auto"/>
                      <w:kern w:val="0"/>
                      <w:sz w:val="18"/>
                      <w:szCs w:val="18"/>
                      <w:highlight w:val="none"/>
                    </w:rPr>
                    <w:t>1</w:t>
                  </w:r>
                </w:p>
              </w:tc>
              <w:tc>
                <w:tcPr>
                  <w:tcW w:w="3232" w:type="pct"/>
                  <w:tcBorders>
                    <w:tl2br w:val="nil"/>
                    <w:tr2bl w:val="nil"/>
                  </w:tcBorders>
                  <w:vAlign w:val="center"/>
                </w:tcPr>
                <w:p w14:paraId="2BC4190C">
                  <w:pPr>
                    <w:widowControl/>
                    <w:rPr>
                      <w:color w:val="auto"/>
                      <w:kern w:val="0"/>
                      <w:sz w:val="18"/>
                      <w:szCs w:val="18"/>
                      <w:highlight w:val="none"/>
                    </w:rPr>
                  </w:pPr>
                  <w:r>
                    <w:rPr>
                      <w:color w:val="auto"/>
                      <w:kern w:val="0"/>
                      <w:sz w:val="18"/>
                      <w:szCs w:val="18"/>
                      <w:highlight w:val="none"/>
                    </w:rPr>
                    <w:t>进一步优化空间和规划布局。应合理规划居民住宅区、公共服务设施和商业网点等的建设。基地近期开发区域西面紧邻东苕溪饮用水源一级、二级保护区，须做好水源保护和风险防范措施。规划区域内良獐线等六级（含六级）以下内河航道禁止货运，以减少对饮用水源地的安全隐患。同时规划的实施须符合国家土地政策要求和其他上位规划要求。</w:t>
                  </w:r>
                </w:p>
              </w:tc>
              <w:tc>
                <w:tcPr>
                  <w:tcW w:w="1461" w:type="pct"/>
                  <w:tcBorders>
                    <w:tl2br w:val="nil"/>
                    <w:tr2bl w:val="nil"/>
                  </w:tcBorders>
                  <w:vAlign w:val="center"/>
                </w:tcPr>
                <w:p w14:paraId="1D01A8C5">
                  <w:pPr>
                    <w:widowControl/>
                    <w:rPr>
                      <w:color w:val="auto"/>
                      <w:kern w:val="0"/>
                      <w:sz w:val="18"/>
                      <w:szCs w:val="18"/>
                      <w:highlight w:val="none"/>
                    </w:rPr>
                  </w:pPr>
                  <w:r>
                    <w:rPr>
                      <w:color w:val="auto"/>
                      <w:kern w:val="0"/>
                      <w:sz w:val="18"/>
                      <w:szCs w:val="18"/>
                      <w:highlight w:val="none"/>
                    </w:rPr>
                    <w:t>符合。</w:t>
                  </w:r>
                  <w:r>
                    <w:rPr>
                      <w:rFonts w:hint="default"/>
                      <w:color w:val="auto"/>
                      <w:kern w:val="0"/>
                      <w:sz w:val="18"/>
                      <w:szCs w:val="18"/>
                      <w:highlight w:val="none"/>
                    </w:rPr>
                    <w:t>根据《余杭区钱开区单元（YH02）详细规划》及国土空间规划，本项目用地性质属于工业用地。与敏感点之间设置绿化隔离带，项目周边不涉及饮用水源保护区。</w:t>
                  </w:r>
                </w:p>
              </w:tc>
            </w:tr>
            <w:tr w14:paraId="1AD56C3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1" w:type="dxa"/>
                  <w:bottom w:w="0" w:type="dxa"/>
                  <w:right w:w="11" w:type="dxa"/>
                </w:tblCellMar>
              </w:tblPrEx>
              <w:trPr>
                <w:trHeight w:val="283" w:hRule="atLeast"/>
                <w:jc w:val="center"/>
              </w:trPr>
              <w:tc>
                <w:tcPr>
                  <w:tcW w:w="307" w:type="pct"/>
                  <w:tcBorders>
                    <w:tl2br w:val="nil"/>
                    <w:tr2bl w:val="nil"/>
                  </w:tcBorders>
                  <w:vAlign w:val="center"/>
                </w:tcPr>
                <w:p w14:paraId="15C86DD1">
                  <w:pPr>
                    <w:widowControl/>
                    <w:jc w:val="center"/>
                    <w:rPr>
                      <w:color w:val="auto"/>
                      <w:kern w:val="0"/>
                      <w:sz w:val="18"/>
                      <w:szCs w:val="18"/>
                      <w:highlight w:val="none"/>
                    </w:rPr>
                  </w:pPr>
                  <w:r>
                    <w:rPr>
                      <w:color w:val="auto"/>
                      <w:kern w:val="0"/>
                      <w:sz w:val="18"/>
                      <w:szCs w:val="18"/>
                      <w:highlight w:val="none"/>
                    </w:rPr>
                    <w:t>2</w:t>
                  </w:r>
                </w:p>
              </w:tc>
              <w:tc>
                <w:tcPr>
                  <w:tcW w:w="3232" w:type="pct"/>
                  <w:tcBorders>
                    <w:tl2br w:val="nil"/>
                    <w:tr2bl w:val="nil"/>
                  </w:tcBorders>
                  <w:vAlign w:val="center"/>
                </w:tcPr>
                <w:p w14:paraId="4529A9B7">
                  <w:pPr>
                    <w:widowControl/>
                    <w:rPr>
                      <w:color w:val="auto"/>
                      <w:kern w:val="0"/>
                      <w:sz w:val="18"/>
                      <w:szCs w:val="18"/>
                      <w:highlight w:val="none"/>
                    </w:rPr>
                  </w:pPr>
                  <w:r>
                    <w:rPr>
                      <w:color w:val="auto"/>
                      <w:kern w:val="0"/>
                      <w:sz w:val="18"/>
                      <w:szCs w:val="18"/>
                      <w:highlight w:val="none"/>
                    </w:rPr>
                    <w:t>强化产业转型升级。严格项目环境准入，严格执行规划环评中提出的产业导向目录，并符合各级产业导向目录要求。推进区域内现有污染较大的电镀、印染类企业采用先进生产工艺和生产设备，实行清洁生产，尽可能减少企业生产过程中各类污染物的排放，对现有三类企业进行优化升级或者提升整治。</w:t>
                  </w:r>
                </w:p>
              </w:tc>
              <w:tc>
                <w:tcPr>
                  <w:tcW w:w="1461" w:type="pct"/>
                  <w:tcBorders>
                    <w:tl2br w:val="nil"/>
                    <w:tr2bl w:val="nil"/>
                  </w:tcBorders>
                  <w:vAlign w:val="center"/>
                </w:tcPr>
                <w:p w14:paraId="6A60B38F">
                  <w:pPr>
                    <w:widowControl/>
                    <w:rPr>
                      <w:color w:val="auto"/>
                      <w:kern w:val="0"/>
                      <w:sz w:val="18"/>
                      <w:szCs w:val="18"/>
                      <w:highlight w:val="none"/>
                    </w:rPr>
                  </w:pPr>
                  <w:r>
                    <w:rPr>
                      <w:color w:val="auto"/>
                      <w:kern w:val="0"/>
                      <w:sz w:val="18"/>
                      <w:szCs w:val="18"/>
                      <w:highlight w:val="none"/>
                    </w:rPr>
                    <w:t>符合。经对照规划环评，本项目不属于区域禁止或限制类产业。</w:t>
                  </w:r>
                </w:p>
              </w:tc>
            </w:tr>
            <w:tr w14:paraId="365787A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283" w:hRule="atLeast"/>
                <w:jc w:val="center"/>
              </w:trPr>
              <w:tc>
                <w:tcPr>
                  <w:tcW w:w="307" w:type="pct"/>
                  <w:tcBorders>
                    <w:tl2br w:val="nil"/>
                    <w:tr2bl w:val="nil"/>
                  </w:tcBorders>
                  <w:vAlign w:val="center"/>
                </w:tcPr>
                <w:p w14:paraId="08A61A3C">
                  <w:pPr>
                    <w:widowControl/>
                    <w:jc w:val="center"/>
                    <w:rPr>
                      <w:color w:val="auto"/>
                      <w:kern w:val="0"/>
                      <w:sz w:val="18"/>
                      <w:szCs w:val="18"/>
                      <w:highlight w:val="none"/>
                    </w:rPr>
                  </w:pPr>
                  <w:r>
                    <w:rPr>
                      <w:color w:val="auto"/>
                      <w:kern w:val="0"/>
                      <w:sz w:val="18"/>
                      <w:szCs w:val="18"/>
                      <w:highlight w:val="none"/>
                    </w:rPr>
                    <w:t>3</w:t>
                  </w:r>
                </w:p>
              </w:tc>
              <w:tc>
                <w:tcPr>
                  <w:tcW w:w="3232" w:type="pct"/>
                  <w:tcBorders>
                    <w:tl2br w:val="nil"/>
                    <w:tr2bl w:val="nil"/>
                  </w:tcBorders>
                  <w:vAlign w:val="center"/>
                </w:tcPr>
                <w:p w14:paraId="67491A81">
                  <w:pPr>
                    <w:widowControl/>
                    <w:rPr>
                      <w:color w:val="auto"/>
                      <w:kern w:val="0"/>
                      <w:sz w:val="18"/>
                      <w:szCs w:val="18"/>
                      <w:highlight w:val="none"/>
                    </w:rPr>
                  </w:pPr>
                  <w:r>
                    <w:rPr>
                      <w:color w:val="auto"/>
                      <w:kern w:val="0"/>
                      <w:sz w:val="18"/>
                      <w:szCs w:val="18"/>
                      <w:highlight w:val="none"/>
                    </w:rPr>
                    <w:t>严格落实污染物总量控制要求。区域应以天然气作为主要能源，大力强化基地内企业的无组织排放控制，建立区内VOCs排放清单申报管理制度，对企业无组织排放建立相应环保制度进行源削减，提升VOCs控制水平，削减排放量。</w:t>
                  </w:r>
                </w:p>
              </w:tc>
              <w:tc>
                <w:tcPr>
                  <w:tcW w:w="1461" w:type="pct"/>
                  <w:tcBorders>
                    <w:tl2br w:val="nil"/>
                    <w:tr2bl w:val="nil"/>
                  </w:tcBorders>
                  <w:vAlign w:val="center"/>
                </w:tcPr>
                <w:p w14:paraId="7A8AB53B">
                  <w:pPr>
                    <w:widowControl/>
                    <w:rPr>
                      <w:color w:val="auto"/>
                      <w:kern w:val="0"/>
                      <w:sz w:val="18"/>
                      <w:szCs w:val="18"/>
                      <w:highlight w:val="none"/>
                    </w:rPr>
                  </w:pPr>
                  <w:r>
                    <w:rPr>
                      <w:color w:val="auto"/>
                      <w:kern w:val="0"/>
                      <w:sz w:val="18"/>
                      <w:szCs w:val="18"/>
                      <w:highlight w:val="none"/>
                    </w:rPr>
                    <w:t>符合。</w:t>
                  </w:r>
                  <w:r>
                    <w:rPr>
                      <w:rFonts w:hint="default"/>
                      <w:color w:val="auto"/>
                      <w:kern w:val="0"/>
                      <w:sz w:val="18"/>
                      <w:szCs w:val="18"/>
                      <w:highlight w:val="none"/>
                      <w:lang w:val="en-US" w:eastAsia="zh-CN"/>
                    </w:rPr>
                    <w:t>本项目全部采用电能，能源消耗较少；</w:t>
                  </w:r>
                  <w:r>
                    <w:rPr>
                      <w:color w:val="auto"/>
                      <w:kern w:val="0"/>
                      <w:sz w:val="18"/>
                      <w:szCs w:val="18"/>
                      <w:highlight w:val="none"/>
                    </w:rPr>
                    <w:t>本项目</w:t>
                  </w:r>
                  <w:r>
                    <w:rPr>
                      <w:rFonts w:hint="default"/>
                      <w:color w:val="auto"/>
                      <w:kern w:val="0"/>
                      <w:sz w:val="18"/>
                      <w:szCs w:val="18"/>
                      <w:highlight w:val="none"/>
                      <w:lang w:val="en-US" w:eastAsia="zh-CN"/>
                    </w:rPr>
                    <w:t>为研发项目，</w:t>
                  </w:r>
                  <w:r>
                    <w:rPr>
                      <w:rFonts w:hint="default"/>
                      <w:color w:val="auto"/>
                      <w:sz w:val="18"/>
                      <w:szCs w:val="18"/>
                      <w:highlight w:val="none"/>
                    </w:rPr>
                    <w:t>实施</w:t>
                  </w:r>
                  <w:r>
                    <w:rPr>
                      <w:color w:val="auto"/>
                      <w:sz w:val="18"/>
                      <w:szCs w:val="18"/>
                      <w:highlight w:val="none"/>
                    </w:rPr>
                    <w:t>后</w:t>
                  </w:r>
                  <w:r>
                    <w:rPr>
                      <w:rFonts w:hint="default"/>
                      <w:color w:val="auto"/>
                      <w:sz w:val="18"/>
                      <w:szCs w:val="18"/>
                      <w:highlight w:val="none"/>
                    </w:rPr>
                    <w:t>新增污染物总量较少</w:t>
                  </w:r>
                  <w:r>
                    <w:rPr>
                      <w:rFonts w:hint="default"/>
                      <w:color w:val="auto"/>
                      <w:kern w:val="0"/>
                      <w:sz w:val="18"/>
                      <w:szCs w:val="18"/>
                      <w:highlight w:val="none"/>
                    </w:rPr>
                    <w:t>，无需进行区域削减替代。</w:t>
                  </w:r>
                </w:p>
              </w:tc>
            </w:tr>
            <w:tr w14:paraId="0982881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1" w:type="dxa"/>
                  <w:bottom w:w="0" w:type="dxa"/>
                  <w:right w:w="11" w:type="dxa"/>
                </w:tblCellMar>
              </w:tblPrEx>
              <w:trPr>
                <w:trHeight w:val="283" w:hRule="atLeast"/>
                <w:jc w:val="center"/>
              </w:trPr>
              <w:tc>
                <w:tcPr>
                  <w:tcW w:w="307" w:type="pct"/>
                  <w:tcBorders>
                    <w:tl2br w:val="nil"/>
                    <w:tr2bl w:val="nil"/>
                  </w:tcBorders>
                  <w:vAlign w:val="center"/>
                </w:tcPr>
                <w:p w14:paraId="56FAF43E">
                  <w:pPr>
                    <w:widowControl/>
                    <w:jc w:val="center"/>
                    <w:rPr>
                      <w:color w:val="auto"/>
                      <w:kern w:val="0"/>
                      <w:sz w:val="18"/>
                      <w:szCs w:val="18"/>
                      <w:highlight w:val="none"/>
                    </w:rPr>
                  </w:pPr>
                  <w:r>
                    <w:rPr>
                      <w:color w:val="auto"/>
                      <w:kern w:val="0"/>
                      <w:sz w:val="18"/>
                      <w:szCs w:val="18"/>
                      <w:highlight w:val="none"/>
                    </w:rPr>
                    <w:t>4</w:t>
                  </w:r>
                </w:p>
              </w:tc>
              <w:tc>
                <w:tcPr>
                  <w:tcW w:w="3232" w:type="pct"/>
                  <w:tcBorders>
                    <w:tl2br w:val="nil"/>
                    <w:tr2bl w:val="nil"/>
                  </w:tcBorders>
                  <w:vAlign w:val="center"/>
                </w:tcPr>
                <w:p w14:paraId="7478D6AC">
                  <w:pPr>
                    <w:widowControl/>
                    <w:rPr>
                      <w:color w:val="auto"/>
                      <w:kern w:val="0"/>
                      <w:sz w:val="18"/>
                      <w:szCs w:val="18"/>
                      <w:highlight w:val="none"/>
                    </w:rPr>
                  </w:pPr>
                  <w:r>
                    <w:rPr>
                      <w:color w:val="auto"/>
                      <w:kern w:val="0"/>
                      <w:sz w:val="18"/>
                      <w:szCs w:val="18"/>
                      <w:highlight w:val="none"/>
                    </w:rPr>
                    <w:t>进一步深化污染整治，完善环境基础设施建设。严格实施清污分流、雨污分流，加快仁和北产业发展片区的配套污水管网等基础设施的建设，确保工业废水达标纳管排放，提高生活污水截污率，改善区域地表水环境质量；开展河道综合整治；加强农业面源污染防治；加快基地内其他区块的现有企业自备燃煤锅炉的治理工作，逐步实施煤改气工程；区内企业应尽可能实施固废综合利用，对不具有综合利用价值的危险废物必须委托有资质单位实施集中处理，固体废物安全处置率达100%。</w:t>
                  </w:r>
                </w:p>
              </w:tc>
              <w:tc>
                <w:tcPr>
                  <w:tcW w:w="1461" w:type="pct"/>
                  <w:tcBorders>
                    <w:tl2br w:val="nil"/>
                    <w:tr2bl w:val="nil"/>
                  </w:tcBorders>
                  <w:vAlign w:val="center"/>
                </w:tcPr>
                <w:p w14:paraId="5AD070C1">
                  <w:pPr>
                    <w:widowControl/>
                    <w:rPr>
                      <w:color w:val="auto"/>
                      <w:kern w:val="0"/>
                      <w:sz w:val="18"/>
                      <w:szCs w:val="18"/>
                      <w:highlight w:val="none"/>
                    </w:rPr>
                  </w:pPr>
                  <w:r>
                    <w:rPr>
                      <w:color w:val="auto"/>
                      <w:kern w:val="0"/>
                      <w:sz w:val="18"/>
                      <w:szCs w:val="18"/>
                      <w:highlight w:val="none"/>
                    </w:rPr>
                    <w:t>符合。项目实施清污分流、雨污分流，废水可实现纳管排放；项目不涉及锅炉使用；项目产生的固体废物均可妥善处置或综合利用。</w:t>
                  </w:r>
                </w:p>
              </w:tc>
            </w:tr>
            <w:tr w14:paraId="3DDA3E1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1" w:type="dxa"/>
                  <w:bottom w:w="0" w:type="dxa"/>
                  <w:right w:w="11" w:type="dxa"/>
                </w:tblCellMar>
              </w:tblPrEx>
              <w:trPr>
                <w:trHeight w:val="283" w:hRule="atLeast"/>
                <w:jc w:val="center"/>
              </w:trPr>
              <w:tc>
                <w:tcPr>
                  <w:tcW w:w="307" w:type="pct"/>
                  <w:tcBorders>
                    <w:tl2br w:val="nil"/>
                    <w:tr2bl w:val="nil"/>
                  </w:tcBorders>
                  <w:vAlign w:val="center"/>
                </w:tcPr>
                <w:p w14:paraId="6FAB8403">
                  <w:pPr>
                    <w:widowControl/>
                    <w:jc w:val="center"/>
                    <w:rPr>
                      <w:color w:val="auto"/>
                      <w:kern w:val="0"/>
                      <w:sz w:val="18"/>
                      <w:szCs w:val="18"/>
                      <w:highlight w:val="none"/>
                    </w:rPr>
                  </w:pPr>
                  <w:r>
                    <w:rPr>
                      <w:color w:val="auto"/>
                      <w:kern w:val="0"/>
                      <w:sz w:val="18"/>
                      <w:szCs w:val="18"/>
                      <w:highlight w:val="none"/>
                    </w:rPr>
                    <w:t>5</w:t>
                  </w:r>
                </w:p>
              </w:tc>
              <w:tc>
                <w:tcPr>
                  <w:tcW w:w="3232" w:type="pct"/>
                  <w:tcBorders>
                    <w:tl2br w:val="nil"/>
                    <w:tr2bl w:val="nil"/>
                  </w:tcBorders>
                  <w:vAlign w:val="center"/>
                </w:tcPr>
                <w:p w14:paraId="21F466FF">
                  <w:pPr>
                    <w:widowControl/>
                    <w:rPr>
                      <w:color w:val="auto"/>
                      <w:kern w:val="0"/>
                      <w:sz w:val="18"/>
                      <w:szCs w:val="18"/>
                      <w:highlight w:val="none"/>
                    </w:rPr>
                  </w:pPr>
                  <w:r>
                    <w:rPr>
                      <w:color w:val="auto"/>
                      <w:kern w:val="0"/>
                      <w:sz w:val="18"/>
                      <w:szCs w:val="18"/>
                      <w:highlight w:val="none"/>
                    </w:rPr>
                    <w:t>加强环境风险防范。基地须建立和完善事故风险应急救援管理体系。编制区域风险应急预案，形成区域联动，并定期进行检查演练。重点企业按要求配置相应的环境风险防范措施和事故应急设施。防范事故发生后引发的次生环境污染影响。</w:t>
                  </w:r>
                </w:p>
              </w:tc>
              <w:tc>
                <w:tcPr>
                  <w:tcW w:w="1461" w:type="pct"/>
                  <w:tcBorders>
                    <w:tl2br w:val="nil"/>
                    <w:tr2bl w:val="nil"/>
                  </w:tcBorders>
                  <w:vAlign w:val="center"/>
                </w:tcPr>
                <w:p w14:paraId="381FFA83">
                  <w:pPr>
                    <w:widowControl/>
                    <w:rPr>
                      <w:color w:val="auto"/>
                      <w:kern w:val="0"/>
                      <w:sz w:val="18"/>
                      <w:szCs w:val="18"/>
                      <w:highlight w:val="none"/>
                    </w:rPr>
                  </w:pPr>
                  <w:r>
                    <w:rPr>
                      <w:color w:val="auto"/>
                      <w:kern w:val="0"/>
                      <w:sz w:val="18"/>
                      <w:szCs w:val="18"/>
                      <w:highlight w:val="none"/>
                    </w:rPr>
                    <w:t>符合。</w:t>
                  </w:r>
                  <w:r>
                    <w:rPr>
                      <w:rFonts w:hint="default"/>
                      <w:color w:val="auto"/>
                      <w:kern w:val="0"/>
                      <w:sz w:val="18"/>
                      <w:szCs w:val="18"/>
                      <w:highlight w:val="none"/>
                    </w:rPr>
                    <w:t>本项目为实验室项目，不属于工业企业。实验室严格做好安全生产工作，严格遵守各项操作规程和制度， 操作规程和制度， 落实各项风险防范措施，减少对周围环境的影响。因此符合环境风险防控要求。</w:t>
                  </w:r>
                </w:p>
              </w:tc>
            </w:tr>
            <w:tr w14:paraId="5AA850D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1" w:type="dxa"/>
                  <w:bottom w:w="0" w:type="dxa"/>
                  <w:right w:w="11" w:type="dxa"/>
                </w:tblCellMar>
              </w:tblPrEx>
              <w:trPr>
                <w:trHeight w:val="283" w:hRule="atLeast"/>
                <w:jc w:val="center"/>
              </w:trPr>
              <w:tc>
                <w:tcPr>
                  <w:tcW w:w="307" w:type="pct"/>
                  <w:tcBorders>
                    <w:tl2br w:val="nil"/>
                    <w:tr2bl w:val="nil"/>
                  </w:tcBorders>
                  <w:vAlign w:val="center"/>
                </w:tcPr>
                <w:p w14:paraId="788C0124">
                  <w:pPr>
                    <w:widowControl/>
                    <w:jc w:val="center"/>
                    <w:rPr>
                      <w:color w:val="auto"/>
                      <w:kern w:val="0"/>
                      <w:sz w:val="18"/>
                      <w:szCs w:val="18"/>
                      <w:highlight w:val="none"/>
                    </w:rPr>
                  </w:pPr>
                  <w:r>
                    <w:rPr>
                      <w:color w:val="auto"/>
                      <w:kern w:val="0"/>
                      <w:sz w:val="18"/>
                      <w:szCs w:val="18"/>
                      <w:highlight w:val="none"/>
                    </w:rPr>
                    <w:t>6</w:t>
                  </w:r>
                </w:p>
              </w:tc>
              <w:tc>
                <w:tcPr>
                  <w:tcW w:w="3232" w:type="pct"/>
                  <w:tcBorders>
                    <w:tl2br w:val="nil"/>
                    <w:tr2bl w:val="nil"/>
                  </w:tcBorders>
                  <w:vAlign w:val="center"/>
                </w:tcPr>
                <w:p w14:paraId="2E14C2A8">
                  <w:pPr>
                    <w:widowControl/>
                    <w:rPr>
                      <w:color w:val="auto"/>
                      <w:kern w:val="0"/>
                      <w:sz w:val="18"/>
                      <w:szCs w:val="18"/>
                      <w:highlight w:val="none"/>
                    </w:rPr>
                  </w:pPr>
                  <w:r>
                    <w:rPr>
                      <w:color w:val="auto"/>
                      <w:kern w:val="0"/>
                      <w:sz w:val="18"/>
                      <w:szCs w:val="18"/>
                      <w:highlight w:val="none"/>
                    </w:rPr>
                    <w:t>建立环境监管体系和跟踪评价机制。基地应加强环境监管体系的建设，建立污染物排放对受保护区域与环境功能的跟监测与评价体系；规划区须每隔5年一次或视规划实际变化情况及时进行环境影响跟踪评价。</w:t>
                  </w:r>
                </w:p>
              </w:tc>
              <w:tc>
                <w:tcPr>
                  <w:tcW w:w="1461" w:type="pct"/>
                  <w:tcBorders>
                    <w:tl2br w:val="nil"/>
                    <w:tr2bl w:val="nil"/>
                  </w:tcBorders>
                  <w:vAlign w:val="center"/>
                </w:tcPr>
                <w:p w14:paraId="6D7C752E">
                  <w:pPr>
                    <w:widowControl/>
                    <w:rPr>
                      <w:color w:val="auto"/>
                      <w:kern w:val="0"/>
                      <w:sz w:val="18"/>
                      <w:szCs w:val="18"/>
                      <w:highlight w:val="none"/>
                    </w:rPr>
                  </w:pPr>
                  <w:r>
                    <w:rPr>
                      <w:color w:val="auto"/>
                      <w:kern w:val="0"/>
                      <w:sz w:val="18"/>
                      <w:szCs w:val="18"/>
                      <w:highlight w:val="none"/>
                    </w:rPr>
                    <w:t>符合。要求企业根据相关规范文件及环评要求定期开展污染源监测。</w:t>
                  </w:r>
                </w:p>
              </w:tc>
            </w:tr>
          </w:tbl>
          <w:p w14:paraId="0632D82D">
            <w:pPr>
              <w:widowControl/>
              <w:spacing w:line="360" w:lineRule="auto"/>
              <w:ind w:firstLine="420" w:firstLineChars="200"/>
              <w:rPr>
                <w:b w:val="0"/>
                <w:bCs w:val="0"/>
                <w:color w:val="auto"/>
                <w:kern w:val="0"/>
                <w:szCs w:val="21"/>
                <w:highlight w:val="none"/>
              </w:rPr>
            </w:pPr>
            <w:r>
              <w:rPr>
                <w:rFonts w:hint="default"/>
                <w:b w:val="0"/>
                <w:bCs w:val="0"/>
                <w:color w:val="auto"/>
                <w:kern w:val="0"/>
                <w:szCs w:val="21"/>
                <w:highlight w:val="none"/>
              </w:rPr>
              <w:t>由上表可知，</w:t>
            </w:r>
            <w:r>
              <w:rPr>
                <w:b w:val="0"/>
                <w:bCs w:val="0"/>
                <w:color w:val="auto"/>
                <w:kern w:val="0"/>
                <w:szCs w:val="21"/>
                <w:highlight w:val="none"/>
              </w:rPr>
              <w:t>本项目的建设符合规划环评审查意见的相关要求。</w:t>
            </w:r>
          </w:p>
          <w:p w14:paraId="1690CCF5">
            <w:pPr>
              <w:widowControl/>
              <w:spacing w:line="360" w:lineRule="auto"/>
              <w:ind w:firstLine="420" w:firstLineChars="200"/>
              <w:rPr>
                <w:color w:val="auto"/>
                <w:kern w:val="0"/>
                <w:szCs w:val="21"/>
                <w:highlight w:val="none"/>
              </w:rPr>
            </w:pPr>
            <w:r>
              <w:rPr>
                <w:rFonts w:hint="default"/>
                <w:bCs/>
                <w:color w:val="auto"/>
                <w:szCs w:val="21"/>
                <w:highlight w:val="none"/>
              </w:rPr>
              <w:t>综上分析可知，本项目符合</w:t>
            </w:r>
            <w:bookmarkStart w:id="9" w:name="_Hlk97069739"/>
            <w:r>
              <w:rPr>
                <w:rFonts w:hint="default"/>
                <w:bCs/>
                <w:color w:val="auto"/>
                <w:szCs w:val="21"/>
                <w:highlight w:val="none"/>
              </w:rPr>
              <w:t>《仁和先进制造业基地（暂定名）总体规划(2012-2030)环境影响报告书》、《仁和先进制造业基地（暂定名）总体规划(2012-2030)规划调整环境影响补充报告》及《仁和先进制造业基地总体规划(2012-2030)环境影响报告书“六张清单”修订说明》</w:t>
            </w:r>
            <w:bookmarkEnd w:id="9"/>
            <w:r>
              <w:rPr>
                <w:rFonts w:hint="default"/>
                <w:bCs/>
                <w:color w:val="auto"/>
                <w:szCs w:val="21"/>
                <w:highlight w:val="none"/>
              </w:rPr>
              <w:t>中相关要求及审查意见相关要求。</w:t>
            </w:r>
          </w:p>
        </w:tc>
      </w:tr>
      <w:tr w14:paraId="5BD3D66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745" w:type="dxa"/>
            <w:vAlign w:val="center"/>
          </w:tcPr>
          <w:p w14:paraId="60BCD3F9">
            <w:pPr>
              <w:autoSpaceDE w:val="0"/>
              <w:autoSpaceDN w:val="0"/>
              <w:adjustRightInd w:val="0"/>
              <w:snapToGrid w:val="0"/>
              <w:jc w:val="center"/>
              <w:rPr>
                <w:color w:val="auto"/>
                <w:kern w:val="0"/>
                <w:szCs w:val="21"/>
                <w:highlight w:val="none"/>
              </w:rPr>
            </w:pPr>
            <w:r>
              <w:rPr>
                <w:color w:val="auto"/>
                <w:kern w:val="0"/>
                <w:szCs w:val="21"/>
                <w:highlight w:val="none"/>
              </w:rPr>
              <w:t>其他符合性分析</w:t>
            </w:r>
          </w:p>
        </w:tc>
        <w:tc>
          <w:tcPr>
            <w:tcW w:w="8125" w:type="dxa"/>
            <w:gridSpan w:val="4"/>
            <w:vAlign w:val="center"/>
          </w:tcPr>
          <w:p w14:paraId="471CE274">
            <w:pPr>
              <w:spacing w:line="360" w:lineRule="auto"/>
              <w:outlineLvl w:val="1"/>
              <w:rPr>
                <w:b/>
                <w:snapToGrid w:val="0"/>
                <w:color w:val="auto"/>
                <w:sz w:val="24"/>
                <w:szCs w:val="32"/>
                <w:highlight w:val="none"/>
              </w:rPr>
            </w:pPr>
            <w:r>
              <w:rPr>
                <w:rFonts w:hint="default"/>
                <w:b/>
                <w:snapToGrid w:val="0"/>
                <w:color w:val="auto"/>
                <w:sz w:val="24"/>
                <w:szCs w:val="32"/>
                <w:highlight w:val="none"/>
              </w:rPr>
              <w:t xml:space="preserve">1.3 </w:t>
            </w:r>
            <w:r>
              <w:rPr>
                <w:rFonts w:hint="default"/>
                <w:b/>
                <w:snapToGrid w:val="0"/>
                <w:color w:val="auto"/>
                <w:sz w:val="24"/>
                <w:szCs w:val="32"/>
                <w:highlight w:val="none"/>
                <w:lang w:val="en-US" w:eastAsia="zh-CN"/>
              </w:rPr>
              <w:t xml:space="preserve"> </w:t>
            </w:r>
            <w:r>
              <w:rPr>
                <w:b/>
                <w:snapToGrid w:val="0"/>
                <w:color w:val="auto"/>
                <w:sz w:val="24"/>
                <w:szCs w:val="32"/>
                <w:highlight w:val="none"/>
              </w:rPr>
              <w:t>审批原则符合性分析</w:t>
            </w:r>
          </w:p>
          <w:p w14:paraId="3AAAB682">
            <w:pPr>
              <w:spacing w:line="360" w:lineRule="auto"/>
              <w:outlineLvl w:val="2"/>
              <w:rPr>
                <w:b/>
                <w:snapToGrid w:val="0"/>
                <w:color w:val="auto"/>
                <w:sz w:val="22"/>
                <w:szCs w:val="28"/>
                <w:highlight w:val="none"/>
              </w:rPr>
            </w:pPr>
            <w:r>
              <w:rPr>
                <w:rFonts w:hint="default"/>
                <w:b/>
                <w:snapToGrid w:val="0"/>
                <w:color w:val="auto"/>
                <w:sz w:val="22"/>
                <w:szCs w:val="28"/>
                <w:highlight w:val="none"/>
              </w:rPr>
              <w:t xml:space="preserve">1.3.1 </w:t>
            </w:r>
            <w:r>
              <w:rPr>
                <w:rFonts w:hint="default"/>
                <w:b/>
                <w:snapToGrid w:val="0"/>
                <w:color w:val="auto"/>
                <w:sz w:val="22"/>
                <w:szCs w:val="28"/>
                <w:highlight w:val="none"/>
                <w:lang w:val="en-US" w:eastAsia="zh-CN"/>
              </w:rPr>
              <w:t xml:space="preserve"> </w:t>
            </w:r>
            <w:r>
              <w:rPr>
                <w:b/>
                <w:snapToGrid w:val="0"/>
                <w:color w:val="auto"/>
                <w:sz w:val="22"/>
                <w:szCs w:val="28"/>
                <w:highlight w:val="none"/>
              </w:rPr>
              <w:t>建设项目应当符合生态保护红线、环境质量底线、资源利用上线和生态环境准入清单管控的要求</w:t>
            </w:r>
          </w:p>
          <w:p w14:paraId="42287085">
            <w:pPr>
              <w:spacing w:line="360" w:lineRule="auto"/>
              <w:ind w:firstLine="420" w:firstLineChars="200"/>
              <w:rPr>
                <w:snapToGrid w:val="0"/>
                <w:color w:val="auto"/>
                <w:highlight w:val="none"/>
              </w:rPr>
            </w:pPr>
            <w:r>
              <w:rPr>
                <w:snapToGrid w:val="0"/>
                <w:color w:val="auto"/>
                <w:highlight w:val="none"/>
              </w:rPr>
              <w:t>项目</w:t>
            </w:r>
            <w:r>
              <w:rPr>
                <w:rFonts w:hint="default"/>
                <w:color w:val="auto"/>
                <w:szCs w:val="21"/>
                <w:highlight w:val="none"/>
              </w:rPr>
              <w:t>位于仁和街道獐山北路9号东恒肽康医药园6幢9楼</w:t>
            </w:r>
            <w:r>
              <w:rPr>
                <w:snapToGrid w:val="0"/>
                <w:color w:val="auto"/>
                <w:highlight w:val="none"/>
              </w:rPr>
              <w:t>，</w:t>
            </w:r>
            <w:r>
              <w:rPr>
                <w:color w:val="auto"/>
                <w:kern w:val="0"/>
                <w:szCs w:val="21"/>
                <w:highlight w:val="none"/>
              </w:rPr>
              <w:t>对照</w:t>
            </w:r>
            <w:r>
              <w:rPr>
                <w:rFonts w:hint="default"/>
                <w:color w:val="auto"/>
                <w:kern w:val="0"/>
                <w:szCs w:val="21"/>
                <w:highlight w:val="none"/>
              </w:rPr>
              <w:t>根据《杭州市生态环境分区管控动态更新方案》（杭环发[2024]49号）</w:t>
            </w:r>
            <w:r>
              <w:rPr>
                <w:color w:val="auto"/>
                <w:kern w:val="0"/>
                <w:szCs w:val="21"/>
                <w:highlight w:val="none"/>
              </w:rPr>
              <w:t>，均位于“</w:t>
            </w:r>
            <w:r>
              <w:rPr>
                <w:rFonts w:hint="default"/>
                <w:color w:val="auto"/>
                <w:kern w:val="0"/>
                <w:szCs w:val="21"/>
                <w:highlight w:val="none"/>
              </w:rPr>
              <w:t>余杭区浙江余杭经济开发区产业集聚重点管控单元（原余杭区钱江经济开发区产业集聚重点管控单元）(ZH33011020009)</w:t>
            </w:r>
            <w:r>
              <w:rPr>
                <w:color w:val="auto"/>
                <w:kern w:val="0"/>
                <w:szCs w:val="21"/>
                <w:highlight w:val="none"/>
              </w:rPr>
              <w:t>”</w:t>
            </w:r>
            <w:r>
              <w:rPr>
                <w:rFonts w:hint="default"/>
                <w:color w:val="auto"/>
                <w:kern w:val="0"/>
                <w:szCs w:val="21"/>
                <w:highlight w:val="none"/>
              </w:rPr>
              <w:t>，属于重点管控单元，项目符合性分析如</w:t>
            </w:r>
            <w:r>
              <w:rPr>
                <w:rFonts w:hint="default"/>
                <w:color w:val="auto"/>
                <w:kern w:val="0"/>
                <w:szCs w:val="21"/>
                <w:highlight w:val="none"/>
                <w:lang w:val="en-US" w:eastAsia="zh-CN"/>
              </w:rPr>
              <w:t>表1-9所示。</w:t>
            </w:r>
          </w:p>
          <w:p w14:paraId="31B8B8A8">
            <w:pPr>
              <w:pStyle w:val="5"/>
              <w:keepNext/>
              <w:keepLines/>
              <w:pageBreakBefore w:val="0"/>
              <w:widowControl w:val="0"/>
              <w:numPr>
                <w:ilvl w:val="0"/>
                <w:numId w:val="1"/>
              </w:numPr>
              <w:tabs>
                <w:tab w:val="left" w:pos="0"/>
              </w:tabs>
              <w:kinsoku/>
              <w:wordWrap/>
              <w:overflowPunct/>
              <w:topLinePunct w:val="0"/>
              <w:autoSpaceDE/>
              <w:autoSpaceDN/>
              <w:bidi w:val="0"/>
              <w:adjustRightInd/>
              <w:snapToGrid/>
              <w:spacing w:before="0" w:after="0" w:line="360" w:lineRule="auto"/>
              <w:ind w:left="0" w:hanging="367" w:hangingChars="175"/>
              <w:jc w:val="center"/>
              <w:textAlignment w:val="auto"/>
              <w:rPr>
                <w:rFonts w:hint="default" w:ascii="Times New Roman" w:hAnsi="Times New Roman" w:eastAsia="黑体" w:cs="Times New Roman"/>
                <w:b w:val="0"/>
                <w:bCs w:val="0"/>
                <w:color w:val="auto"/>
                <w:sz w:val="21"/>
                <w:szCs w:val="21"/>
                <w:highlight w:val="none"/>
              </w:rPr>
            </w:pPr>
            <w:r>
              <w:rPr>
                <w:rFonts w:hint="default" w:ascii="Times New Roman" w:hAnsi="Times New Roman" w:eastAsia="黑体" w:cs="Times New Roman"/>
                <w:b w:val="0"/>
                <w:bCs w:val="0"/>
                <w:color w:val="auto"/>
                <w:sz w:val="21"/>
                <w:szCs w:val="21"/>
                <w:highlight w:val="none"/>
                <w:lang w:val="en-US"/>
              </w:rPr>
              <w:t>生态保护红线、</w:t>
            </w:r>
            <w:r>
              <w:rPr>
                <w:rFonts w:hint="default" w:ascii="Times New Roman" w:hAnsi="Times New Roman" w:eastAsia="黑体" w:cs="Times New Roman"/>
                <w:b w:val="0"/>
                <w:bCs w:val="0"/>
                <w:color w:val="auto"/>
                <w:sz w:val="21"/>
                <w:szCs w:val="21"/>
                <w:highlight w:val="none"/>
              </w:rPr>
              <w:t>环境质量底线及资源利用上线符合性分析</w:t>
            </w:r>
          </w:p>
          <w:tbl>
            <w:tblPr>
              <w:tblStyle w:val="24"/>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489"/>
              <w:gridCol w:w="768"/>
              <w:gridCol w:w="3079"/>
              <w:gridCol w:w="2798"/>
              <w:gridCol w:w="701"/>
            </w:tblGrid>
            <w:tr w14:paraId="4F48137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jc w:val="center"/>
              </w:trPr>
              <w:tc>
                <w:tcPr>
                  <w:tcW w:w="802" w:type="pct"/>
                  <w:gridSpan w:val="2"/>
                  <w:tcBorders>
                    <w:tl2br w:val="nil"/>
                    <w:tr2bl w:val="nil"/>
                  </w:tcBorders>
                  <w:vAlign w:val="center"/>
                </w:tcPr>
                <w:p w14:paraId="6A394DF4">
                  <w:pPr>
                    <w:jc w:val="center"/>
                    <w:rPr>
                      <w:color w:val="auto"/>
                      <w:sz w:val="18"/>
                      <w:szCs w:val="18"/>
                      <w:highlight w:val="none"/>
                    </w:rPr>
                  </w:pPr>
                  <w:r>
                    <w:rPr>
                      <w:color w:val="auto"/>
                      <w:sz w:val="18"/>
                      <w:szCs w:val="18"/>
                      <w:highlight w:val="none"/>
                    </w:rPr>
                    <w:t>管控类型</w:t>
                  </w:r>
                </w:p>
              </w:tc>
              <w:tc>
                <w:tcPr>
                  <w:tcW w:w="1964" w:type="pct"/>
                  <w:tcBorders>
                    <w:tl2br w:val="nil"/>
                    <w:tr2bl w:val="nil"/>
                  </w:tcBorders>
                  <w:vAlign w:val="center"/>
                </w:tcPr>
                <w:p w14:paraId="02830B75">
                  <w:pPr>
                    <w:jc w:val="center"/>
                    <w:rPr>
                      <w:color w:val="auto"/>
                      <w:sz w:val="18"/>
                      <w:szCs w:val="18"/>
                      <w:highlight w:val="none"/>
                    </w:rPr>
                  </w:pPr>
                  <w:r>
                    <w:rPr>
                      <w:color w:val="auto"/>
                      <w:sz w:val="18"/>
                      <w:szCs w:val="18"/>
                      <w:highlight w:val="none"/>
                    </w:rPr>
                    <w:t>管控要求</w:t>
                  </w:r>
                </w:p>
              </w:tc>
              <w:tc>
                <w:tcPr>
                  <w:tcW w:w="1785" w:type="pct"/>
                  <w:tcBorders>
                    <w:tl2br w:val="nil"/>
                    <w:tr2bl w:val="nil"/>
                  </w:tcBorders>
                  <w:vAlign w:val="center"/>
                </w:tcPr>
                <w:p w14:paraId="2FBAD198">
                  <w:pPr>
                    <w:jc w:val="center"/>
                    <w:rPr>
                      <w:color w:val="auto"/>
                      <w:sz w:val="18"/>
                      <w:szCs w:val="18"/>
                      <w:highlight w:val="none"/>
                    </w:rPr>
                  </w:pPr>
                  <w:r>
                    <w:rPr>
                      <w:color w:val="auto"/>
                      <w:sz w:val="18"/>
                      <w:szCs w:val="18"/>
                      <w:highlight w:val="none"/>
                    </w:rPr>
                    <w:t>本项目情况</w:t>
                  </w:r>
                </w:p>
              </w:tc>
              <w:tc>
                <w:tcPr>
                  <w:tcW w:w="447" w:type="pct"/>
                  <w:tcBorders>
                    <w:tl2br w:val="nil"/>
                    <w:tr2bl w:val="nil"/>
                  </w:tcBorders>
                  <w:vAlign w:val="center"/>
                </w:tcPr>
                <w:p w14:paraId="307C4796">
                  <w:pPr>
                    <w:jc w:val="center"/>
                    <w:rPr>
                      <w:color w:val="auto"/>
                      <w:sz w:val="18"/>
                      <w:szCs w:val="18"/>
                      <w:highlight w:val="none"/>
                    </w:rPr>
                  </w:pPr>
                  <w:r>
                    <w:rPr>
                      <w:color w:val="auto"/>
                      <w:sz w:val="18"/>
                      <w:szCs w:val="18"/>
                      <w:highlight w:val="none"/>
                    </w:rPr>
                    <w:t>符合性</w:t>
                  </w:r>
                </w:p>
              </w:tc>
            </w:tr>
            <w:tr w14:paraId="195DA11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802" w:type="pct"/>
                  <w:gridSpan w:val="2"/>
                  <w:tcBorders>
                    <w:tl2br w:val="nil"/>
                    <w:tr2bl w:val="nil"/>
                  </w:tcBorders>
                  <w:vAlign w:val="center"/>
                </w:tcPr>
                <w:p w14:paraId="6CF90198">
                  <w:pPr>
                    <w:jc w:val="center"/>
                    <w:rPr>
                      <w:color w:val="auto"/>
                      <w:sz w:val="18"/>
                      <w:szCs w:val="18"/>
                      <w:highlight w:val="none"/>
                    </w:rPr>
                  </w:pPr>
                  <w:r>
                    <w:rPr>
                      <w:rFonts w:hint="default"/>
                      <w:color w:val="auto"/>
                      <w:sz w:val="18"/>
                      <w:szCs w:val="18"/>
                      <w:highlight w:val="none"/>
                    </w:rPr>
                    <w:t>生态保护红线</w:t>
                  </w:r>
                </w:p>
              </w:tc>
              <w:tc>
                <w:tcPr>
                  <w:tcW w:w="1964" w:type="pct"/>
                  <w:tcBorders>
                    <w:tl2br w:val="nil"/>
                    <w:tr2bl w:val="nil"/>
                  </w:tcBorders>
                  <w:vAlign w:val="center"/>
                </w:tcPr>
                <w:p w14:paraId="3B2B37E5">
                  <w:pPr>
                    <w:jc w:val="center"/>
                    <w:rPr>
                      <w:color w:val="auto"/>
                      <w:sz w:val="18"/>
                      <w:szCs w:val="18"/>
                      <w:highlight w:val="none"/>
                    </w:rPr>
                  </w:pPr>
                  <w:r>
                    <w:rPr>
                      <w:rFonts w:hint="default"/>
                      <w:color w:val="auto"/>
                      <w:sz w:val="18"/>
                      <w:szCs w:val="18"/>
                      <w:highlight w:val="none"/>
                    </w:rPr>
                    <w:t>生态功能不降低、面积不减少、性质不改变</w:t>
                  </w:r>
                </w:p>
              </w:tc>
              <w:tc>
                <w:tcPr>
                  <w:tcW w:w="1785" w:type="pct"/>
                  <w:tcBorders>
                    <w:tl2br w:val="nil"/>
                    <w:tr2bl w:val="nil"/>
                  </w:tcBorders>
                  <w:vAlign w:val="center"/>
                </w:tcPr>
                <w:p w14:paraId="59EEB610">
                  <w:pPr>
                    <w:jc w:val="both"/>
                    <w:rPr>
                      <w:color w:val="auto"/>
                      <w:sz w:val="18"/>
                      <w:szCs w:val="18"/>
                      <w:highlight w:val="none"/>
                    </w:rPr>
                  </w:pPr>
                  <w:r>
                    <w:rPr>
                      <w:rFonts w:hint="default"/>
                      <w:color w:val="auto"/>
                      <w:sz w:val="18"/>
                      <w:szCs w:val="18"/>
                      <w:highlight w:val="none"/>
                    </w:rPr>
                    <w:t>本项目所在地位于城镇开发边界内，不涉及生态保护红线、永久基本农田。</w:t>
                  </w:r>
                </w:p>
              </w:tc>
              <w:tc>
                <w:tcPr>
                  <w:tcW w:w="447" w:type="pct"/>
                  <w:tcBorders>
                    <w:tl2br w:val="nil"/>
                    <w:tr2bl w:val="nil"/>
                  </w:tcBorders>
                  <w:vAlign w:val="center"/>
                </w:tcPr>
                <w:p w14:paraId="3828CAA9">
                  <w:pPr>
                    <w:jc w:val="center"/>
                    <w:rPr>
                      <w:color w:val="auto"/>
                      <w:sz w:val="18"/>
                      <w:szCs w:val="18"/>
                      <w:highlight w:val="none"/>
                    </w:rPr>
                  </w:pPr>
                  <w:r>
                    <w:rPr>
                      <w:rFonts w:hint="default"/>
                      <w:color w:val="auto"/>
                      <w:sz w:val="18"/>
                      <w:szCs w:val="18"/>
                      <w:highlight w:val="none"/>
                    </w:rPr>
                    <w:t>符合</w:t>
                  </w:r>
                </w:p>
              </w:tc>
            </w:tr>
            <w:tr w14:paraId="1C7B5ED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312" w:type="pct"/>
                  <w:vMerge w:val="restart"/>
                  <w:tcBorders>
                    <w:tl2br w:val="nil"/>
                    <w:tr2bl w:val="nil"/>
                  </w:tcBorders>
                  <w:vAlign w:val="center"/>
                </w:tcPr>
                <w:p w14:paraId="0E71A696">
                  <w:pPr>
                    <w:jc w:val="center"/>
                    <w:rPr>
                      <w:color w:val="auto"/>
                      <w:sz w:val="18"/>
                      <w:szCs w:val="18"/>
                      <w:highlight w:val="none"/>
                    </w:rPr>
                  </w:pPr>
                  <w:r>
                    <w:rPr>
                      <w:color w:val="auto"/>
                      <w:sz w:val="18"/>
                      <w:szCs w:val="18"/>
                      <w:highlight w:val="none"/>
                    </w:rPr>
                    <w:t>环境质量底线</w:t>
                  </w:r>
                </w:p>
              </w:tc>
              <w:tc>
                <w:tcPr>
                  <w:tcW w:w="490" w:type="pct"/>
                  <w:tcBorders>
                    <w:tl2br w:val="nil"/>
                    <w:tr2bl w:val="nil"/>
                  </w:tcBorders>
                  <w:vAlign w:val="center"/>
                </w:tcPr>
                <w:p w14:paraId="03B34BFA">
                  <w:pPr>
                    <w:jc w:val="center"/>
                    <w:rPr>
                      <w:color w:val="auto"/>
                      <w:sz w:val="18"/>
                      <w:szCs w:val="18"/>
                      <w:highlight w:val="none"/>
                    </w:rPr>
                  </w:pPr>
                  <w:r>
                    <w:rPr>
                      <w:color w:val="auto"/>
                      <w:sz w:val="18"/>
                      <w:szCs w:val="18"/>
                      <w:highlight w:val="none"/>
                    </w:rPr>
                    <w:t>大气环境质量底线目标</w:t>
                  </w:r>
                </w:p>
              </w:tc>
              <w:tc>
                <w:tcPr>
                  <w:tcW w:w="1964" w:type="pct"/>
                  <w:tcBorders>
                    <w:tl2br w:val="nil"/>
                    <w:tr2bl w:val="nil"/>
                  </w:tcBorders>
                  <w:vAlign w:val="center"/>
                </w:tcPr>
                <w:p w14:paraId="7C62D21F">
                  <w:pPr>
                    <w:jc w:val="left"/>
                    <w:rPr>
                      <w:snapToGrid w:val="0"/>
                      <w:color w:val="auto"/>
                      <w:sz w:val="18"/>
                      <w:szCs w:val="18"/>
                      <w:highlight w:val="none"/>
                    </w:rPr>
                  </w:pPr>
                  <w:r>
                    <w:rPr>
                      <w:color w:val="auto"/>
                      <w:sz w:val="18"/>
                      <w:szCs w:val="18"/>
                      <w:highlight w:val="none"/>
                    </w:rPr>
                    <w:t>2025年，全面消除重污染天气，基本消除中度污染天气，力争O</w:t>
                  </w:r>
                  <w:r>
                    <w:rPr>
                      <w:color w:val="auto"/>
                      <w:sz w:val="18"/>
                      <w:szCs w:val="18"/>
                      <w:highlight w:val="none"/>
                      <w:vertAlign w:val="subscript"/>
                    </w:rPr>
                    <w:t>3</w:t>
                  </w:r>
                  <w:r>
                    <w:rPr>
                      <w:color w:val="auto"/>
                      <w:sz w:val="18"/>
                      <w:szCs w:val="18"/>
                      <w:highlight w:val="none"/>
                    </w:rPr>
                    <w:t>浓度达到拐点，PM</w:t>
                  </w:r>
                  <w:r>
                    <w:rPr>
                      <w:color w:val="auto"/>
                      <w:sz w:val="18"/>
                      <w:szCs w:val="18"/>
                      <w:highlight w:val="none"/>
                      <w:vertAlign w:val="subscript"/>
                    </w:rPr>
                    <w:t>2.5</w:t>
                  </w:r>
                  <w:r>
                    <w:rPr>
                      <w:color w:val="auto"/>
                      <w:sz w:val="18"/>
                      <w:szCs w:val="18"/>
                      <w:highlight w:val="none"/>
                    </w:rPr>
                    <w:t>年均浓度稳定控制在28微克/立方米以下，努力实现环境空气质量稳定全面达标。</w:t>
                  </w:r>
                </w:p>
              </w:tc>
              <w:tc>
                <w:tcPr>
                  <w:tcW w:w="1785" w:type="pct"/>
                  <w:tcBorders>
                    <w:tl2br w:val="nil"/>
                    <w:tr2bl w:val="nil"/>
                  </w:tcBorders>
                  <w:shd w:val="clear" w:color="auto" w:fill="auto"/>
                  <w:vAlign w:val="center"/>
                </w:tcPr>
                <w:p w14:paraId="29C44B56">
                  <w:pPr>
                    <w:rPr>
                      <w:color w:val="auto"/>
                      <w:sz w:val="18"/>
                      <w:szCs w:val="18"/>
                      <w:highlight w:val="none"/>
                    </w:rPr>
                  </w:pPr>
                  <w:r>
                    <w:rPr>
                      <w:rFonts w:hint="default" w:ascii="Times New Roman" w:hAnsi="Times New Roman" w:cs="Times New Roman"/>
                      <w:color w:val="auto"/>
                      <w:sz w:val="18"/>
                      <w:szCs w:val="18"/>
                    </w:rPr>
                    <w:t>项目</w:t>
                  </w:r>
                  <w:r>
                    <w:rPr>
                      <w:rFonts w:hint="eastAsia" w:ascii="Times New Roman" w:hAnsi="Times New Roman" w:cs="Times New Roman"/>
                      <w:color w:val="auto"/>
                      <w:sz w:val="18"/>
                      <w:szCs w:val="18"/>
                      <w:lang w:val="en-US" w:eastAsia="zh-CN"/>
                    </w:rPr>
                    <w:t>所在地</w:t>
                  </w:r>
                  <w:r>
                    <w:rPr>
                      <w:rFonts w:hint="default" w:ascii="Times New Roman" w:hAnsi="Times New Roman" w:cs="Times New Roman"/>
                      <w:color w:val="auto"/>
                      <w:sz w:val="18"/>
                      <w:szCs w:val="18"/>
                    </w:rPr>
                    <w:t>环境空气质量为不达标区，通过《杭州市大气环境质量限期达标规划》实施，区域环境空气将有所改善，</w:t>
                  </w:r>
                  <w:r>
                    <w:rPr>
                      <w:rFonts w:hint="default" w:cs="Times New Roman"/>
                      <w:color w:val="auto"/>
                      <w:sz w:val="18"/>
                      <w:szCs w:val="18"/>
                      <w:lang w:eastAsia="zh-CN"/>
                    </w:rPr>
                    <w:t>项目</w:t>
                  </w:r>
                  <w:r>
                    <w:rPr>
                      <w:rFonts w:hint="default" w:ascii="Times New Roman" w:hAnsi="Times New Roman" w:cs="Times New Roman"/>
                      <w:color w:val="auto"/>
                      <w:sz w:val="18"/>
                      <w:szCs w:val="18"/>
                    </w:rPr>
                    <w:t>废气通过采取有效的污染防治措施后能达标排放，不会使环境空气质量出现降级情况。</w:t>
                  </w:r>
                </w:p>
              </w:tc>
              <w:tc>
                <w:tcPr>
                  <w:tcW w:w="447" w:type="pct"/>
                  <w:tcBorders>
                    <w:tl2br w:val="nil"/>
                    <w:tr2bl w:val="nil"/>
                  </w:tcBorders>
                  <w:vAlign w:val="center"/>
                </w:tcPr>
                <w:p w14:paraId="2F8A6473">
                  <w:pPr>
                    <w:jc w:val="center"/>
                    <w:rPr>
                      <w:color w:val="auto"/>
                      <w:sz w:val="18"/>
                      <w:szCs w:val="18"/>
                      <w:highlight w:val="none"/>
                    </w:rPr>
                  </w:pPr>
                  <w:r>
                    <w:rPr>
                      <w:color w:val="auto"/>
                      <w:sz w:val="18"/>
                      <w:szCs w:val="18"/>
                      <w:highlight w:val="none"/>
                    </w:rPr>
                    <w:t>符合</w:t>
                  </w:r>
                </w:p>
              </w:tc>
            </w:tr>
            <w:tr w14:paraId="2B35638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312" w:type="pct"/>
                  <w:vMerge w:val="continue"/>
                  <w:tcBorders>
                    <w:tl2br w:val="nil"/>
                    <w:tr2bl w:val="nil"/>
                  </w:tcBorders>
                  <w:vAlign w:val="center"/>
                </w:tcPr>
                <w:p w14:paraId="52E949A7">
                  <w:pPr>
                    <w:rPr>
                      <w:color w:val="auto"/>
                      <w:sz w:val="18"/>
                      <w:szCs w:val="18"/>
                      <w:highlight w:val="none"/>
                    </w:rPr>
                  </w:pPr>
                </w:p>
              </w:tc>
              <w:tc>
                <w:tcPr>
                  <w:tcW w:w="490" w:type="pct"/>
                  <w:tcBorders>
                    <w:tl2br w:val="nil"/>
                    <w:tr2bl w:val="nil"/>
                  </w:tcBorders>
                  <w:vAlign w:val="center"/>
                </w:tcPr>
                <w:p w14:paraId="412BD41E">
                  <w:pPr>
                    <w:jc w:val="center"/>
                    <w:rPr>
                      <w:color w:val="auto"/>
                      <w:sz w:val="18"/>
                      <w:szCs w:val="18"/>
                      <w:highlight w:val="none"/>
                    </w:rPr>
                  </w:pPr>
                  <w:r>
                    <w:rPr>
                      <w:color w:val="auto"/>
                      <w:sz w:val="18"/>
                      <w:szCs w:val="18"/>
                      <w:highlight w:val="none"/>
                    </w:rPr>
                    <w:t>水环境质量底线目标</w:t>
                  </w:r>
                </w:p>
              </w:tc>
              <w:tc>
                <w:tcPr>
                  <w:tcW w:w="1964" w:type="pct"/>
                  <w:tcBorders>
                    <w:tl2br w:val="nil"/>
                    <w:tr2bl w:val="nil"/>
                  </w:tcBorders>
                  <w:vAlign w:val="center"/>
                </w:tcPr>
                <w:p w14:paraId="46609682">
                  <w:pPr>
                    <w:rPr>
                      <w:color w:val="auto"/>
                      <w:sz w:val="18"/>
                      <w:szCs w:val="18"/>
                      <w:highlight w:val="none"/>
                    </w:rPr>
                  </w:pPr>
                  <w:r>
                    <w:rPr>
                      <w:color w:val="auto"/>
                      <w:sz w:val="18"/>
                      <w:szCs w:val="18"/>
                      <w:highlight w:val="none"/>
                    </w:rPr>
                    <w:t>到2025年，力争全市水生态环境质量实现“三无、两提升、三个百分百”，即：城市建成区无黑臭水体，地表无劣</w:t>
                  </w:r>
                  <w:r>
                    <w:rPr>
                      <w:rFonts w:hint="default" w:ascii="Times New Roman" w:hAnsi="Times New Roman" w:cs="Times New Roman"/>
                      <w:color w:val="auto"/>
                      <w:sz w:val="18"/>
                      <w:szCs w:val="18"/>
                      <w:highlight w:val="none"/>
                    </w:rPr>
                    <w:t>Ⅴ</w:t>
                  </w:r>
                  <w:r>
                    <w:rPr>
                      <w:color w:val="auto"/>
                      <w:sz w:val="18"/>
                      <w:szCs w:val="18"/>
                      <w:highlight w:val="none"/>
                    </w:rPr>
                    <w:t>类水体，无断流（干涸）河流；市控以上地表水优良（达到或优于</w:t>
                  </w:r>
                  <w:r>
                    <w:rPr>
                      <w:rFonts w:hint="default" w:ascii="Times New Roman" w:hAnsi="Times New Roman" w:cs="Times New Roman"/>
                      <w:color w:val="auto"/>
                      <w:sz w:val="18"/>
                      <w:szCs w:val="18"/>
                      <w:highlight w:val="none"/>
                    </w:rPr>
                    <w:t>Ⅲ</w:t>
                  </w:r>
                  <w:r>
                    <w:rPr>
                      <w:color w:val="auto"/>
                      <w:sz w:val="18"/>
                      <w:szCs w:val="18"/>
                      <w:highlight w:val="none"/>
                    </w:rPr>
                    <w:t>类）比例与水生生物完整性有不同程度的提升，县级以上城市集中式饮用水水源达到或优于</w:t>
                  </w:r>
                  <w:r>
                    <w:rPr>
                      <w:rFonts w:hint="default" w:ascii="Times New Roman" w:hAnsi="Times New Roman" w:cs="Times New Roman"/>
                      <w:color w:val="auto"/>
                      <w:sz w:val="18"/>
                      <w:szCs w:val="18"/>
                      <w:highlight w:val="none"/>
                    </w:rPr>
                    <w:t>Ⅲ</w:t>
                  </w:r>
                  <w:r>
                    <w:rPr>
                      <w:color w:val="auto"/>
                      <w:sz w:val="18"/>
                      <w:szCs w:val="18"/>
                      <w:highlight w:val="none"/>
                    </w:rPr>
                    <w:t>类比例达到100%，地表水市控以上断面水质达标率达到100%，国家重要水功能区达标率达到100%。</w:t>
                  </w:r>
                </w:p>
              </w:tc>
              <w:tc>
                <w:tcPr>
                  <w:tcW w:w="1785" w:type="pct"/>
                  <w:tcBorders>
                    <w:tl2br w:val="nil"/>
                    <w:tr2bl w:val="nil"/>
                  </w:tcBorders>
                  <w:shd w:val="clear" w:color="auto" w:fill="auto"/>
                  <w:vAlign w:val="center"/>
                </w:tcPr>
                <w:p w14:paraId="525F1D19">
                  <w:pPr>
                    <w:rPr>
                      <w:color w:val="auto"/>
                      <w:sz w:val="18"/>
                      <w:szCs w:val="18"/>
                      <w:highlight w:val="none"/>
                    </w:rPr>
                  </w:pPr>
                  <w:r>
                    <w:rPr>
                      <w:color w:val="auto"/>
                      <w:sz w:val="18"/>
                      <w:szCs w:val="18"/>
                      <w:highlight w:val="none"/>
                    </w:rPr>
                    <w:t>202</w:t>
                  </w:r>
                  <w:r>
                    <w:rPr>
                      <w:rFonts w:hint="eastAsia"/>
                      <w:color w:val="auto"/>
                      <w:sz w:val="18"/>
                      <w:szCs w:val="18"/>
                      <w:highlight w:val="none"/>
                    </w:rPr>
                    <w:t>5年，余杭区两大流域苕溪、运河总体水质分别为II类、Ⅲ类，均达到功能区要求。区控及以上12个断面水质Ⅰ-Ⅲ类比例为100%，断面达到功能区要求为100%，保持稳定。</w:t>
                  </w:r>
                  <w:r>
                    <w:rPr>
                      <w:color w:val="auto"/>
                      <w:sz w:val="18"/>
                      <w:szCs w:val="18"/>
                      <w:highlight w:val="none"/>
                    </w:rPr>
                    <w:t>本项目</w:t>
                  </w:r>
                  <w:r>
                    <w:rPr>
                      <w:rFonts w:hint="default"/>
                      <w:color w:val="auto"/>
                      <w:sz w:val="18"/>
                      <w:szCs w:val="18"/>
                      <w:highlight w:val="none"/>
                    </w:rPr>
                    <w:t>生产废水经预处理后与</w:t>
                  </w:r>
                  <w:r>
                    <w:rPr>
                      <w:color w:val="auto"/>
                      <w:sz w:val="18"/>
                      <w:szCs w:val="18"/>
                      <w:highlight w:val="none"/>
                    </w:rPr>
                    <w:t>经化粪池处理后</w:t>
                  </w:r>
                  <w:r>
                    <w:rPr>
                      <w:rFonts w:hint="default"/>
                      <w:color w:val="auto"/>
                      <w:sz w:val="18"/>
                      <w:szCs w:val="18"/>
                      <w:highlight w:val="none"/>
                    </w:rPr>
                    <w:t>的</w:t>
                  </w:r>
                  <w:r>
                    <w:rPr>
                      <w:color w:val="auto"/>
                      <w:sz w:val="18"/>
                      <w:szCs w:val="18"/>
                      <w:highlight w:val="none"/>
                    </w:rPr>
                    <w:t>生活污水</w:t>
                  </w:r>
                  <w:r>
                    <w:rPr>
                      <w:rFonts w:hint="default"/>
                      <w:color w:val="auto"/>
                      <w:sz w:val="18"/>
                      <w:szCs w:val="18"/>
                      <w:highlight w:val="none"/>
                    </w:rPr>
                    <w:t>一同</w:t>
                  </w:r>
                  <w:r>
                    <w:rPr>
                      <w:color w:val="auto"/>
                      <w:sz w:val="18"/>
                      <w:szCs w:val="18"/>
                      <w:highlight w:val="none"/>
                    </w:rPr>
                    <w:t>纳管排放，最终经良渚污水</w:t>
                  </w:r>
                  <w:r>
                    <w:rPr>
                      <w:rFonts w:hint="default"/>
                      <w:color w:val="auto"/>
                      <w:sz w:val="18"/>
                      <w:szCs w:val="18"/>
                      <w:highlight w:val="none"/>
                    </w:rPr>
                    <w:t>处理</w:t>
                  </w:r>
                  <w:r>
                    <w:rPr>
                      <w:color w:val="auto"/>
                      <w:sz w:val="18"/>
                      <w:szCs w:val="18"/>
                      <w:highlight w:val="none"/>
                    </w:rPr>
                    <w:t>厂处理达标后排至良渚港。不会突破水环境质量底线，不会影响区域环境质量改善目标的实现。</w:t>
                  </w:r>
                </w:p>
              </w:tc>
              <w:tc>
                <w:tcPr>
                  <w:tcW w:w="447" w:type="pct"/>
                  <w:tcBorders>
                    <w:tl2br w:val="nil"/>
                    <w:tr2bl w:val="nil"/>
                  </w:tcBorders>
                  <w:vAlign w:val="center"/>
                </w:tcPr>
                <w:p w14:paraId="4FFA0B72">
                  <w:pPr>
                    <w:rPr>
                      <w:color w:val="auto"/>
                      <w:sz w:val="18"/>
                      <w:szCs w:val="18"/>
                      <w:highlight w:val="none"/>
                    </w:rPr>
                  </w:pPr>
                  <w:r>
                    <w:rPr>
                      <w:color w:val="auto"/>
                      <w:sz w:val="18"/>
                      <w:szCs w:val="18"/>
                      <w:highlight w:val="none"/>
                    </w:rPr>
                    <w:t>符合</w:t>
                  </w:r>
                </w:p>
              </w:tc>
            </w:tr>
            <w:tr w14:paraId="700FCE1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312" w:type="pct"/>
                  <w:vMerge w:val="continue"/>
                  <w:tcBorders>
                    <w:tl2br w:val="nil"/>
                    <w:tr2bl w:val="nil"/>
                  </w:tcBorders>
                  <w:vAlign w:val="center"/>
                </w:tcPr>
                <w:p w14:paraId="7BCFE158">
                  <w:pPr>
                    <w:rPr>
                      <w:color w:val="auto"/>
                      <w:sz w:val="18"/>
                      <w:szCs w:val="18"/>
                      <w:highlight w:val="none"/>
                    </w:rPr>
                  </w:pPr>
                </w:p>
              </w:tc>
              <w:tc>
                <w:tcPr>
                  <w:tcW w:w="490" w:type="pct"/>
                  <w:tcBorders>
                    <w:tl2br w:val="nil"/>
                    <w:tr2bl w:val="nil"/>
                  </w:tcBorders>
                  <w:vAlign w:val="center"/>
                </w:tcPr>
                <w:p w14:paraId="18C7E7B4">
                  <w:pPr>
                    <w:jc w:val="center"/>
                    <w:rPr>
                      <w:color w:val="auto"/>
                      <w:sz w:val="18"/>
                      <w:szCs w:val="18"/>
                      <w:highlight w:val="none"/>
                    </w:rPr>
                  </w:pPr>
                  <w:r>
                    <w:rPr>
                      <w:color w:val="auto"/>
                      <w:sz w:val="18"/>
                      <w:szCs w:val="18"/>
                      <w:highlight w:val="none"/>
                    </w:rPr>
                    <w:t>土壤环境风险防控底线目标</w:t>
                  </w:r>
                </w:p>
              </w:tc>
              <w:tc>
                <w:tcPr>
                  <w:tcW w:w="1964" w:type="pct"/>
                  <w:tcBorders>
                    <w:tl2br w:val="nil"/>
                    <w:tr2bl w:val="nil"/>
                  </w:tcBorders>
                  <w:vAlign w:val="center"/>
                </w:tcPr>
                <w:p w14:paraId="037C782A">
                  <w:pPr>
                    <w:jc w:val="left"/>
                    <w:rPr>
                      <w:snapToGrid w:val="0"/>
                      <w:color w:val="auto"/>
                      <w:sz w:val="18"/>
                      <w:szCs w:val="18"/>
                      <w:highlight w:val="none"/>
                    </w:rPr>
                  </w:pPr>
                  <w:r>
                    <w:rPr>
                      <w:color w:val="auto"/>
                      <w:sz w:val="18"/>
                      <w:szCs w:val="18"/>
                      <w:highlight w:val="none"/>
                    </w:rPr>
                    <w:t>2025年，土壤环境质量稳中向好，受污染耕地安全利用率达到省下达目标，重点建设用地安全利用率达到97%以上。</w:t>
                  </w:r>
                </w:p>
              </w:tc>
              <w:tc>
                <w:tcPr>
                  <w:tcW w:w="1785" w:type="pct"/>
                  <w:tcBorders>
                    <w:tl2br w:val="nil"/>
                    <w:tr2bl w:val="nil"/>
                  </w:tcBorders>
                  <w:vAlign w:val="center"/>
                </w:tcPr>
                <w:p w14:paraId="08E86C18">
                  <w:pPr>
                    <w:rPr>
                      <w:color w:val="auto"/>
                      <w:sz w:val="18"/>
                      <w:szCs w:val="18"/>
                      <w:highlight w:val="none"/>
                    </w:rPr>
                  </w:pPr>
                  <w:r>
                    <w:rPr>
                      <w:color w:val="auto"/>
                      <w:sz w:val="18"/>
                      <w:szCs w:val="18"/>
                      <w:highlight w:val="none"/>
                    </w:rPr>
                    <w:t>本项目</w:t>
                  </w:r>
                  <w:r>
                    <w:rPr>
                      <w:rFonts w:hint="default"/>
                      <w:color w:val="auto"/>
                      <w:sz w:val="18"/>
                      <w:szCs w:val="18"/>
                      <w:highlight w:val="none"/>
                    </w:rPr>
                    <w:t>租用东恒肽康医药有限公司现有厂房</w:t>
                  </w:r>
                  <w:r>
                    <w:rPr>
                      <w:color w:val="auto"/>
                      <w:sz w:val="18"/>
                      <w:szCs w:val="18"/>
                      <w:highlight w:val="none"/>
                    </w:rPr>
                    <w:t>，不占用耕地，采取防腐防渗措施的情况下，对土壤环境影响不大，不会突破土壤环境风险防控底线。</w:t>
                  </w:r>
                </w:p>
              </w:tc>
              <w:tc>
                <w:tcPr>
                  <w:tcW w:w="447" w:type="pct"/>
                  <w:tcBorders>
                    <w:tl2br w:val="nil"/>
                    <w:tr2bl w:val="nil"/>
                  </w:tcBorders>
                  <w:vAlign w:val="center"/>
                </w:tcPr>
                <w:p w14:paraId="2C814E47">
                  <w:pPr>
                    <w:jc w:val="center"/>
                    <w:rPr>
                      <w:color w:val="auto"/>
                      <w:sz w:val="18"/>
                      <w:szCs w:val="18"/>
                      <w:highlight w:val="none"/>
                    </w:rPr>
                  </w:pPr>
                  <w:r>
                    <w:rPr>
                      <w:color w:val="auto"/>
                      <w:sz w:val="18"/>
                      <w:szCs w:val="18"/>
                      <w:highlight w:val="none"/>
                    </w:rPr>
                    <w:t>符合</w:t>
                  </w:r>
                </w:p>
              </w:tc>
            </w:tr>
            <w:tr w14:paraId="7A9AC95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312" w:type="pct"/>
                  <w:vMerge w:val="restart"/>
                  <w:tcBorders>
                    <w:tl2br w:val="nil"/>
                    <w:tr2bl w:val="nil"/>
                  </w:tcBorders>
                  <w:vAlign w:val="center"/>
                </w:tcPr>
                <w:p w14:paraId="6ED43BCF">
                  <w:pPr>
                    <w:jc w:val="center"/>
                    <w:rPr>
                      <w:color w:val="auto"/>
                      <w:sz w:val="18"/>
                      <w:szCs w:val="18"/>
                      <w:highlight w:val="none"/>
                    </w:rPr>
                  </w:pPr>
                  <w:r>
                    <w:rPr>
                      <w:color w:val="auto"/>
                      <w:sz w:val="18"/>
                      <w:szCs w:val="18"/>
                      <w:highlight w:val="none"/>
                    </w:rPr>
                    <w:t>资源利用上线</w:t>
                  </w:r>
                </w:p>
              </w:tc>
              <w:tc>
                <w:tcPr>
                  <w:tcW w:w="490" w:type="pct"/>
                  <w:tcBorders>
                    <w:tl2br w:val="nil"/>
                    <w:tr2bl w:val="nil"/>
                  </w:tcBorders>
                  <w:vAlign w:val="center"/>
                </w:tcPr>
                <w:p w14:paraId="0566EE7F">
                  <w:pPr>
                    <w:jc w:val="center"/>
                    <w:rPr>
                      <w:color w:val="auto"/>
                      <w:sz w:val="18"/>
                      <w:szCs w:val="18"/>
                      <w:highlight w:val="none"/>
                    </w:rPr>
                  </w:pPr>
                  <w:r>
                    <w:rPr>
                      <w:color w:val="auto"/>
                      <w:sz w:val="18"/>
                      <w:szCs w:val="18"/>
                      <w:highlight w:val="none"/>
                    </w:rPr>
                    <w:t>能源利用上线目标</w:t>
                  </w:r>
                </w:p>
              </w:tc>
              <w:tc>
                <w:tcPr>
                  <w:tcW w:w="1964" w:type="pct"/>
                  <w:tcBorders>
                    <w:tl2br w:val="nil"/>
                    <w:tr2bl w:val="nil"/>
                  </w:tcBorders>
                  <w:vAlign w:val="center"/>
                </w:tcPr>
                <w:p w14:paraId="72E13273">
                  <w:pPr>
                    <w:jc w:val="left"/>
                    <w:rPr>
                      <w:color w:val="auto"/>
                      <w:sz w:val="18"/>
                      <w:szCs w:val="18"/>
                      <w:highlight w:val="none"/>
                    </w:rPr>
                  </w:pPr>
                  <w:r>
                    <w:rPr>
                      <w:color w:val="auto"/>
                      <w:sz w:val="18"/>
                      <w:szCs w:val="18"/>
                      <w:highlight w:val="none"/>
                    </w:rPr>
                    <w:t>通过一手抓能源供应保障，一手抓能源结构优化，到2025年实现“三保两降两升”的主要发展目标。</w:t>
                  </w:r>
                </w:p>
                <w:p w14:paraId="623A2DC1">
                  <w:pPr>
                    <w:jc w:val="left"/>
                    <w:rPr>
                      <w:color w:val="auto"/>
                      <w:sz w:val="18"/>
                      <w:szCs w:val="18"/>
                      <w:highlight w:val="none"/>
                    </w:rPr>
                  </w:pPr>
                  <w:r>
                    <w:rPr>
                      <w:color w:val="auto"/>
                      <w:sz w:val="18"/>
                      <w:szCs w:val="18"/>
                      <w:highlight w:val="none"/>
                    </w:rPr>
                    <w:t>——“三保”：电力、天然气、油品等能源供应保障能力持续增强。到2025年，全市电网110千伏及以上变电容量达到11268万千伏安，天然气供应能力不小于44亿立方米，汽柴油供应能力不小于420万吨。</w:t>
                  </w:r>
                </w:p>
                <w:p w14:paraId="405D023E">
                  <w:pPr>
                    <w:jc w:val="left"/>
                    <w:rPr>
                      <w:color w:val="auto"/>
                      <w:sz w:val="18"/>
                      <w:szCs w:val="18"/>
                      <w:highlight w:val="none"/>
                    </w:rPr>
                  </w:pPr>
                  <w:r>
                    <w:rPr>
                      <w:color w:val="auto"/>
                      <w:sz w:val="18"/>
                      <w:szCs w:val="18"/>
                      <w:highlight w:val="none"/>
                    </w:rPr>
                    <w:t>——“两降”：即单位GDP能耗、煤炭消费量进一步下降。“十四五”期间，全市单位GDP能耗累计降幅不低于15%，煤炭消费下降目标达到省要求。</w:t>
                  </w:r>
                </w:p>
                <w:p w14:paraId="0AF2EC3B">
                  <w:pPr>
                    <w:jc w:val="left"/>
                    <w:rPr>
                      <w:snapToGrid w:val="0"/>
                      <w:color w:val="auto"/>
                      <w:sz w:val="18"/>
                      <w:szCs w:val="18"/>
                      <w:highlight w:val="none"/>
                    </w:rPr>
                  </w:pPr>
                  <w:r>
                    <w:rPr>
                      <w:color w:val="auto"/>
                      <w:sz w:val="18"/>
                      <w:szCs w:val="18"/>
                      <w:highlight w:val="none"/>
                    </w:rPr>
                    <w:t>——“两升”：即清洁能源占比、非化石能源占比进一步提升。到2025年，全市清洁能源占比不低于68%，非化石能源占比不低于20%。</w:t>
                  </w:r>
                </w:p>
              </w:tc>
              <w:tc>
                <w:tcPr>
                  <w:tcW w:w="1785" w:type="pct"/>
                  <w:tcBorders>
                    <w:tl2br w:val="nil"/>
                    <w:tr2bl w:val="nil"/>
                  </w:tcBorders>
                  <w:vAlign w:val="center"/>
                </w:tcPr>
                <w:p w14:paraId="0C7F21E7">
                  <w:pPr>
                    <w:rPr>
                      <w:color w:val="auto"/>
                      <w:sz w:val="18"/>
                      <w:szCs w:val="18"/>
                      <w:highlight w:val="none"/>
                    </w:rPr>
                  </w:pPr>
                  <w:r>
                    <w:rPr>
                      <w:color w:val="auto"/>
                      <w:sz w:val="18"/>
                      <w:szCs w:val="18"/>
                      <w:highlight w:val="none"/>
                    </w:rPr>
                    <w:t>本项目所用能源为电能，</w:t>
                  </w:r>
                  <w:r>
                    <w:rPr>
                      <w:rFonts w:hint="default"/>
                      <w:color w:val="auto"/>
                      <w:sz w:val="18"/>
                      <w:szCs w:val="18"/>
                      <w:highlight w:val="none"/>
                    </w:rPr>
                    <w:t>能源消耗量较少</w:t>
                  </w:r>
                  <w:r>
                    <w:rPr>
                      <w:color w:val="auto"/>
                      <w:sz w:val="18"/>
                      <w:szCs w:val="18"/>
                      <w:highlight w:val="none"/>
                    </w:rPr>
                    <w:t>，不会突破区域能源利用上线。</w:t>
                  </w:r>
                </w:p>
              </w:tc>
              <w:tc>
                <w:tcPr>
                  <w:tcW w:w="447" w:type="pct"/>
                  <w:tcBorders>
                    <w:tl2br w:val="nil"/>
                    <w:tr2bl w:val="nil"/>
                  </w:tcBorders>
                  <w:vAlign w:val="center"/>
                </w:tcPr>
                <w:p w14:paraId="41A33D4C">
                  <w:pPr>
                    <w:jc w:val="center"/>
                    <w:rPr>
                      <w:color w:val="auto"/>
                      <w:sz w:val="18"/>
                      <w:szCs w:val="18"/>
                      <w:highlight w:val="none"/>
                    </w:rPr>
                  </w:pPr>
                  <w:r>
                    <w:rPr>
                      <w:color w:val="auto"/>
                      <w:sz w:val="18"/>
                      <w:szCs w:val="18"/>
                      <w:highlight w:val="none"/>
                    </w:rPr>
                    <w:t>符合</w:t>
                  </w:r>
                </w:p>
              </w:tc>
            </w:tr>
            <w:tr w14:paraId="0F23BBC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312" w:type="pct"/>
                  <w:vMerge w:val="continue"/>
                  <w:tcBorders>
                    <w:tl2br w:val="nil"/>
                    <w:tr2bl w:val="nil"/>
                  </w:tcBorders>
                  <w:vAlign w:val="center"/>
                </w:tcPr>
                <w:p w14:paraId="5C3EFE48">
                  <w:pPr>
                    <w:rPr>
                      <w:color w:val="auto"/>
                      <w:sz w:val="18"/>
                      <w:szCs w:val="18"/>
                      <w:highlight w:val="none"/>
                    </w:rPr>
                  </w:pPr>
                </w:p>
              </w:tc>
              <w:tc>
                <w:tcPr>
                  <w:tcW w:w="490" w:type="pct"/>
                  <w:tcBorders>
                    <w:tl2br w:val="nil"/>
                    <w:tr2bl w:val="nil"/>
                  </w:tcBorders>
                  <w:vAlign w:val="center"/>
                </w:tcPr>
                <w:p w14:paraId="6B662D5C">
                  <w:pPr>
                    <w:jc w:val="center"/>
                    <w:rPr>
                      <w:color w:val="auto"/>
                      <w:sz w:val="18"/>
                      <w:szCs w:val="18"/>
                      <w:highlight w:val="none"/>
                    </w:rPr>
                  </w:pPr>
                  <w:r>
                    <w:rPr>
                      <w:color w:val="auto"/>
                      <w:sz w:val="18"/>
                      <w:szCs w:val="18"/>
                      <w:highlight w:val="none"/>
                    </w:rPr>
                    <w:t>水资源利用上线目标</w:t>
                  </w:r>
                </w:p>
              </w:tc>
              <w:tc>
                <w:tcPr>
                  <w:tcW w:w="1964" w:type="pct"/>
                  <w:tcBorders>
                    <w:tl2br w:val="nil"/>
                    <w:tr2bl w:val="nil"/>
                  </w:tcBorders>
                  <w:vAlign w:val="center"/>
                </w:tcPr>
                <w:p w14:paraId="438A8B7E">
                  <w:pPr>
                    <w:jc w:val="left"/>
                    <w:rPr>
                      <w:color w:val="auto"/>
                      <w:sz w:val="18"/>
                      <w:szCs w:val="18"/>
                      <w:highlight w:val="none"/>
                    </w:rPr>
                  </w:pPr>
                  <w:r>
                    <w:rPr>
                      <w:color w:val="auto"/>
                      <w:sz w:val="18"/>
                      <w:szCs w:val="18"/>
                      <w:highlight w:val="none"/>
                    </w:rPr>
                    <w:t>到2025年，用水总量目标为32.68亿立方米（含非常水0.48亿立方米）、万元GDP用水量比2020年下降16%、万元工业增加值用水量比2020年下降17%，农田灌溉水有效利用系数达到0.614。</w:t>
                  </w:r>
                </w:p>
              </w:tc>
              <w:tc>
                <w:tcPr>
                  <w:tcW w:w="1785" w:type="pct"/>
                  <w:tcBorders>
                    <w:tl2br w:val="nil"/>
                    <w:tr2bl w:val="nil"/>
                  </w:tcBorders>
                  <w:vAlign w:val="center"/>
                </w:tcPr>
                <w:p w14:paraId="554DFE69">
                  <w:pPr>
                    <w:rPr>
                      <w:color w:val="auto"/>
                      <w:sz w:val="18"/>
                      <w:szCs w:val="18"/>
                      <w:highlight w:val="none"/>
                    </w:rPr>
                  </w:pPr>
                  <w:r>
                    <w:rPr>
                      <w:color w:val="auto"/>
                      <w:sz w:val="18"/>
                      <w:szCs w:val="18"/>
                      <w:highlight w:val="none"/>
                    </w:rPr>
                    <w:t>本项目用水量不大，不会突破区域水资源利用上线。</w:t>
                  </w:r>
                </w:p>
              </w:tc>
              <w:tc>
                <w:tcPr>
                  <w:tcW w:w="447" w:type="pct"/>
                  <w:tcBorders>
                    <w:tl2br w:val="nil"/>
                    <w:tr2bl w:val="nil"/>
                  </w:tcBorders>
                  <w:vAlign w:val="center"/>
                </w:tcPr>
                <w:p w14:paraId="4958C155">
                  <w:pPr>
                    <w:jc w:val="center"/>
                    <w:rPr>
                      <w:color w:val="auto"/>
                      <w:sz w:val="18"/>
                      <w:szCs w:val="18"/>
                      <w:highlight w:val="none"/>
                    </w:rPr>
                  </w:pPr>
                  <w:r>
                    <w:rPr>
                      <w:color w:val="auto"/>
                      <w:sz w:val="18"/>
                      <w:szCs w:val="18"/>
                      <w:highlight w:val="none"/>
                    </w:rPr>
                    <w:t>符合</w:t>
                  </w:r>
                </w:p>
              </w:tc>
            </w:tr>
            <w:tr w14:paraId="0E050D1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312" w:type="pct"/>
                  <w:vMerge w:val="continue"/>
                  <w:tcBorders>
                    <w:tl2br w:val="nil"/>
                    <w:tr2bl w:val="nil"/>
                  </w:tcBorders>
                  <w:vAlign w:val="center"/>
                </w:tcPr>
                <w:p w14:paraId="1FED498A">
                  <w:pPr>
                    <w:rPr>
                      <w:color w:val="auto"/>
                      <w:sz w:val="18"/>
                      <w:szCs w:val="18"/>
                      <w:highlight w:val="none"/>
                    </w:rPr>
                  </w:pPr>
                </w:p>
              </w:tc>
              <w:tc>
                <w:tcPr>
                  <w:tcW w:w="490" w:type="pct"/>
                  <w:tcBorders>
                    <w:tl2br w:val="nil"/>
                    <w:tr2bl w:val="nil"/>
                  </w:tcBorders>
                  <w:vAlign w:val="center"/>
                </w:tcPr>
                <w:p w14:paraId="62F94C33">
                  <w:pPr>
                    <w:jc w:val="center"/>
                    <w:rPr>
                      <w:color w:val="auto"/>
                      <w:sz w:val="18"/>
                      <w:szCs w:val="18"/>
                      <w:highlight w:val="none"/>
                    </w:rPr>
                  </w:pPr>
                  <w:r>
                    <w:rPr>
                      <w:color w:val="auto"/>
                      <w:sz w:val="18"/>
                      <w:szCs w:val="18"/>
                      <w:highlight w:val="none"/>
                    </w:rPr>
                    <w:t>土地资源利用上线目标</w:t>
                  </w:r>
                </w:p>
              </w:tc>
              <w:tc>
                <w:tcPr>
                  <w:tcW w:w="1964" w:type="pct"/>
                  <w:tcBorders>
                    <w:tl2br w:val="nil"/>
                    <w:tr2bl w:val="nil"/>
                  </w:tcBorders>
                  <w:vAlign w:val="center"/>
                </w:tcPr>
                <w:p w14:paraId="1BF42B2B">
                  <w:pPr>
                    <w:jc w:val="left"/>
                    <w:rPr>
                      <w:snapToGrid w:val="0"/>
                      <w:color w:val="auto"/>
                      <w:sz w:val="18"/>
                      <w:szCs w:val="18"/>
                      <w:highlight w:val="none"/>
                    </w:rPr>
                  </w:pPr>
                  <w:r>
                    <w:rPr>
                      <w:snapToGrid w:val="0"/>
                      <w:color w:val="auto"/>
                      <w:sz w:val="18"/>
                      <w:szCs w:val="18"/>
                      <w:highlight w:val="none"/>
                    </w:rPr>
                    <w:t>到2025年，杭州市耕地保有量不少于1162.7平方公里，永久基本农田面积控制在968平方公里以内，建设用地总规模不超过2152平方公里，城乡建设用地总规模不超过1752平方公里，人均城镇建设用地面积控制在94平方米以内，万元GDP地耗不超过9.7平方米。</w:t>
                  </w:r>
                </w:p>
              </w:tc>
              <w:tc>
                <w:tcPr>
                  <w:tcW w:w="1785" w:type="pct"/>
                  <w:tcBorders>
                    <w:tl2br w:val="nil"/>
                    <w:tr2bl w:val="nil"/>
                  </w:tcBorders>
                  <w:vAlign w:val="center"/>
                </w:tcPr>
                <w:p w14:paraId="2E522796">
                  <w:pPr>
                    <w:rPr>
                      <w:color w:val="auto"/>
                      <w:sz w:val="18"/>
                      <w:szCs w:val="18"/>
                      <w:highlight w:val="none"/>
                    </w:rPr>
                  </w:pPr>
                  <w:r>
                    <w:rPr>
                      <w:color w:val="auto"/>
                      <w:sz w:val="18"/>
                      <w:szCs w:val="18"/>
                      <w:highlight w:val="none"/>
                    </w:rPr>
                    <w:t>项目</w:t>
                  </w:r>
                  <w:r>
                    <w:rPr>
                      <w:rFonts w:hint="default"/>
                      <w:color w:val="auto"/>
                      <w:sz w:val="18"/>
                      <w:szCs w:val="18"/>
                      <w:highlight w:val="none"/>
                    </w:rPr>
                    <w:t>租用东恒肽康医药有限公司现有厂房，未</w:t>
                  </w:r>
                  <w:r>
                    <w:rPr>
                      <w:color w:val="auto"/>
                      <w:sz w:val="18"/>
                      <w:szCs w:val="18"/>
                      <w:highlight w:val="none"/>
                    </w:rPr>
                    <w:t>新增</w:t>
                  </w:r>
                  <w:r>
                    <w:rPr>
                      <w:rFonts w:hint="default"/>
                      <w:color w:val="auto"/>
                      <w:sz w:val="18"/>
                      <w:szCs w:val="18"/>
                      <w:highlight w:val="none"/>
                    </w:rPr>
                    <w:t>用地</w:t>
                  </w:r>
                  <w:r>
                    <w:rPr>
                      <w:color w:val="auto"/>
                      <w:sz w:val="20"/>
                      <w:szCs w:val="21"/>
                      <w:highlight w:val="none"/>
                    </w:rPr>
                    <w:t>，</w:t>
                  </w:r>
                  <w:r>
                    <w:rPr>
                      <w:color w:val="auto"/>
                      <w:sz w:val="18"/>
                      <w:szCs w:val="18"/>
                      <w:highlight w:val="none"/>
                    </w:rPr>
                    <w:t>不会突破土地利用资源上线。</w:t>
                  </w:r>
                </w:p>
              </w:tc>
              <w:tc>
                <w:tcPr>
                  <w:tcW w:w="447" w:type="pct"/>
                  <w:tcBorders>
                    <w:tl2br w:val="nil"/>
                    <w:tr2bl w:val="nil"/>
                  </w:tcBorders>
                  <w:vAlign w:val="center"/>
                </w:tcPr>
                <w:p w14:paraId="35B82C2E">
                  <w:pPr>
                    <w:jc w:val="center"/>
                    <w:rPr>
                      <w:color w:val="auto"/>
                      <w:sz w:val="18"/>
                      <w:szCs w:val="18"/>
                      <w:highlight w:val="none"/>
                    </w:rPr>
                  </w:pPr>
                  <w:r>
                    <w:rPr>
                      <w:color w:val="auto"/>
                      <w:sz w:val="18"/>
                      <w:szCs w:val="18"/>
                      <w:highlight w:val="none"/>
                    </w:rPr>
                    <w:t>符合</w:t>
                  </w:r>
                </w:p>
              </w:tc>
            </w:tr>
          </w:tbl>
          <w:p w14:paraId="51256497">
            <w:pPr>
              <w:pStyle w:val="5"/>
              <w:numPr>
                <w:ilvl w:val="0"/>
                <w:numId w:val="0"/>
              </w:numPr>
              <w:tabs>
                <w:tab w:val="left" w:pos="0"/>
              </w:tabs>
              <w:spacing w:before="0" w:after="0" w:line="276" w:lineRule="auto"/>
              <w:ind w:leftChars="-175"/>
              <w:jc w:val="both"/>
              <w:rPr>
                <w:rFonts w:ascii="Times New Roman" w:hAnsi="Times New Roman" w:eastAsia="宋体"/>
                <w:color w:val="auto"/>
                <w:sz w:val="21"/>
                <w:szCs w:val="21"/>
                <w:highlight w:val="none"/>
              </w:rPr>
            </w:pPr>
          </w:p>
          <w:p w14:paraId="1A14371E">
            <w:pPr>
              <w:ind w:firstLine="420" w:firstLineChars="200"/>
              <w:rPr>
                <w:rFonts w:hint="default"/>
                <w:color w:val="auto"/>
                <w:sz w:val="21"/>
                <w:szCs w:val="21"/>
                <w:highlight w:val="none"/>
                <w:lang w:val="en-US" w:eastAsia="zh-CN"/>
              </w:rPr>
            </w:pPr>
          </w:p>
          <w:p w14:paraId="0CF55BF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eastAsia="宋体"/>
                <w:color w:val="auto"/>
                <w:highlight w:val="none"/>
                <w:lang w:val="en-US" w:eastAsia="zh-CN"/>
              </w:rPr>
            </w:pPr>
            <w:r>
              <w:rPr>
                <w:rFonts w:hint="default"/>
                <w:color w:val="auto"/>
                <w:sz w:val="21"/>
                <w:szCs w:val="21"/>
                <w:highlight w:val="none"/>
                <w:lang w:val="en-US" w:eastAsia="zh-CN"/>
              </w:rPr>
              <w:t>本项目与环境管控单元准入清单的符合性分析如表1-10所示。</w:t>
            </w:r>
          </w:p>
          <w:p w14:paraId="7BEA35AA">
            <w:pPr>
              <w:pStyle w:val="5"/>
              <w:keepNext/>
              <w:keepLines/>
              <w:pageBreakBefore w:val="0"/>
              <w:widowControl w:val="0"/>
              <w:numPr>
                <w:ilvl w:val="0"/>
                <w:numId w:val="1"/>
              </w:numPr>
              <w:tabs>
                <w:tab w:val="left" w:pos="0"/>
              </w:tabs>
              <w:kinsoku/>
              <w:wordWrap/>
              <w:overflowPunct/>
              <w:topLinePunct w:val="0"/>
              <w:autoSpaceDE/>
              <w:autoSpaceDN/>
              <w:bidi w:val="0"/>
              <w:adjustRightInd/>
              <w:snapToGrid/>
              <w:spacing w:before="0" w:after="0" w:line="360" w:lineRule="auto"/>
              <w:ind w:left="0" w:hanging="367" w:hangingChars="175"/>
              <w:jc w:val="center"/>
              <w:textAlignment w:val="auto"/>
              <w:rPr>
                <w:rFonts w:hint="default" w:ascii="Times New Roman" w:hAnsi="Times New Roman" w:eastAsia="黑体" w:cs="Times New Roman"/>
                <w:b w:val="0"/>
                <w:bCs w:val="0"/>
                <w:color w:val="auto"/>
                <w:sz w:val="21"/>
                <w:szCs w:val="21"/>
                <w:highlight w:val="none"/>
              </w:rPr>
            </w:pPr>
            <w:r>
              <w:rPr>
                <w:rFonts w:hint="default" w:ascii="Times New Roman" w:hAnsi="Times New Roman" w:eastAsia="黑体" w:cs="Times New Roman"/>
                <w:b w:val="0"/>
                <w:bCs w:val="0"/>
                <w:color w:val="auto"/>
                <w:sz w:val="21"/>
                <w:szCs w:val="21"/>
                <w:highlight w:val="none"/>
              </w:rPr>
              <w:t>项目</w:t>
            </w:r>
            <w:r>
              <w:rPr>
                <w:rFonts w:hint="default" w:ascii="Times New Roman" w:hAnsi="Times New Roman" w:eastAsia="黑体" w:cs="Times New Roman"/>
                <w:b w:val="0"/>
                <w:bCs w:val="0"/>
                <w:color w:val="auto"/>
                <w:sz w:val="21"/>
                <w:szCs w:val="21"/>
                <w:highlight w:val="none"/>
                <w:lang w:val="en-US"/>
              </w:rPr>
              <w:t>环境管控单元准入清单</w:t>
            </w:r>
            <w:r>
              <w:rPr>
                <w:rFonts w:hint="default" w:ascii="Times New Roman" w:hAnsi="Times New Roman" w:eastAsia="黑体" w:cs="Times New Roman"/>
                <w:b w:val="0"/>
                <w:bCs w:val="0"/>
                <w:color w:val="auto"/>
                <w:sz w:val="21"/>
                <w:szCs w:val="21"/>
                <w:highlight w:val="none"/>
              </w:rPr>
              <w:t>符合性分析</w:t>
            </w:r>
          </w:p>
          <w:tbl>
            <w:tblPr>
              <w:tblStyle w:val="24"/>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651"/>
              <w:gridCol w:w="2649"/>
              <w:gridCol w:w="2960"/>
              <w:gridCol w:w="575"/>
            </w:tblGrid>
            <w:tr w14:paraId="71DEF66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053" w:type="pct"/>
                  <w:tcBorders>
                    <w:tl2br w:val="nil"/>
                    <w:tr2bl w:val="nil"/>
                  </w:tcBorders>
                  <w:vAlign w:val="center"/>
                </w:tcPr>
                <w:p w14:paraId="60FE009F">
                  <w:pPr>
                    <w:jc w:val="center"/>
                    <w:rPr>
                      <w:color w:val="auto"/>
                      <w:sz w:val="18"/>
                      <w:szCs w:val="18"/>
                      <w:highlight w:val="none"/>
                    </w:rPr>
                  </w:pPr>
                  <w:r>
                    <w:rPr>
                      <w:color w:val="auto"/>
                      <w:sz w:val="18"/>
                      <w:szCs w:val="18"/>
                      <w:highlight w:val="none"/>
                    </w:rPr>
                    <w:t>生态环境准入清单</w:t>
                  </w:r>
                </w:p>
              </w:tc>
              <w:tc>
                <w:tcPr>
                  <w:tcW w:w="1690" w:type="pct"/>
                  <w:tcBorders>
                    <w:tl2br w:val="nil"/>
                    <w:tr2bl w:val="nil"/>
                  </w:tcBorders>
                  <w:vAlign w:val="center"/>
                </w:tcPr>
                <w:p w14:paraId="1B8D1388">
                  <w:pPr>
                    <w:jc w:val="center"/>
                    <w:rPr>
                      <w:color w:val="auto"/>
                      <w:sz w:val="18"/>
                      <w:szCs w:val="18"/>
                      <w:highlight w:val="none"/>
                    </w:rPr>
                  </w:pPr>
                  <w:r>
                    <w:rPr>
                      <w:color w:val="auto"/>
                      <w:sz w:val="18"/>
                      <w:szCs w:val="18"/>
                      <w:highlight w:val="none"/>
                    </w:rPr>
                    <w:t>有关要求</w:t>
                  </w:r>
                </w:p>
              </w:tc>
              <w:tc>
                <w:tcPr>
                  <w:tcW w:w="1888" w:type="pct"/>
                  <w:tcBorders>
                    <w:tl2br w:val="nil"/>
                    <w:tr2bl w:val="nil"/>
                  </w:tcBorders>
                  <w:vAlign w:val="center"/>
                </w:tcPr>
                <w:p w14:paraId="216888EA">
                  <w:pPr>
                    <w:jc w:val="center"/>
                    <w:rPr>
                      <w:color w:val="auto"/>
                      <w:sz w:val="18"/>
                      <w:szCs w:val="18"/>
                      <w:highlight w:val="none"/>
                    </w:rPr>
                  </w:pPr>
                  <w:r>
                    <w:rPr>
                      <w:color w:val="auto"/>
                      <w:sz w:val="18"/>
                      <w:szCs w:val="18"/>
                      <w:highlight w:val="none"/>
                    </w:rPr>
                    <w:t>本项目情况</w:t>
                  </w:r>
                </w:p>
              </w:tc>
              <w:tc>
                <w:tcPr>
                  <w:tcW w:w="367" w:type="pct"/>
                  <w:tcBorders>
                    <w:tl2br w:val="nil"/>
                    <w:tr2bl w:val="nil"/>
                  </w:tcBorders>
                  <w:vAlign w:val="center"/>
                </w:tcPr>
                <w:p w14:paraId="26A5AF4C">
                  <w:pPr>
                    <w:jc w:val="center"/>
                    <w:rPr>
                      <w:color w:val="auto"/>
                      <w:sz w:val="18"/>
                      <w:szCs w:val="18"/>
                      <w:highlight w:val="none"/>
                    </w:rPr>
                  </w:pPr>
                  <w:r>
                    <w:rPr>
                      <w:color w:val="auto"/>
                      <w:sz w:val="18"/>
                      <w:szCs w:val="18"/>
                      <w:highlight w:val="none"/>
                    </w:rPr>
                    <w:t>符合性</w:t>
                  </w:r>
                </w:p>
              </w:tc>
            </w:tr>
            <w:tr w14:paraId="5D77286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053" w:type="pct"/>
                  <w:tcBorders>
                    <w:tl2br w:val="nil"/>
                    <w:tr2bl w:val="nil"/>
                  </w:tcBorders>
                  <w:vAlign w:val="center"/>
                </w:tcPr>
                <w:p w14:paraId="45AD5835">
                  <w:pPr>
                    <w:jc w:val="center"/>
                    <w:rPr>
                      <w:color w:val="auto"/>
                      <w:sz w:val="18"/>
                      <w:szCs w:val="21"/>
                      <w:highlight w:val="none"/>
                    </w:rPr>
                  </w:pPr>
                  <w:r>
                    <w:rPr>
                      <w:color w:val="auto"/>
                      <w:sz w:val="18"/>
                      <w:szCs w:val="21"/>
                      <w:highlight w:val="none"/>
                    </w:rPr>
                    <w:t>空间布局引导</w:t>
                  </w:r>
                </w:p>
              </w:tc>
              <w:tc>
                <w:tcPr>
                  <w:tcW w:w="1690" w:type="pct"/>
                  <w:tcBorders>
                    <w:tl2br w:val="nil"/>
                    <w:tr2bl w:val="nil"/>
                  </w:tcBorders>
                  <w:vAlign w:val="center"/>
                </w:tcPr>
                <w:p w14:paraId="3878DE37">
                  <w:pPr>
                    <w:rPr>
                      <w:color w:val="auto"/>
                      <w:sz w:val="18"/>
                      <w:szCs w:val="21"/>
                      <w:highlight w:val="none"/>
                    </w:rPr>
                  </w:pPr>
                  <w:r>
                    <w:rPr>
                      <w:bCs/>
                      <w:color w:val="auto"/>
                      <w:sz w:val="18"/>
                      <w:szCs w:val="21"/>
                      <w:highlight w:val="none"/>
                    </w:rPr>
                    <w:t>根据产业集聚区块的功能定位，建立分区差别化的产业准入条件。合理规划布局居住、医疗卫生、文化教育等功能区块，与工业区</w:t>
                  </w:r>
                  <w:bookmarkStart w:id="10" w:name="hmcheck_6c6be3ae01764451bc00ab2f7ceae401"/>
                  <w:r>
                    <w:rPr>
                      <w:bCs/>
                      <w:color w:val="auto"/>
                      <w:sz w:val="18"/>
                      <w:szCs w:val="21"/>
                      <w:highlight w:val="none"/>
                    </w:rPr>
                    <w:t>块</w:t>
                  </w:r>
                  <w:bookmarkEnd w:id="10"/>
                  <w:r>
                    <w:rPr>
                      <w:bCs/>
                      <w:color w:val="auto"/>
                      <w:sz w:val="18"/>
                      <w:szCs w:val="21"/>
                      <w:highlight w:val="none"/>
                    </w:rPr>
                    <w:t>、工业企业之间设置防护绿地、生活绿地等隔离带。</w:t>
                  </w:r>
                </w:p>
              </w:tc>
              <w:tc>
                <w:tcPr>
                  <w:tcW w:w="1888" w:type="pct"/>
                  <w:tcBorders>
                    <w:tl2br w:val="nil"/>
                    <w:tr2bl w:val="nil"/>
                  </w:tcBorders>
                  <w:vAlign w:val="center"/>
                </w:tcPr>
                <w:p w14:paraId="771CE28F">
                  <w:pPr>
                    <w:rPr>
                      <w:color w:val="auto"/>
                      <w:sz w:val="18"/>
                      <w:szCs w:val="21"/>
                      <w:highlight w:val="none"/>
                    </w:rPr>
                  </w:pPr>
                  <w:r>
                    <w:rPr>
                      <w:color w:val="auto"/>
                      <w:sz w:val="18"/>
                      <w:szCs w:val="21"/>
                      <w:highlight w:val="none"/>
                    </w:rPr>
                    <w:t>本项目</w:t>
                  </w:r>
                  <w:r>
                    <w:rPr>
                      <w:rFonts w:hint="default"/>
                      <w:color w:val="auto"/>
                      <w:sz w:val="18"/>
                      <w:szCs w:val="18"/>
                      <w:highlight w:val="none"/>
                    </w:rPr>
                    <w:t>非工业项目</w:t>
                  </w:r>
                  <w:r>
                    <w:rPr>
                      <w:color w:val="auto"/>
                      <w:sz w:val="18"/>
                      <w:szCs w:val="18"/>
                      <w:highlight w:val="none"/>
                      <w:lang w:val="en-GB"/>
                    </w:rPr>
                    <w:t>，根据规划和规划环评分析可知，</w:t>
                  </w:r>
                  <w:r>
                    <w:rPr>
                      <w:color w:val="auto"/>
                      <w:sz w:val="18"/>
                      <w:szCs w:val="21"/>
                      <w:highlight w:val="none"/>
                    </w:rPr>
                    <w:t>符合区域产业准入条件；项目</w:t>
                  </w:r>
                  <w:r>
                    <w:rPr>
                      <w:color w:val="auto"/>
                      <w:kern w:val="0"/>
                      <w:sz w:val="18"/>
                      <w:szCs w:val="18"/>
                      <w:highlight w:val="none"/>
                    </w:rPr>
                    <w:t>与周边保护目标之间隔有防护绿地等隔离带，距离</w:t>
                  </w:r>
                  <w:r>
                    <w:rPr>
                      <w:color w:val="auto"/>
                      <w:sz w:val="18"/>
                      <w:szCs w:val="18"/>
                      <w:highlight w:val="none"/>
                    </w:rPr>
                    <w:t>最近的敏感目标</w:t>
                  </w:r>
                  <w:r>
                    <w:rPr>
                      <w:rFonts w:hint="default"/>
                      <w:color w:val="auto"/>
                      <w:kern w:val="0"/>
                      <w:sz w:val="18"/>
                      <w:szCs w:val="18"/>
                      <w:highlight w:val="none"/>
                    </w:rPr>
                    <w:t>为西北侧220米处荼锦公寓。</w:t>
                  </w:r>
                </w:p>
              </w:tc>
              <w:tc>
                <w:tcPr>
                  <w:tcW w:w="367" w:type="pct"/>
                  <w:tcBorders>
                    <w:tl2br w:val="nil"/>
                    <w:tr2bl w:val="nil"/>
                  </w:tcBorders>
                  <w:vAlign w:val="center"/>
                </w:tcPr>
                <w:p w14:paraId="35F75226">
                  <w:pPr>
                    <w:jc w:val="center"/>
                    <w:rPr>
                      <w:color w:val="auto"/>
                      <w:sz w:val="18"/>
                      <w:szCs w:val="21"/>
                      <w:highlight w:val="none"/>
                    </w:rPr>
                  </w:pPr>
                  <w:r>
                    <w:rPr>
                      <w:color w:val="auto"/>
                      <w:sz w:val="18"/>
                      <w:szCs w:val="21"/>
                      <w:highlight w:val="none"/>
                    </w:rPr>
                    <w:t>符合</w:t>
                  </w:r>
                </w:p>
              </w:tc>
            </w:tr>
            <w:tr w14:paraId="41E5434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053" w:type="pct"/>
                  <w:tcBorders>
                    <w:tl2br w:val="nil"/>
                    <w:tr2bl w:val="nil"/>
                  </w:tcBorders>
                  <w:vAlign w:val="center"/>
                </w:tcPr>
                <w:p w14:paraId="7254C8FC">
                  <w:pPr>
                    <w:jc w:val="center"/>
                    <w:rPr>
                      <w:color w:val="auto"/>
                      <w:sz w:val="18"/>
                      <w:szCs w:val="21"/>
                      <w:highlight w:val="none"/>
                    </w:rPr>
                  </w:pPr>
                  <w:r>
                    <w:rPr>
                      <w:color w:val="auto"/>
                      <w:sz w:val="18"/>
                      <w:szCs w:val="21"/>
                      <w:highlight w:val="none"/>
                    </w:rPr>
                    <w:t>污染物排放管控</w:t>
                  </w:r>
                </w:p>
              </w:tc>
              <w:tc>
                <w:tcPr>
                  <w:tcW w:w="1690" w:type="pct"/>
                  <w:tcBorders>
                    <w:tl2br w:val="nil"/>
                    <w:tr2bl w:val="nil"/>
                  </w:tcBorders>
                  <w:vAlign w:val="center"/>
                </w:tcPr>
                <w:p w14:paraId="11334FBD">
                  <w:pPr>
                    <w:rPr>
                      <w:color w:val="auto"/>
                      <w:sz w:val="18"/>
                      <w:szCs w:val="21"/>
                      <w:highlight w:val="none"/>
                    </w:rPr>
                  </w:pPr>
                  <w:r>
                    <w:rPr>
                      <w:bCs/>
                      <w:color w:val="auto"/>
                      <w:sz w:val="18"/>
                      <w:szCs w:val="18"/>
                      <w:highlight w:val="none"/>
                    </w:rPr>
                    <w:t>严格实施污染物总量控制制度，根据区域环境质量改善目标，削减污染物排放总量。所有企业实现雨污分流。</w:t>
                  </w:r>
                </w:p>
              </w:tc>
              <w:tc>
                <w:tcPr>
                  <w:tcW w:w="1888" w:type="pct"/>
                  <w:tcBorders>
                    <w:tl2br w:val="nil"/>
                    <w:tr2bl w:val="nil"/>
                  </w:tcBorders>
                  <w:vAlign w:val="center"/>
                </w:tcPr>
                <w:p w14:paraId="575D76C3">
                  <w:pPr>
                    <w:rPr>
                      <w:color w:val="auto"/>
                      <w:sz w:val="18"/>
                      <w:szCs w:val="21"/>
                      <w:highlight w:val="none"/>
                    </w:rPr>
                  </w:pPr>
                  <w:r>
                    <w:rPr>
                      <w:color w:val="auto"/>
                      <w:sz w:val="18"/>
                      <w:szCs w:val="18"/>
                      <w:highlight w:val="none"/>
                    </w:rPr>
                    <w:t>项目废水、废气、噪声均能达标排放，</w:t>
                  </w:r>
                  <w:r>
                    <w:rPr>
                      <w:rFonts w:hint="default"/>
                      <w:color w:val="auto"/>
                      <w:sz w:val="18"/>
                      <w:szCs w:val="18"/>
                      <w:highlight w:val="none"/>
                    </w:rPr>
                    <w:t>不属于工业项目，无需进行总量</w:t>
                  </w:r>
                  <w:r>
                    <w:rPr>
                      <w:color w:val="auto"/>
                      <w:sz w:val="18"/>
                      <w:szCs w:val="21"/>
                      <w:highlight w:val="none"/>
                    </w:rPr>
                    <w:t>区域削减，不会导致区域环境质量降低。项目实行雨污分流。</w:t>
                  </w:r>
                </w:p>
              </w:tc>
              <w:tc>
                <w:tcPr>
                  <w:tcW w:w="367" w:type="pct"/>
                  <w:tcBorders>
                    <w:tl2br w:val="nil"/>
                    <w:tr2bl w:val="nil"/>
                  </w:tcBorders>
                  <w:vAlign w:val="center"/>
                </w:tcPr>
                <w:p w14:paraId="4E16805A">
                  <w:pPr>
                    <w:jc w:val="center"/>
                    <w:rPr>
                      <w:color w:val="auto"/>
                      <w:sz w:val="18"/>
                      <w:szCs w:val="21"/>
                      <w:highlight w:val="none"/>
                    </w:rPr>
                  </w:pPr>
                  <w:r>
                    <w:rPr>
                      <w:color w:val="auto"/>
                      <w:sz w:val="18"/>
                      <w:szCs w:val="21"/>
                      <w:highlight w:val="none"/>
                    </w:rPr>
                    <w:t>符合</w:t>
                  </w:r>
                </w:p>
              </w:tc>
            </w:tr>
            <w:tr w14:paraId="16FCA8C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564" w:hRule="atLeast"/>
                <w:jc w:val="center"/>
              </w:trPr>
              <w:tc>
                <w:tcPr>
                  <w:tcW w:w="1053" w:type="pct"/>
                  <w:tcBorders>
                    <w:tl2br w:val="nil"/>
                    <w:tr2bl w:val="nil"/>
                  </w:tcBorders>
                  <w:vAlign w:val="center"/>
                </w:tcPr>
                <w:p w14:paraId="00C983AC">
                  <w:pPr>
                    <w:rPr>
                      <w:color w:val="auto"/>
                      <w:sz w:val="18"/>
                      <w:szCs w:val="21"/>
                      <w:highlight w:val="none"/>
                    </w:rPr>
                  </w:pPr>
                  <w:r>
                    <w:rPr>
                      <w:color w:val="auto"/>
                      <w:sz w:val="18"/>
                      <w:szCs w:val="21"/>
                      <w:highlight w:val="none"/>
                    </w:rPr>
                    <w:t>环境风险防控</w:t>
                  </w:r>
                </w:p>
              </w:tc>
              <w:tc>
                <w:tcPr>
                  <w:tcW w:w="1690" w:type="pct"/>
                  <w:tcBorders>
                    <w:tl2br w:val="nil"/>
                    <w:tr2bl w:val="nil"/>
                  </w:tcBorders>
                  <w:vAlign w:val="center"/>
                </w:tcPr>
                <w:p w14:paraId="64E93DF8">
                  <w:pPr>
                    <w:rPr>
                      <w:color w:val="auto"/>
                      <w:sz w:val="18"/>
                      <w:szCs w:val="21"/>
                      <w:highlight w:val="none"/>
                    </w:rPr>
                  </w:pPr>
                  <w:r>
                    <w:rPr>
                      <w:bCs/>
                      <w:color w:val="auto"/>
                      <w:sz w:val="18"/>
                      <w:szCs w:val="18"/>
                      <w:highlight w:val="none"/>
                    </w:rPr>
                    <w:t>强化工业集聚区企业环境风险防范设施设备建设和正常运行监管，加强重点环境风险管控企业应急预案制定，建立常态化的企业隐患排查整治监管机制，加强风险防控体系建设</w:t>
                  </w:r>
                  <w:r>
                    <w:rPr>
                      <w:color w:val="auto"/>
                      <w:sz w:val="18"/>
                      <w:szCs w:val="21"/>
                      <w:highlight w:val="none"/>
                    </w:rPr>
                    <w:t>。</w:t>
                  </w:r>
                </w:p>
              </w:tc>
              <w:tc>
                <w:tcPr>
                  <w:tcW w:w="1888" w:type="pct"/>
                  <w:tcBorders>
                    <w:tl2br w:val="nil"/>
                    <w:tr2bl w:val="nil"/>
                  </w:tcBorders>
                  <w:vAlign w:val="center"/>
                </w:tcPr>
                <w:p w14:paraId="1508A5A1">
                  <w:pPr>
                    <w:rPr>
                      <w:color w:val="auto"/>
                      <w:sz w:val="18"/>
                      <w:szCs w:val="21"/>
                      <w:highlight w:val="none"/>
                    </w:rPr>
                  </w:pPr>
                  <w:r>
                    <w:rPr>
                      <w:rFonts w:hint="default"/>
                      <w:color w:val="auto"/>
                      <w:sz w:val="18"/>
                      <w:szCs w:val="18"/>
                      <w:highlight w:val="none"/>
                    </w:rPr>
                    <w:t>本项目为研发项目，不属于工业企业。实验室严格做好安全生产工作，严格遵守各项操作规程和制度， 落实各项风险防范措施，减少对周围环境的影响。因此符合环境风险防控要求。</w:t>
                  </w:r>
                </w:p>
              </w:tc>
              <w:tc>
                <w:tcPr>
                  <w:tcW w:w="367" w:type="pct"/>
                  <w:tcBorders>
                    <w:tl2br w:val="nil"/>
                    <w:tr2bl w:val="nil"/>
                  </w:tcBorders>
                  <w:vAlign w:val="center"/>
                </w:tcPr>
                <w:p w14:paraId="33A1F3C1">
                  <w:pPr>
                    <w:jc w:val="center"/>
                    <w:rPr>
                      <w:color w:val="auto"/>
                      <w:sz w:val="18"/>
                      <w:szCs w:val="21"/>
                      <w:highlight w:val="none"/>
                    </w:rPr>
                  </w:pPr>
                  <w:r>
                    <w:rPr>
                      <w:color w:val="auto"/>
                      <w:sz w:val="18"/>
                      <w:szCs w:val="21"/>
                      <w:highlight w:val="none"/>
                    </w:rPr>
                    <w:t>符合</w:t>
                  </w:r>
                </w:p>
              </w:tc>
            </w:tr>
          </w:tbl>
          <w:p w14:paraId="314E7207">
            <w:pPr>
              <w:autoSpaceDE w:val="0"/>
              <w:autoSpaceDN w:val="0"/>
              <w:adjustRightInd w:val="0"/>
              <w:snapToGrid w:val="0"/>
              <w:spacing w:line="360" w:lineRule="auto"/>
              <w:ind w:firstLine="420" w:firstLineChars="200"/>
              <w:rPr>
                <w:bCs/>
                <w:color w:val="auto"/>
                <w:szCs w:val="21"/>
                <w:highlight w:val="none"/>
              </w:rPr>
            </w:pPr>
            <w:r>
              <w:rPr>
                <w:color w:val="auto"/>
                <w:szCs w:val="21"/>
                <w:highlight w:val="none"/>
              </w:rPr>
              <w:t>综上，</w:t>
            </w:r>
            <w:r>
              <w:rPr>
                <w:bCs/>
                <w:color w:val="auto"/>
                <w:szCs w:val="21"/>
                <w:highlight w:val="none"/>
              </w:rPr>
              <w:t>项目符合《</w:t>
            </w:r>
            <w:r>
              <w:rPr>
                <w:color w:val="auto"/>
                <w:szCs w:val="21"/>
                <w:highlight w:val="none"/>
              </w:rPr>
              <w:t>杭州市生态环境分区管控动态更新方案》管控</w:t>
            </w:r>
            <w:r>
              <w:rPr>
                <w:bCs/>
                <w:color w:val="auto"/>
                <w:szCs w:val="21"/>
                <w:highlight w:val="none"/>
              </w:rPr>
              <w:t>要求。</w:t>
            </w:r>
          </w:p>
          <w:p w14:paraId="631BDF15">
            <w:pPr>
              <w:spacing w:line="360" w:lineRule="auto"/>
              <w:outlineLvl w:val="2"/>
              <w:rPr>
                <w:b/>
                <w:snapToGrid w:val="0"/>
                <w:color w:val="auto"/>
                <w:sz w:val="22"/>
                <w:szCs w:val="28"/>
                <w:highlight w:val="none"/>
              </w:rPr>
            </w:pPr>
            <w:r>
              <w:rPr>
                <w:rFonts w:hint="default"/>
                <w:b/>
                <w:snapToGrid w:val="0"/>
                <w:color w:val="auto"/>
                <w:sz w:val="22"/>
                <w:szCs w:val="28"/>
                <w:highlight w:val="none"/>
              </w:rPr>
              <w:t>1.3.2</w:t>
            </w:r>
            <w:r>
              <w:rPr>
                <w:rFonts w:hint="default"/>
                <w:b/>
                <w:snapToGrid w:val="0"/>
                <w:color w:val="auto"/>
                <w:sz w:val="22"/>
                <w:szCs w:val="28"/>
                <w:highlight w:val="none"/>
                <w:lang w:val="en-US" w:eastAsia="zh-CN"/>
              </w:rPr>
              <w:t xml:space="preserve"> </w:t>
            </w:r>
            <w:r>
              <w:rPr>
                <w:rFonts w:hint="default"/>
                <w:b/>
                <w:snapToGrid w:val="0"/>
                <w:color w:val="auto"/>
                <w:sz w:val="22"/>
                <w:szCs w:val="28"/>
                <w:highlight w:val="none"/>
              </w:rPr>
              <w:t xml:space="preserve"> </w:t>
            </w:r>
            <w:r>
              <w:rPr>
                <w:b/>
                <w:snapToGrid w:val="0"/>
                <w:color w:val="auto"/>
                <w:sz w:val="22"/>
                <w:szCs w:val="28"/>
                <w:highlight w:val="none"/>
              </w:rPr>
              <w:t>排放污染物应当符合国家、省规定的污染物排放标准和重点污染物排放总量控制要求</w:t>
            </w:r>
          </w:p>
          <w:p w14:paraId="3F4A125A">
            <w:pPr>
              <w:spacing w:line="360" w:lineRule="auto"/>
              <w:ind w:firstLine="420" w:firstLineChars="200"/>
              <w:rPr>
                <w:color w:val="auto"/>
                <w:highlight w:val="none"/>
              </w:rPr>
            </w:pPr>
            <w:r>
              <w:rPr>
                <w:snapToGrid w:val="0"/>
                <w:color w:val="auto"/>
                <w:highlight w:val="none"/>
              </w:rPr>
              <w:t>根据工程分析及环境影响预测分析，项目废气、废水、噪声经处理后均能达标排放，各种固体废物得到妥善处置后，对环境的影响较小，环境功能可维持现状。</w:t>
            </w:r>
          </w:p>
          <w:p w14:paraId="48A772EE">
            <w:pPr>
              <w:spacing w:line="360" w:lineRule="auto"/>
              <w:outlineLvl w:val="2"/>
              <w:rPr>
                <w:b/>
                <w:snapToGrid w:val="0"/>
                <w:color w:val="auto"/>
                <w:sz w:val="22"/>
                <w:szCs w:val="28"/>
                <w:highlight w:val="none"/>
              </w:rPr>
            </w:pPr>
            <w:r>
              <w:rPr>
                <w:rFonts w:hint="default"/>
                <w:b/>
                <w:snapToGrid w:val="0"/>
                <w:color w:val="auto"/>
                <w:sz w:val="22"/>
                <w:szCs w:val="28"/>
                <w:highlight w:val="none"/>
              </w:rPr>
              <w:t>1.3.3</w:t>
            </w:r>
            <w:r>
              <w:rPr>
                <w:rFonts w:hint="default"/>
                <w:b/>
                <w:snapToGrid w:val="0"/>
                <w:color w:val="auto"/>
                <w:sz w:val="22"/>
                <w:szCs w:val="28"/>
                <w:highlight w:val="none"/>
                <w:lang w:val="en-US" w:eastAsia="zh-CN"/>
              </w:rPr>
              <w:t xml:space="preserve"> </w:t>
            </w:r>
            <w:r>
              <w:rPr>
                <w:rFonts w:hint="default"/>
                <w:b/>
                <w:snapToGrid w:val="0"/>
                <w:color w:val="auto"/>
                <w:sz w:val="22"/>
                <w:szCs w:val="28"/>
                <w:highlight w:val="none"/>
              </w:rPr>
              <w:t xml:space="preserve"> </w:t>
            </w:r>
            <w:r>
              <w:rPr>
                <w:b/>
                <w:snapToGrid w:val="0"/>
                <w:color w:val="auto"/>
                <w:sz w:val="22"/>
                <w:szCs w:val="28"/>
                <w:highlight w:val="none"/>
              </w:rPr>
              <w:t>建设项目还应符合国土空间规划、国家和省产业政策等要求</w:t>
            </w:r>
          </w:p>
          <w:p w14:paraId="5AF0F4E4">
            <w:pPr>
              <w:spacing w:line="360" w:lineRule="auto"/>
              <w:ind w:firstLine="422" w:firstLineChars="200"/>
              <w:rPr>
                <w:b/>
                <w:bCs/>
                <w:color w:val="auto"/>
                <w:szCs w:val="21"/>
                <w:highlight w:val="none"/>
              </w:rPr>
            </w:pPr>
            <w:r>
              <w:rPr>
                <w:rFonts w:hint="default" w:ascii="Times New Roman" w:hAnsi="Times New Roman" w:cs="Times New Roman"/>
                <w:b/>
                <w:bCs/>
                <w:color w:val="auto"/>
                <w:szCs w:val="21"/>
                <w:highlight w:val="none"/>
              </w:rPr>
              <w:t>①</w:t>
            </w:r>
            <w:r>
              <w:rPr>
                <w:rFonts w:hint="default"/>
                <w:b/>
                <w:bCs/>
                <w:color w:val="auto"/>
                <w:szCs w:val="21"/>
                <w:highlight w:val="none"/>
              </w:rPr>
              <w:t>国土空间规划符合性</w:t>
            </w:r>
          </w:p>
          <w:p w14:paraId="68EFC643">
            <w:pPr>
              <w:spacing w:line="360" w:lineRule="auto"/>
              <w:ind w:firstLine="420" w:firstLineChars="200"/>
              <w:rPr>
                <w:color w:val="auto"/>
                <w:szCs w:val="21"/>
                <w:highlight w:val="none"/>
              </w:rPr>
            </w:pPr>
            <w:r>
              <w:rPr>
                <w:rFonts w:hint="default"/>
                <w:color w:val="auto"/>
                <w:szCs w:val="21"/>
                <w:highlight w:val="none"/>
                <w:lang w:val="en-US" w:eastAsia="zh-CN"/>
              </w:rPr>
              <w:t>根据前述分析，项目符合用地规划；</w:t>
            </w:r>
            <w:r>
              <w:rPr>
                <w:rFonts w:hint="default"/>
                <w:color w:val="auto"/>
                <w:szCs w:val="21"/>
                <w:highlight w:val="none"/>
              </w:rPr>
              <w:t>项目所在地位于城镇开发边界内，不涉及永久基本农田和生态保护红线，</w:t>
            </w:r>
            <w:r>
              <w:rPr>
                <w:color w:val="auto"/>
                <w:szCs w:val="21"/>
                <w:highlight w:val="none"/>
              </w:rPr>
              <w:t>符合</w:t>
            </w:r>
            <w:r>
              <w:rPr>
                <w:rFonts w:hint="default"/>
                <w:color w:val="auto"/>
                <w:szCs w:val="21"/>
                <w:highlight w:val="none"/>
              </w:rPr>
              <w:t>国土空间规划</w:t>
            </w:r>
            <w:r>
              <w:rPr>
                <w:color w:val="auto"/>
                <w:szCs w:val="21"/>
                <w:highlight w:val="none"/>
              </w:rPr>
              <w:t>。</w:t>
            </w:r>
          </w:p>
          <w:p w14:paraId="5195E6B5">
            <w:pPr>
              <w:spacing w:line="360" w:lineRule="auto"/>
              <w:ind w:firstLine="422" w:firstLineChars="200"/>
              <w:rPr>
                <w:color w:val="auto"/>
                <w:szCs w:val="21"/>
                <w:highlight w:val="none"/>
              </w:rPr>
            </w:pPr>
            <w:r>
              <w:rPr>
                <w:rFonts w:hint="default" w:ascii="Times New Roman" w:hAnsi="Times New Roman" w:cs="Times New Roman"/>
                <w:b/>
                <w:bCs/>
                <w:color w:val="auto"/>
                <w:szCs w:val="21"/>
                <w:highlight w:val="none"/>
              </w:rPr>
              <w:t>②</w:t>
            </w:r>
            <w:r>
              <w:rPr>
                <w:b/>
                <w:bCs/>
                <w:color w:val="auto"/>
                <w:szCs w:val="21"/>
                <w:highlight w:val="none"/>
              </w:rPr>
              <w:t>产业政策符合性</w:t>
            </w:r>
          </w:p>
          <w:p w14:paraId="6EDE31BD">
            <w:pPr>
              <w:spacing w:line="360" w:lineRule="auto"/>
              <w:ind w:firstLine="422" w:firstLineChars="200"/>
              <w:rPr>
                <w:bCs/>
                <w:color w:val="auto"/>
                <w:szCs w:val="21"/>
                <w:highlight w:val="none"/>
              </w:rPr>
            </w:pPr>
            <w:r>
              <w:rPr>
                <w:rFonts w:hint="default"/>
                <w:b/>
                <w:bCs w:val="0"/>
                <w:color w:val="auto"/>
                <w:szCs w:val="21"/>
                <w:highlight w:val="none"/>
              </w:rPr>
              <w:t>（1）</w:t>
            </w:r>
            <w:r>
              <w:rPr>
                <w:b/>
                <w:bCs w:val="0"/>
                <w:color w:val="auto"/>
                <w:szCs w:val="21"/>
                <w:highlight w:val="none"/>
              </w:rPr>
              <w:t>国家产业政策</w:t>
            </w:r>
            <w:r>
              <w:rPr>
                <w:rFonts w:hint="default"/>
                <w:b w:val="0"/>
                <w:bCs/>
                <w:color w:val="auto"/>
                <w:szCs w:val="21"/>
                <w:highlight w:val="none"/>
                <w:lang w:eastAsia="zh-CN"/>
              </w:rPr>
              <w:t>：</w:t>
            </w:r>
            <w:r>
              <w:rPr>
                <w:bCs/>
                <w:color w:val="auto"/>
                <w:szCs w:val="21"/>
                <w:highlight w:val="none"/>
              </w:rPr>
              <w:t>根据</w:t>
            </w:r>
            <w:r>
              <w:rPr>
                <w:rFonts w:hint="default"/>
                <w:bCs/>
                <w:color w:val="auto"/>
                <w:szCs w:val="21"/>
                <w:highlight w:val="none"/>
              </w:rPr>
              <w:t>《产业结构调整指导目录(2024年本)》（2023年第7号令）</w:t>
            </w:r>
            <w:r>
              <w:rPr>
                <w:bCs/>
                <w:color w:val="auto"/>
                <w:szCs w:val="21"/>
                <w:highlight w:val="none"/>
              </w:rPr>
              <w:t>，本项目不属于该目录中限制和淘汰类。对照《市场准入负面清单(202</w:t>
            </w:r>
            <w:r>
              <w:rPr>
                <w:rFonts w:hint="default"/>
                <w:bCs/>
                <w:color w:val="auto"/>
                <w:szCs w:val="21"/>
                <w:highlight w:val="none"/>
              </w:rPr>
              <w:t>5</w:t>
            </w:r>
            <w:r>
              <w:rPr>
                <w:bCs/>
                <w:color w:val="auto"/>
                <w:szCs w:val="21"/>
                <w:highlight w:val="none"/>
              </w:rPr>
              <w:t>年版)》</w:t>
            </w:r>
            <w:r>
              <w:rPr>
                <w:rFonts w:hint="default"/>
                <w:bCs/>
                <w:color w:val="auto"/>
                <w:szCs w:val="21"/>
                <w:highlight w:val="none"/>
              </w:rPr>
              <w:t>（发改体改规〔2025〕466号）</w:t>
            </w:r>
            <w:r>
              <w:rPr>
                <w:bCs/>
                <w:color w:val="auto"/>
                <w:szCs w:val="21"/>
                <w:highlight w:val="none"/>
              </w:rPr>
              <w:t>，本项目不在其负面清单范围内。</w:t>
            </w:r>
            <w:r>
              <w:rPr>
                <w:rFonts w:hint="default"/>
                <w:bCs/>
                <w:color w:val="auto"/>
                <w:szCs w:val="21"/>
                <w:highlight w:val="none"/>
              </w:rPr>
              <w:t>对照《</w:t>
            </w:r>
            <w:r>
              <w:rPr>
                <w:rStyle w:val="31"/>
                <w:rFonts w:hint="default"/>
                <w:color w:val="auto"/>
                <w:kern w:val="0"/>
                <w:szCs w:val="20"/>
                <w:highlight w:val="none"/>
              </w:rPr>
              <w:t>自然资源要素支撑产业高质量发展指导目录（2024年本）</w:t>
            </w:r>
            <w:r>
              <w:rPr>
                <w:rFonts w:hint="default"/>
                <w:bCs/>
                <w:color w:val="auto"/>
                <w:szCs w:val="21"/>
                <w:highlight w:val="none"/>
              </w:rPr>
              <w:t>》（自然资发〔2024〕273号）</w:t>
            </w:r>
            <w:r>
              <w:rPr>
                <w:rStyle w:val="31"/>
                <w:rFonts w:hint="default"/>
                <w:color w:val="auto"/>
                <w:kern w:val="0"/>
                <w:szCs w:val="20"/>
                <w:highlight w:val="none"/>
              </w:rPr>
              <w:t>，本项目不属于该目录中限制类和禁止类。</w:t>
            </w:r>
          </w:p>
          <w:p w14:paraId="5FA56F3F">
            <w:pPr>
              <w:spacing w:line="360" w:lineRule="auto"/>
              <w:ind w:firstLine="422" w:firstLineChars="200"/>
              <w:rPr>
                <w:bCs/>
                <w:color w:val="auto"/>
                <w:szCs w:val="21"/>
                <w:highlight w:val="none"/>
              </w:rPr>
            </w:pPr>
            <w:r>
              <w:rPr>
                <w:rFonts w:hint="default"/>
                <w:b/>
                <w:bCs w:val="0"/>
                <w:color w:val="auto"/>
                <w:szCs w:val="21"/>
                <w:highlight w:val="none"/>
              </w:rPr>
              <w:t>（2）</w:t>
            </w:r>
            <w:r>
              <w:rPr>
                <w:b/>
                <w:bCs w:val="0"/>
                <w:color w:val="auto"/>
                <w:szCs w:val="21"/>
                <w:highlight w:val="none"/>
              </w:rPr>
              <w:t>地方产业政策</w:t>
            </w:r>
            <w:r>
              <w:rPr>
                <w:rFonts w:hint="default"/>
                <w:bCs/>
                <w:color w:val="auto"/>
                <w:szCs w:val="21"/>
                <w:highlight w:val="none"/>
                <w:lang w:eastAsia="zh-CN"/>
              </w:rPr>
              <w:t>：</w:t>
            </w:r>
            <w:r>
              <w:rPr>
                <w:rFonts w:hint="default"/>
                <w:bCs/>
                <w:color w:val="auto"/>
                <w:szCs w:val="21"/>
                <w:highlight w:val="none"/>
              </w:rPr>
              <w:t>对照</w:t>
            </w:r>
            <w:r>
              <w:rPr>
                <w:bCs/>
                <w:color w:val="auto"/>
                <w:szCs w:val="21"/>
                <w:highlight w:val="none"/>
              </w:rPr>
              <w:t>《长江经济带发展负面清单指南（试行，2022年版）浙江省实施细则》（浙长江办[2022]6号）</w:t>
            </w:r>
            <w:r>
              <w:rPr>
                <w:rFonts w:hint="default"/>
                <w:bCs/>
                <w:color w:val="auto"/>
                <w:szCs w:val="21"/>
                <w:highlight w:val="none"/>
              </w:rPr>
              <w:t>，</w:t>
            </w:r>
            <w:r>
              <w:rPr>
                <w:bCs/>
                <w:color w:val="auto"/>
                <w:szCs w:val="21"/>
                <w:highlight w:val="none"/>
              </w:rPr>
              <w:t>本项目</w:t>
            </w:r>
            <w:r>
              <w:rPr>
                <w:rFonts w:hint="default"/>
                <w:bCs/>
                <w:color w:val="auto"/>
                <w:szCs w:val="21"/>
                <w:highlight w:val="none"/>
              </w:rPr>
              <w:t>属于研究和试验发展</w:t>
            </w:r>
            <w:r>
              <w:rPr>
                <w:bCs/>
                <w:color w:val="auto"/>
                <w:szCs w:val="21"/>
                <w:highlight w:val="none"/>
              </w:rPr>
              <w:t>，不在其负面清单范围内。</w:t>
            </w:r>
            <w:r>
              <w:rPr>
                <w:rFonts w:hint="default"/>
                <w:bCs/>
                <w:color w:val="auto"/>
                <w:szCs w:val="21"/>
                <w:highlight w:val="none"/>
              </w:rPr>
              <w:t>对照《杭州市产业发展导向目录与产业平台布局指引（2024年本）》，项目不属于其中限制类和淘汰类项目</w:t>
            </w:r>
            <w:r>
              <w:rPr>
                <w:bCs/>
                <w:color w:val="auto"/>
                <w:szCs w:val="21"/>
                <w:highlight w:val="none"/>
              </w:rPr>
              <w:t>。因此，项目符合相关产业政策</w:t>
            </w:r>
            <w:r>
              <w:rPr>
                <w:rFonts w:hint="default"/>
                <w:bCs/>
                <w:color w:val="auto"/>
                <w:szCs w:val="21"/>
                <w:highlight w:val="none"/>
              </w:rPr>
              <w:t>要求</w:t>
            </w:r>
            <w:r>
              <w:rPr>
                <w:bCs/>
                <w:color w:val="auto"/>
                <w:szCs w:val="21"/>
                <w:highlight w:val="none"/>
              </w:rPr>
              <w:t>。</w:t>
            </w:r>
          </w:p>
          <w:p w14:paraId="11EFB026">
            <w:pPr>
              <w:spacing w:line="360" w:lineRule="auto"/>
              <w:outlineLvl w:val="2"/>
              <w:rPr>
                <w:b/>
                <w:color w:val="auto"/>
                <w:sz w:val="22"/>
                <w:szCs w:val="22"/>
                <w:highlight w:val="none"/>
              </w:rPr>
            </w:pPr>
            <w:r>
              <w:rPr>
                <w:rFonts w:hint="default"/>
                <w:b/>
                <w:color w:val="auto"/>
                <w:sz w:val="24"/>
                <w:szCs w:val="24"/>
                <w:highlight w:val="none"/>
              </w:rPr>
              <w:t xml:space="preserve">1.4 </w:t>
            </w:r>
            <w:r>
              <w:rPr>
                <w:rFonts w:hint="default"/>
                <w:b/>
                <w:color w:val="auto"/>
                <w:sz w:val="24"/>
                <w:szCs w:val="24"/>
                <w:highlight w:val="none"/>
                <w:lang w:val="en-US" w:eastAsia="zh-CN"/>
              </w:rPr>
              <w:t xml:space="preserve"> </w:t>
            </w:r>
            <w:r>
              <w:rPr>
                <w:rFonts w:hint="default"/>
                <w:b/>
                <w:color w:val="auto"/>
                <w:sz w:val="24"/>
                <w:szCs w:val="24"/>
                <w:highlight w:val="none"/>
              </w:rPr>
              <w:t>《太湖流域管理条例》符合性分析</w:t>
            </w:r>
          </w:p>
          <w:p w14:paraId="6F7C065A">
            <w:pPr>
              <w:spacing w:line="360" w:lineRule="auto"/>
              <w:ind w:firstLine="420" w:firstLineChars="200"/>
              <w:rPr>
                <w:bCs/>
                <w:color w:val="auto"/>
                <w:szCs w:val="21"/>
                <w:highlight w:val="none"/>
              </w:rPr>
            </w:pPr>
            <w:r>
              <w:rPr>
                <w:rFonts w:hint="default"/>
                <w:bCs/>
                <w:color w:val="auto"/>
                <w:szCs w:val="21"/>
                <w:highlight w:val="none"/>
              </w:rPr>
              <w:t>《太湖流域管理条例》于2011年8月24日国务院第169次常务会议通过，自2011年11月1日起施行。项目与其中有关条款的符合性分析如</w:t>
            </w:r>
            <w:r>
              <w:rPr>
                <w:rFonts w:hint="default"/>
                <w:bCs/>
                <w:color w:val="auto"/>
                <w:szCs w:val="21"/>
                <w:highlight w:val="none"/>
                <w:lang w:val="en-US" w:eastAsia="zh-CN"/>
              </w:rPr>
              <w:t>表1-11所示。</w:t>
            </w:r>
          </w:p>
          <w:p w14:paraId="7BEEECD2">
            <w:pPr>
              <w:keepNext/>
              <w:keepLines/>
              <w:pageBreakBefore w:val="0"/>
              <w:widowControl/>
              <w:numPr>
                <w:ilvl w:val="0"/>
                <w:numId w:val="1"/>
              </w:numPr>
              <w:tabs>
                <w:tab w:val="left" w:pos="0"/>
              </w:tabs>
              <w:kinsoku/>
              <w:wordWrap/>
              <w:overflowPunct/>
              <w:topLinePunct w:val="0"/>
              <w:autoSpaceDE/>
              <w:autoSpaceDN/>
              <w:bidi w:val="0"/>
              <w:adjustRightInd/>
              <w:snapToGrid/>
              <w:spacing w:line="360" w:lineRule="auto"/>
              <w:ind w:left="1134" w:hanging="1134"/>
              <w:jc w:val="center"/>
              <w:textAlignment w:val="auto"/>
              <w:outlineLvl w:val="3"/>
              <w:rPr>
                <w:rFonts w:hint="default" w:ascii="Times New Roman" w:hAnsi="Times New Roman" w:eastAsia="黑体" w:cs="Times New Roman"/>
                <w:b w:val="0"/>
                <w:bCs w:val="0"/>
                <w:color w:val="auto"/>
                <w:kern w:val="0"/>
                <w:szCs w:val="21"/>
                <w:highlight w:val="none"/>
                <w:lang w:val="zh-CN"/>
              </w:rPr>
            </w:pPr>
            <w:r>
              <w:rPr>
                <w:rFonts w:hint="default" w:ascii="Times New Roman" w:hAnsi="Times New Roman" w:eastAsia="黑体" w:cs="Times New Roman"/>
                <w:b w:val="0"/>
                <w:bCs w:val="0"/>
                <w:color w:val="auto"/>
                <w:kern w:val="0"/>
                <w:szCs w:val="21"/>
                <w:highlight w:val="none"/>
                <w:lang w:val="zh-CN"/>
              </w:rPr>
              <w:t>项目与《</w:t>
            </w:r>
            <w:r>
              <w:rPr>
                <w:rFonts w:hint="default" w:ascii="Times New Roman" w:hAnsi="Times New Roman" w:eastAsia="黑体" w:cs="Times New Roman"/>
                <w:b w:val="0"/>
                <w:bCs w:val="0"/>
                <w:color w:val="auto"/>
                <w:kern w:val="0"/>
                <w:szCs w:val="21"/>
                <w:highlight w:val="none"/>
              </w:rPr>
              <w:t>太湖流域管理条例</w:t>
            </w:r>
            <w:r>
              <w:rPr>
                <w:rFonts w:hint="default" w:ascii="Times New Roman" w:hAnsi="Times New Roman" w:eastAsia="黑体" w:cs="Times New Roman"/>
                <w:b w:val="0"/>
                <w:bCs w:val="0"/>
                <w:color w:val="auto"/>
                <w:kern w:val="0"/>
                <w:szCs w:val="21"/>
                <w:highlight w:val="none"/>
                <w:lang w:val="zh-CN"/>
              </w:rPr>
              <w:t>》</w:t>
            </w:r>
            <w:r>
              <w:rPr>
                <w:rFonts w:hint="default" w:ascii="Times New Roman" w:hAnsi="Times New Roman" w:eastAsia="黑体" w:cs="Times New Roman"/>
                <w:b w:val="0"/>
                <w:bCs w:val="0"/>
                <w:color w:val="auto"/>
                <w:kern w:val="0"/>
                <w:szCs w:val="21"/>
                <w:highlight w:val="none"/>
              </w:rPr>
              <w:t>有关内容</w:t>
            </w:r>
            <w:r>
              <w:rPr>
                <w:rFonts w:hint="default" w:ascii="Times New Roman" w:hAnsi="Times New Roman" w:eastAsia="黑体" w:cs="Times New Roman"/>
                <w:b w:val="0"/>
                <w:bCs w:val="0"/>
                <w:color w:val="auto"/>
                <w:kern w:val="0"/>
                <w:szCs w:val="21"/>
                <w:highlight w:val="none"/>
                <w:lang w:val="zh-CN"/>
              </w:rPr>
              <w:t>符合性分析</w:t>
            </w:r>
          </w:p>
          <w:tbl>
            <w:tblPr>
              <w:tblStyle w:val="24"/>
              <w:tblW w:w="4999" w:type="pct"/>
              <w:tblInd w:w="-13"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57" w:type="dxa"/>
                <w:bottom w:w="0" w:type="dxa"/>
                <w:right w:w="57" w:type="dxa"/>
              </w:tblCellMar>
            </w:tblPr>
            <w:tblGrid>
              <w:gridCol w:w="625"/>
              <w:gridCol w:w="4473"/>
              <w:gridCol w:w="1907"/>
              <w:gridCol w:w="828"/>
            </w:tblGrid>
            <w:tr w14:paraId="7470ED3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283" w:hRule="atLeast"/>
              </w:trPr>
              <w:tc>
                <w:tcPr>
                  <w:tcW w:w="399" w:type="pct"/>
                  <w:tcBorders>
                    <w:tl2br w:val="nil"/>
                    <w:tr2bl w:val="nil"/>
                  </w:tcBorders>
                  <w:vAlign w:val="center"/>
                </w:tcPr>
                <w:p w14:paraId="0B6C1814">
                  <w:pPr>
                    <w:jc w:val="center"/>
                    <w:rPr>
                      <w:color w:val="auto"/>
                      <w:sz w:val="18"/>
                      <w:szCs w:val="18"/>
                      <w:highlight w:val="none"/>
                    </w:rPr>
                  </w:pPr>
                  <w:r>
                    <w:rPr>
                      <w:rFonts w:hint="default"/>
                      <w:color w:val="auto"/>
                      <w:sz w:val="18"/>
                      <w:szCs w:val="18"/>
                      <w:highlight w:val="none"/>
                    </w:rPr>
                    <w:t>条款</w:t>
                  </w:r>
                </w:p>
              </w:tc>
              <w:tc>
                <w:tcPr>
                  <w:tcW w:w="2854" w:type="pct"/>
                  <w:tcBorders>
                    <w:tl2br w:val="nil"/>
                    <w:tr2bl w:val="nil"/>
                  </w:tcBorders>
                  <w:vAlign w:val="center"/>
                </w:tcPr>
                <w:p w14:paraId="3394FEFA">
                  <w:pPr>
                    <w:jc w:val="center"/>
                    <w:rPr>
                      <w:color w:val="auto"/>
                      <w:sz w:val="18"/>
                      <w:szCs w:val="18"/>
                      <w:highlight w:val="none"/>
                    </w:rPr>
                  </w:pPr>
                  <w:r>
                    <w:rPr>
                      <w:color w:val="auto"/>
                      <w:sz w:val="18"/>
                      <w:szCs w:val="18"/>
                      <w:highlight w:val="none"/>
                    </w:rPr>
                    <w:t>有关要求</w:t>
                  </w:r>
                </w:p>
              </w:tc>
              <w:tc>
                <w:tcPr>
                  <w:tcW w:w="1217" w:type="pct"/>
                  <w:tcBorders>
                    <w:tl2br w:val="nil"/>
                    <w:tr2bl w:val="nil"/>
                  </w:tcBorders>
                  <w:vAlign w:val="center"/>
                </w:tcPr>
                <w:p w14:paraId="12B83078">
                  <w:pPr>
                    <w:jc w:val="center"/>
                    <w:rPr>
                      <w:color w:val="auto"/>
                      <w:sz w:val="18"/>
                      <w:szCs w:val="18"/>
                      <w:highlight w:val="none"/>
                    </w:rPr>
                  </w:pPr>
                  <w:r>
                    <w:rPr>
                      <w:color w:val="auto"/>
                      <w:sz w:val="18"/>
                      <w:szCs w:val="18"/>
                      <w:highlight w:val="none"/>
                    </w:rPr>
                    <w:t>本项目情况</w:t>
                  </w:r>
                </w:p>
              </w:tc>
              <w:tc>
                <w:tcPr>
                  <w:tcW w:w="528" w:type="pct"/>
                  <w:tcBorders>
                    <w:tl2br w:val="nil"/>
                    <w:tr2bl w:val="nil"/>
                  </w:tcBorders>
                  <w:vAlign w:val="center"/>
                </w:tcPr>
                <w:p w14:paraId="67EA8889">
                  <w:pPr>
                    <w:jc w:val="center"/>
                    <w:rPr>
                      <w:color w:val="auto"/>
                      <w:sz w:val="18"/>
                      <w:szCs w:val="18"/>
                      <w:highlight w:val="none"/>
                    </w:rPr>
                  </w:pPr>
                  <w:r>
                    <w:rPr>
                      <w:color w:val="auto"/>
                      <w:sz w:val="18"/>
                      <w:szCs w:val="18"/>
                      <w:highlight w:val="none"/>
                    </w:rPr>
                    <w:t>符合性</w:t>
                  </w:r>
                </w:p>
              </w:tc>
            </w:tr>
            <w:tr w14:paraId="055C6CE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283" w:hRule="atLeast"/>
              </w:trPr>
              <w:tc>
                <w:tcPr>
                  <w:tcW w:w="631" w:type="dxa"/>
                  <w:tcBorders>
                    <w:tl2br w:val="nil"/>
                    <w:tr2bl w:val="nil"/>
                  </w:tcBorders>
                  <w:vAlign w:val="center"/>
                </w:tcPr>
                <w:p w14:paraId="75F807D9">
                  <w:pPr>
                    <w:jc w:val="center"/>
                    <w:rPr>
                      <w:color w:val="auto"/>
                      <w:sz w:val="18"/>
                      <w:szCs w:val="18"/>
                      <w:highlight w:val="none"/>
                    </w:rPr>
                  </w:pPr>
                  <w:r>
                    <w:rPr>
                      <w:color w:val="auto"/>
                      <w:sz w:val="18"/>
                      <w:szCs w:val="18"/>
                      <w:highlight w:val="none"/>
                      <w:lang w:val="zh-CN"/>
                    </w:rPr>
                    <w:t>第八条</w:t>
                  </w:r>
                </w:p>
              </w:tc>
              <w:tc>
                <w:tcPr>
                  <w:tcW w:w="4512" w:type="dxa"/>
                  <w:tcBorders>
                    <w:tl2br w:val="nil"/>
                    <w:tr2bl w:val="nil"/>
                  </w:tcBorders>
                  <w:vAlign w:val="center"/>
                </w:tcPr>
                <w:p w14:paraId="5AB3B834">
                  <w:pPr>
                    <w:rPr>
                      <w:color w:val="auto"/>
                      <w:sz w:val="18"/>
                      <w:szCs w:val="18"/>
                      <w:highlight w:val="none"/>
                    </w:rPr>
                  </w:pPr>
                  <w:r>
                    <w:rPr>
                      <w:color w:val="auto"/>
                      <w:sz w:val="18"/>
                      <w:szCs w:val="18"/>
                      <w:highlight w:val="none"/>
                      <w:lang w:val="zh-CN"/>
                    </w:rPr>
                    <w:t>禁止在太湖流域饮用水水源保护区内设置排污口、有毒有害物品仓库以及垃圾场；已经设置的，当地县级人民政府应当责令拆除或者关闭。</w:t>
                  </w:r>
                </w:p>
              </w:tc>
              <w:tc>
                <w:tcPr>
                  <w:tcW w:w="1924" w:type="dxa"/>
                  <w:tcBorders>
                    <w:tl2br w:val="nil"/>
                    <w:tr2bl w:val="nil"/>
                  </w:tcBorders>
                  <w:vAlign w:val="center"/>
                </w:tcPr>
                <w:p w14:paraId="5FEE0DA1">
                  <w:pPr>
                    <w:rPr>
                      <w:color w:val="auto"/>
                      <w:sz w:val="18"/>
                      <w:szCs w:val="18"/>
                      <w:highlight w:val="none"/>
                    </w:rPr>
                  </w:pPr>
                  <w:r>
                    <w:rPr>
                      <w:color w:val="auto"/>
                      <w:sz w:val="18"/>
                      <w:szCs w:val="18"/>
                      <w:highlight w:val="none"/>
                      <w:lang w:val="zh-CN"/>
                    </w:rPr>
                    <w:t>项目不在饮用水水源保护区范围，废水纳管排放，不单独设置排污口。</w:t>
                  </w:r>
                </w:p>
              </w:tc>
              <w:tc>
                <w:tcPr>
                  <w:tcW w:w="835" w:type="dxa"/>
                  <w:tcBorders>
                    <w:tl2br w:val="nil"/>
                    <w:tr2bl w:val="nil"/>
                  </w:tcBorders>
                  <w:vAlign w:val="center"/>
                </w:tcPr>
                <w:p w14:paraId="4CD2632D">
                  <w:pPr>
                    <w:jc w:val="center"/>
                    <w:rPr>
                      <w:color w:val="auto"/>
                      <w:sz w:val="18"/>
                      <w:szCs w:val="18"/>
                      <w:highlight w:val="none"/>
                    </w:rPr>
                  </w:pPr>
                  <w:r>
                    <w:rPr>
                      <w:color w:val="auto"/>
                      <w:sz w:val="18"/>
                      <w:szCs w:val="18"/>
                      <w:highlight w:val="none"/>
                      <w:lang w:val="zh-CN"/>
                    </w:rPr>
                    <w:t>第八条</w:t>
                  </w:r>
                </w:p>
              </w:tc>
            </w:tr>
            <w:tr w14:paraId="5188F99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283" w:hRule="atLeast"/>
              </w:trPr>
              <w:tc>
                <w:tcPr>
                  <w:tcW w:w="631" w:type="dxa"/>
                  <w:tcBorders>
                    <w:tl2br w:val="nil"/>
                    <w:tr2bl w:val="nil"/>
                  </w:tcBorders>
                  <w:vAlign w:val="center"/>
                </w:tcPr>
                <w:p w14:paraId="7BBCCFF3">
                  <w:pPr>
                    <w:jc w:val="center"/>
                    <w:rPr>
                      <w:color w:val="auto"/>
                      <w:sz w:val="18"/>
                      <w:szCs w:val="18"/>
                      <w:highlight w:val="none"/>
                      <w:lang w:val="zh-CN"/>
                    </w:rPr>
                  </w:pPr>
                  <w:r>
                    <w:rPr>
                      <w:color w:val="auto"/>
                      <w:sz w:val="18"/>
                      <w:szCs w:val="18"/>
                      <w:highlight w:val="none"/>
                      <w:lang w:val="zh-CN"/>
                    </w:rPr>
                    <w:t>第二十八条</w:t>
                  </w:r>
                </w:p>
              </w:tc>
              <w:tc>
                <w:tcPr>
                  <w:tcW w:w="4512" w:type="dxa"/>
                  <w:tcBorders>
                    <w:tl2br w:val="nil"/>
                    <w:tr2bl w:val="nil"/>
                  </w:tcBorders>
                  <w:vAlign w:val="center"/>
                </w:tcPr>
                <w:p w14:paraId="3B244485">
                  <w:pPr>
                    <w:rPr>
                      <w:color w:val="auto"/>
                      <w:sz w:val="18"/>
                      <w:szCs w:val="18"/>
                      <w:highlight w:val="none"/>
                      <w:lang w:val="zh-CN"/>
                    </w:rPr>
                  </w:pPr>
                  <w:r>
                    <w:rPr>
                      <w:color w:val="auto"/>
                      <w:sz w:val="18"/>
                      <w:szCs w:val="18"/>
                      <w:highlight w:val="none"/>
                      <w:lang w:val="zh-CN"/>
                    </w:rPr>
                    <w:t>排污单位排放水污染物，不得超过经核定的水污染物排放总量，并应当按照规定设置便于检查、采样的规范化排污口，悬挂标志牌；不得私设暗管或者采取其他规避监管的方式排放水污染物。</w:t>
                  </w:r>
                </w:p>
                <w:p w14:paraId="15492F44">
                  <w:pPr>
                    <w:rPr>
                      <w:color w:val="auto"/>
                      <w:sz w:val="18"/>
                      <w:szCs w:val="18"/>
                      <w:highlight w:val="none"/>
                      <w:lang w:val="zh-CN"/>
                    </w:rPr>
                  </w:pPr>
                  <w:r>
                    <w:rPr>
                      <w:color w:val="auto"/>
                      <w:sz w:val="18"/>
                      <w:szCs w:val="18"/>
                      <w:highlight w:val="none"/>
                      <w:lang w:val="zh-CN"/>
                    </w:rPr>
                    <w:t>禁止在太湖流域设置不符合国家产业政策和水环境综合治理要求的造纸、制革、酒精、淀粉、冶金、酿造、印染、电镀等排放水污染物的生产项目，现有的生产项目不能实现达标排放的应当依法关闭。</w:t>
                  </w:r>
                </w:p>
                <w:p w14:paraId="7DBF1A68">
                  <w:pPr>
                    <w:rPr>
                      <w:color w:val="auto"/>
                      <w:sz w:val="18"/>
                      <w:szCs w:val="18"/>
                      <w:highlight w:val="none"/>
                      <w:lang w:val="zh-CN"/>
                    </w:rPr>
                  </w:pPr>
                  <w:r>
                    <w:rPr>
                      <w:color w:val="auto"/>
                      <w:sz w:val="18"/>
                      <w:szCs w:val="18"/>
                      <w:highlight w:val="none"/>
                      <w:lang w:val="zh-CN"/>
                    </w:rPr>
                    <w:t>在太湖流域新设的企业应当符合国家规定的清洁生产要求，现有的企业尚未达到清洁生产要求的，应当按照清洁生产规划要求进行技术改造，两省一市人民政府应当加强监督检查。</w:t>
                  </w:r>
                </w:p>
              </w:tc>
              <w:tc>
                <w:tcPr>
                  <w:tcW w:w="1924" w:type="dxa"/>
                  <w:tcBorders>
                    <w:tl2br w:val="nil"/>
                    <w:tr2bl w:val="nil"/>
                  </w:tcBorders>
                  <w:vAlign w:val="center"/>
                </w:tcPr>
                <w:p w14:paraId="1920241D">
                  <w:pPr>
                    <w:rPr>
                      <w:color w:val="auto"/>
                      <w:sz w:val="18"/>
                      <w:szCs w:val="18"/>
                      <w:highlight w:val="none"/>
                      <w:lang w:val="zh-CN"/>
                    </w:rPr>
                  </w:pPr>
                  <w:r>
                    <w:rPr>
                      <w:rFonts w:hint="default"/>
                      <w:color w:val="auto"/>
                      <w:sz w:val="18"/>
                      <w:szCs w:val="18"/>
                      <w:highlight w:val="none"/>
                      <w:lang w:val="zh-CN"/>
                    </w:rPr>
                    <w:t>本项目后期运营过程中水污染物排放量不得超过本报告核定量。将设置便于检查、采样的规范化排污口，并按要求悬挂标志牌。</w:t>
                  </w:r>
                </w:p>
                <w:p w14:paraId="0D83318F">
                  <w:pPr>
                    <w:rPr>
                      <w:color w:val="auto"/>
                      <w:sz w:val="18"/>
                      <w:szCs w:val="18"/>
                      <w:highlight w:val="none"/>
                      <w:lang w:val="zh-CN"/>
                    </w:rPr>
                  </w:pPr>
                  <w:r>
                    <w:rPr>
                      <w:rFonts w:hint="default"/>
                      <w:color w:val="auto"/>
                      <w:sz w:val="18"/>
                      <w:szCs w:val="18"/>
                      <w:highlight w:val="none"/>
                      <w:lang w:val="zh-CN"/>
                    </w:rPr>
                    <w:t>本项目为实验室研发项目，不属于工业类项目，不涉及条例中禁止设置的不符合国家产业政策和水环境综合治理要求的行业。</w:t>
                  </w:r>
                </w:p>
              </w:tc>
              <w:tc>
                <w:tcPr>
                  <w:tcW w:w="835" w:type="dxa"/>
                  <w:tcBorders>
                    <w:tl2br w:val="nil"/>
                    <w:tr2bl w:val="nil"/>
                  </w:tcBorders>
                  <w:vAlign w:val="center"/>
                </w:tcPr>
                <w:p w14:paraId="363F6D98">
                  <w:pPr>
                    <w:jc w:val="center"/>
                    <w:rPr>
                      <w:color w:val="auto"/>
                      <w:sz w:val="18"/>
                      <w:szCs w:val="18"/>
                      <w:highlight w:val="none"/>
                      <w:lang w:val="zh-CN"/>
                    </w:rPr>
                  </w:pPr>
                  <w:r>
                    <w:rPr>
                      <w:color w:val="auto"/>
                      <w:sz w:val="18"/>
                      <w:szCs w:val="18"/>
                      <w:highlight w:val="none"/>
                      <w:lang w:val="zh-CN"/>
                    </w:rPr>
                    <w:t>第二十八条</w:t>
                  </w:r>
                </w:p>
              </w:tc>
            </w:tr>
            <w:tr w14:paraId="5F161E1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283" w:hRule="atLeast"/>
              </w:trPr>
              <w:tc>
                <w:tcPr>
                  <w:tcW w:w="631" w:type="dxa"/>
                  <w:tcBorders>
                    <w:tl2br w:val="nil"/>
                    <w:tr2bl w:val="nil"/>
                  </w:tcBorders>
                  <w:vAlign w:val="center"/>
                </w:tcPr>
                <w:p w14:paraId="15BC6574">
                  <w:pPr>
                    <w:jc w:val="center"/>
                    <w:rPr>
                      <w:color w:val="auto"/>
                      <w:sz w:val="18"/>
                      <w:szCs w:val="18"/>
                      <w:highlight w:val="none"/>
                      <w:lang w:val="zh-CN"/>
                    </w:rPr>
                  </w:pPr>
                  <w:r>
                    <w:rPr>
                      <w:color w:val="auto"/>
                      <w:sz w:val="18"/>
                      <w:szCs w:val="18"/>
                      <w:highlight w:val="none"/>
                      <w:lang w:val="zh-CN"/>
                    </w:rPr>
                    <w:t>第二十九条</w:t>
                  </w:r>
                </w:p>
              </w:tc>
              <w:tc>
                <w:tcPr>
                  <w:tcW w:w="4512" w:type="dxa"/>
                  <w:tcBorders>
                    <w:tl2br w:val="nil"/>
                    <w:tr2bl w:val="nil"/>
                  </w:tcBorders>
                  <w:vAlign w:val="center"/>
                </w:tcPr>
                <w:p w14:paraId="43455B93">
                  <w:pPr>
                    <w:rPr>
                      <w:color w:val="auto"/>
                      <w:sz w:val="18"/>
                      <w:szCs w:val="18"/>
                      <w:highlight w:val="none"/>
                      <w:lang w:val="zh-CN"/>
                    </w:rPr>
                  </w:pPr>
                  <w:r>
                    <w:rPr>
                      <w:color w:val="auto"/>
                      <w:sz w:val="18"/>
                      <w:szCs w:val="18"/>
                      <w:highlight w:val="none"/>
                      <w:lang w:val="zh-CN"/>
                    </w:rPr>
                    <w:t>新孟河、望虞河以外的其他主要入太湖河道，自河口1万米上溯至5万米河道岸线内及其岸线两侧各1000米范围内，禁止下列行为：(一)新建、扩建化工、医药生产项目；(二)新建、扩建污水集中处理设施排污口以外的排污口；(三)扩大水产养殖规模。</w:t>
                  </w:r>
                </w:p>
              </w:tc>
              <w:tc>
                <w:tcPr>
                  <w:tcW w:w="1924" w:type="dxa"/>
                  <w:tcBorders>
                    <w:tl2br w:val="nil"/>
                    <w:tr2bl w:val="nil"/>
                  </w:tcBorders>
                  <w:vAlign w:val="center"/>
                </w:tcPr>
                <w:p w14:paraId="45B50DD9">
                  <w:pPr>
                    <w:rPr>
                      <w:color w:val="auto"/>
                      <w:sz w:val="18"/>
                      <w:szCs w:val="18"/>
                      <w:highlight w:val="none"/>
                      <w:lang w:val="zh-CN"/>
                    </w:rPr>
                  </w:pPr>
                  <w:r>
                    <w:rPr>
                      <w:color w:val="auto"/>
                      <w:sz w:val="18"/>
                      <w:szCs w:val="18"/>
                      <w:highlight w:val="none"/>
                      <w:lang w:val="zh-CN"/>
                    </w:rPr>
                    <w:t>项目距离</w:t>
                  </w:r>
                  <w:r>
                    <w:rPr>
                      <w:rFonts w:hint="default"/>
                      <w:color w:val="auto"/>
                      <w:sz w:val="18"/>
                      <w:szCs w:val="18"/>
                      <w:highlight w:val="none"/>
                    </w:rPr>
                    <w:t>东</w:t>
                  </w:r>
                  <w:r>
                    <w:rPr>
                      <w:color w:val="auto"/>
                      <w:sz w:val="18"/>
                      <w:szCs w:val="18"/>
                      <w:highlight w:val="none"/>
                      <w:lang w:val="zh-CN"/>
                    </w:rPr>
                    <w:t>苕溪</w:t>
                  </w:r>
                  <w:r>
                    <w:rPr>
                      <w:rFonts w:hint="default"/>
                      <w:color w:val="auto"/>
                      <w:sz w:val="18"/>
                      <w:szCs w:val="18"/>
                      <w:highlight w:val="none"/>
                    </w:rPr>
                    <w:t>1.8 k</w:t>
                  </w:r>
                  <w:r>
                    <w:rPr>
                      <w:color w:val="auto"/>
                      <w:sz w:val="18"/>
                      <w:szCs w:val="18"/>
                      <w:highlight w:val="none"/>
                      <w:lang w:val="zh-CN"/>
                    </w:rPr>
                    <w:t>m。项目</w:t>
                  </w:r>
                  <w:r>
                    <w:rPr>
                      <w:color w:val="auto"/>
                      <w:sz w:val="18"/>
                      <w:szCs w:val="18"/>
                      <w:highlight w:val="none"/>
                    </w:rPr>
                    <w:t>不属于</w:t>
                  </w:r>
                  <w:r>
                    <w:rPr>
                      <w:color w:val="auto"/>
                      <w:sz w:val="18"/>
                      <w:szCs w:val="18"/>
                      <w:highlight w:val="none"/>
                      <w:lang w:val="zh-CN"/>
                    </w:rPr>
                    <w:t>第二十九条</w:t>
                  </w:r>
                  <w:r>
                    <w:rPr>
                      <w:color w:val="auto"/>
                      <w:sz w:val="18"/>
                      <w:szCs w:val="18"/>
                      <w:highlight w:val="none"/>
                    </w:rPr>
                    <w:t>所列行业</w:t>
                  </w:r>
                  <w:r>
                    <w:rPr>
                      <w:color w:val="auto"/>
                      <w:sz w:val="18"/>
                      <w:szCs w:val="18"/>
                      <w:highlight w:val="none"/>
                      <w:lang w:val="zh-CN"/>
                    </w:rPr>
                    <w:t>。</w:t>
                  </w:r>
                </w:p>
              </w:tc>
              <w:tc>
                <w:tcPr>
                  <w:tcW w:w="835" w:type="dxa"/>
                  <w:tcBorders>
                    <w:tl2br w:val="nil"/>
                    <w:tr2bl w:val="nil"/>
                  </w:tcBorders>
                  <w:vAlign w:val="center"/>
                </w:tcPr>
                <w:p w14:paraId="2B3F0880">
                  <w:pPr>
                    <w:jc w:val="center"/>
                    <w:rPr>
                      <w:color w:val="auto"/>
                      <w:sz w:val="18"/>
                      <w:szCs w:val="18"/>
                      <w:highlight w:val="none"/>
                      <w:lang w:val="zh-CN"/>
                    </w:rPr>
                  </w:pPr>
                  <w:r>
                    <w:rPr>
                      <w:color w:val="auto"/>
                      <w:sz w:val="18"/>
                      <w:szCs w:val="18"/>
                      <w:highlight w:val="none"/>
                      <w:lang w:val="zh-CN"/>
                    </w:rPr>
                    <w:t>第二十九条</w:t>
                  </w:r>
                </w:p>
              </w:tc>
            </w:tr>
            <w:tr w14:paraId="3F22F60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283" w:hRule="atLeast"/>
              </w:trPr>
              <w:tc>
                <w:tcPr>
                  <w:tcW w:w="631" w:type="dxa"/>
                  <w:tcBorders>
                    <w:tl2br w:val="nil"/>
                    <w:tr2bl w:val="nil"/>
                  </w:tcBorders>
                  <w:vAlign w:val="center"/>
                </w:tcPr>
                <w:p w14:paraId="24E6298A">
                  <w:pPr>
                    <w:jc w:val="center"/>
                    <w:rPr>
                      <w:color w:val="auto"/>
                      <w:sz w:val="18"/>
                      <w:szCs w:val="18"/>
                      <w:highlight w:val="none"/>
                      <w:lang w:val="zh-CN"/>
                    </w:rPr>
                  </w:pPr>
                  <w:r>
                    <w:rPr>
                      <w:color w:val="auto"/>
                      <w:sz w:val="18"/>
                      <w:szCs w:val="18"/>
                      <w:highlight w:val="none"/>
                      <w:lang w:val="zh-CN"/>
                    </w:rPr>
                    <w:t>第三十条</w:t>
                  </w:r>
                </w:p>
              </w:tc>
              <w:tc>
                <w:tcPr>
                  <w:tcW w:w="4512" w:type="dxa"/>
                  <w:tcBorders>
                    <w:tl2br w:val="nil"/>
                    <w:tr2bl w:val="nil"/>
                  </w:tcBorders>
                  <w:vAlign w:val="center"/>
                </w:tcPr>
                <w:p w14:paraId="39644135">
                  <w:pPr>
                    <w:rPr>
                      <w:color w:val="auto"/>
                      <w:sz w:val="18"/>
                      <w:szCs w:val="18"/>
                      <w:highlight w:val="none"/>
                      <w:lang w:val="zh-CN"/>
                    </w:rPr>
                  </w:pPr>
                  <w:r>
                    <w:rPr>
                      <w:color w:val="auto"/>
                      <w:sz w:val="18"/>
                      <w:szCs w:val="18"/>
                      <w:highlight w:val="none"/>
                      <w:lang w:val="zh-CN"/>
                    </w:rPr>
                    <w:t>太湖岸线内和岸线周边5000米范围内，淀山湖岸线内和岸线周边2000米范围内，太浦河、新孟河、望虞河岸线内和岸线两侧各1000米范围内，其他主要入太湖河道自河口上溯至1万米河道岸线内及其岸线两侧各1000米范围内，禁止下列行为：(一)设置剧毒物质、危险化学品的贮存、输送设施和废物回收场、垃圾场；(二)设置水上餐饮经营设施；(三)新建、扩建高尔夫球场;(四)新建、扩建畜禽养殖场；(五)新建、扩建向水体排放污染物的建设项目；(六)本条例第二十九条规定的行为。</w:t>
                  </w:r>
                </w:p>
              </w:tc>
              <w:tc>
                <w:tcPr>
                  <w:tcW w:w="1924" w:type="dxa"/>
                  <w:tcBorders>
                    <w:tl2br w:val="nil"/>
                    <w:tr2bl w:val="nil"/>
                  </w:tcBorders>
                  <w:vAlign w:val="center"/>
                </w:tcPr>
                <w:p w14:paraId="54A20924">
                  <w:pPr>
                    <w:rPr>
                      <w:color w:val="auto"/>
                      <w:sz w:val="18"/>
                      <w:szCs w:val="18"/>
                      <w:highlight w:val="none"/>
                      <w:lang w:val="zh-CN"/>
                    </w:rPr>
                  </w:pPr>
                  <w:r>
                    <w:rPr>
                      <w:color w:val="auto"/>
                      <w:sz w:val="18"/>
                      <w:szCs w:val="18"/>
                      <w:highlight w:val="none"/>
                      <w:lang w:val="zh-CN"/>
                    </w:rPr>
                    <w:t>项目距离太湖5</w:t>
                  </w:r>
                  <w:r>
                    <w:rPr>
                      <w:rFonts w:hint="default"/>
                      <w:color w:val="auto"/>
                      <w:sz w:val="18"/>
                      <w:szCs w:val="18"/>
                      <w:highlight w:val="none"/>
                    </w:rPr>
                    <w:t>3</w:t>
                  </w:r>
                  <w:r>
                    <w:rPr>
                      <w:color w:val="auto"/>
                      <w:sz w:val="18"/>
                      <w:szCs w:val="18"/>
                      <w:highlight w:val="none"/>
                      <w:lang w:val="zh-CN"/>
                    </w:rPr>
                    <w:t>km，距离</w:t>
                  </w:r>
                  <w:r>
                    <w:rPr>
                      <w:rFonts w:hint="default"/>
                      <w:color w:val="auto"/>
                      <w:sz w:val="18"/>
                      <w:szCs w:val="18"/>
                      <w:highlight w:val="none"/>
                    </w:rPr>
                    <w:t>东</w:t>
                  </w:r>
                  <w:r>
                    <w:rPr>
                      <w:color w:val="auto"/>
                      <w:sz w:val="18"/>
                      <w:szCs w:val="18"/>
                      <w:highlight w:val="none"/>
                      <w:lang w:val="zh-CN"/>
                    </w:rPr>
                    <w:t>苕溪</w:t>
                  </w:r>
                  <w:r>
                    <w:rPr>
                      <w:rFonts w:hint="default"/>
                      <w:color w:val="auto"/>
                      <w:sz w:val="18"/>
                      <w:szCs w:val="18"/>
                      <w:highlight w:val="none"/>
                    </w:rPr>
                    <w:t>1.8 k</w:t>
                  </w:r>
                  <w:r>
                    <w:rPr>
                      <w:color w:val="auto"/>
                      <w:sz w:val="18"/>
                      <w:szCs w:val="18"/>
                      <w:highlight w:val="none"/>
                      <w:lang w:val="zh-CN"/>
                    </w:rPr>
                    <w:t>m。项目不涉及第三十条所列</w:t>
                  </w:r>
                  <w:r>
                    <w:rPr>
                      <w:rFonts w:hint="default"/>
                      <w:color w:val="auto"/>
                      <w:sz w:val="18"/>
                      <w:szCs w:val="18"/>
                      <w:highlight w:val="none"/>
                      <w:lang w:val="zh-CN"/>
                    </w:rPr>
                    <w:t>行业</w:t>
                  </w:r>
                  <w:r>
                    <w:rPr>
                      <w:color w:val="auto"/>
                      <w:sz w:val="18"/>
                      <w:szCs w:val="18"/>
                      <w:highlight w:val="none"/>
                      <w:lang w:val="zh-CN"/>
                    </w:rPr>
                    <w:t>。</w:t>
                  </w:r>
                </w:p>
              </w:tc>
              <w:tc>
                <w:tcPr>
                  <w:tcW w:w="835" w:type="dxa"/>
                  <w:tcBorders>
                    <w:tl2br w:val="nil"/>
                    <w:tr2bl w:val="nil"/>
                  </w:tcBorders>
                  <w:vAlign w:val="center"/>
                </w:tcPr>
                <w:p w14:paraId="24C80EE0">
                  <w:pPr>
                    <w:jc w:val="center"/>
                    <w:rPr>
                      <w:color w:val="auto"/>
                      <w:sz w:val="18"/>
                      <w:szCs w:val="18"/>
                      <w:highlight w:val="none"/>
                      <w:lang w:val="zh-CN"/>
                    </w:rPr>
                  </w:pPr>
                  <w:r>
                    <w:rPr>
                      <w:color w:val="auto"/>
                      <w:sz w:val="18"/>
                      <w:szCs w:val="18"/>
                      <w:highlight w:val="none"/>
                      <w:lang w:val="zh-CN"/>
                    </w:rPr>
                    <w:t>第三十条</w:t>
                  </w:r>
                </w:p>
              </w:tc>
            </w:tr>
          </w:tbl>
          <w:p w14:paraId="448A3F45">
            <w:pPr>
              <w:spacing w:line="360" w:lineRule="auto"/>
              <w:ind w:firstLine="420" w:firstLineChars="200"/>
              <w:rPr>
                <w:bCs/>
                <w:color w:val="auto"/>
                <w:szCs w:val="21"/>
                <w:highlight w:val="none"/>
              </w:rPr>
            </w:pPr>
            <w:r>
              <w:rPr>
                <w:rFonts w:hint="default"/>
                <w:bCs/>
                <w:color w:val="auto"/>
                <w:szCs w:val="21"/>
                <w:highlight w:val="none"/>
              </w:rPr>
              <w:t>综上，本项目符合《太湖流域管理条例》有关要求。</w:t>
            </w:r>
          </w:p>
          <w:p w14:paraId="3B42EE70">
            <w:pPr>
              <w:spacing w:line="360" w:lineRule="auto"/>
              <w:outlineLvl w:val="2"/>
              <w:rPr>
                <w:b/>
                <w:bCs/>
                <w:color w:val="auto"/>
                <w:sz w:val="24"/>
                <w:szCs w:val="24"/>
                <w:highlight w:val="none"/>
              </w:rPr>
            </w:pPr>
            <w:r>
              <w:rPr>
                <w:rFonts w:hint="default"/>
                <w:b/>
                <w:bCs/>
                <w:color w:val="auto"/>
                <w:sz w:val="24"/>
                <w:szCs w:val="24"/>
                <w:highlight w:val="none"/>
              </w:rPr>
              <w:t>1.</w:t>
            </w:r>
            <w:r>
              <w:rPr>
                <w:rFonts w:hint="default"/>
                <w:b/>
                <w:bCs/>
                <w:color w:val="auto"/>
                <w:sz w:val="24"/>
                <w:szCs w:val="24"/>
                <w:highlight w:val="none"/>
                <w:lang w:val="en-US" w:eastAsia="zh-CN"/>
              </w:rPr>
              <w:t xml:space="preserve">5  </w:t>
            </w:r>
            <w:r>
              <w:rPr>
                <w:rFonts w:hint="default"/>
                <w:b/>
                <w:bCs/>
                <w:color w:val="auto"/>
                <w:sz w:val="24"/>
                <w:szCs w:val="24"/>
                <w:highlight w:val="none"/>
              </w:rPr>
              <w:t>《浙江省大运河核心监控区建设项目准入负面清单》符合性分析</w:t>
            </w:r>
          </w:p>
          <w:p w14:paraId="23E7310A">
            <w:pPr>
              <w:spacing w:line="360" w:lineRule="auto"/>
              <w:ind w:firstLine="420" w:firstLineChars="200"/>
              <w:rPr>
                <w:b/>
                <w:bCs/>
                <w:color w:val="auto"/>
                <w:szCs w:val="21"/>
                <w:highlight w:val="none"/>
              </w:rPr>
            </w:pPr>
            <w:r>
              <w:rPr>
                <w:rFonts w:hint="default" w:ascii="Times New Roman" w:hAnsi="Times New Roman"/>
                <w:color w:val="auto"/>
                <w:kern w:val="0"/>
                <w:highlight w:val="none"/>
              </w:rPr>
              <w:t>根据</w:t>
            </w:r>
            <w:r>
              <w:rPr>
                <w:rFonts w:ascii="Times New Roman" w:hAnsi="Times New Roman"/>
                <w:color w:val="auto"/>
                <w:kern w:val="0"/>
                <w:highlight w:val="none"/>
              </w:rPr>
              <w:t>《浙江省大运河核心监控区建设项目准负面清单》（浙发改社会</w:t>
            </w:r>
            <w:r>
              <w:rPr>
                <w:color w:val="auto"/>
                <w:kern w:val="0"/>
                <w:highlight w:val="none"/>
              </w:rPr>
              <w:t>[2023]100</w:t>
            </w:r>
            <w:r>
              <w:rPr>
                <w:rFonts w:ascii="Times New Roman" w:hAnsi="Times New Roman"/>
                <w:color w:val="auto"/>
                <w:kern w:val="0"/>
                <w:highlight w:val="none"/>
              </w:rPr>
              <w:t>号）</w:t>
            </w:r>
            <w:r>
              <w:rPr>
                <w:rFonts w:hint="default" w:ascii="Times New Roman" w:hAnsi="Times New Roman"/>
                <w:color w:val="auto"/>
                <w:kern w:val="0"/>
                <w:highlight w:val="none"/>
              </w:rPr>
              <w:t>，</w:t>
            </w:r>
            <w:r>
              <w:rPr>
                <w:rFonts w:ascii="Times New Roman" w:hAnsi="Times New Roman" w:cs="Times New Roman"/>
                <w:color w:val="auto"/>
                <w:highlight w:val="none"/>
                <w:shd w:val="clear" w:color="auto" w:fill="FFFFFF"/>
              </w:rPr>
              <w:t>负面清单适用于遗产区、缓冲区以外的核心监控区。</w:t>
            </w:r>
            <w:r>
              <w:rPr>
                <w:rFonts w:hint="default" w:ascii="Times New Roman" w:hAnsi="Times New Roman" w:cs="Times New Roman"/>
                <w:color w:val="auto"/>
                <w:highlight w:val="none"/>
                <w:shd w:val="clear" w:color="auto" w:fill="FFFFFF"/>
              </w:rPr>
              <w:t>根据</w:t>
            </w:r>
            <w:r>
              <w:rPr>
                <w:rFonts w:hint="default"/>
                <w:color w:val="auto"/>
                <w:highlight w:val="none"/>
              </w:rPr>
              <w:t>《杭州市大运河世界文化遗产保护规划（成果稿）》，本项目位于环境控制区，属于</w:t>
            </w:r>
            <w:r>
              <w:rPr>
                <w:rFonts w:ascii="Times New Roman" w:hAnsi="Times New Roman" w:cs="Times New Roman"/>
                <w:color w:val="auto"/>
                <w:highlight w:val="none"/>
                <w:shd w:val="clear" w:color="auto" w:fill="FFFFFF"/>
              </w:rPr>
              <w:t>遗产区、缓冲区以外的核心监控区</w:t>
            </w:r>
            <w:r>
              <w:rPr>
                <w:rFonts w:hint="default" w:ascii="Times New Roman" w:hAnsi="Times New Roman" w:cs="Times New Roman"/>
                <w:color w:val="auto"/>
                <w:highlight w:val="none"/>
                <w:shd w:val="clear" w:color="auto" w:fill="FFFFFF"/>
              </w:rPr>
              <w:t>，</w:t>
            </w:r>
            <w:r>
              <w:rPr>
                <w:rFonts w:ascii="Times New Roman" w:hAnsi="Times New Roman"/>
                <w:color w:val="auto"/>
                <w:kern w:val="0"/>
                <w:highlight w:val="none"/>
              </w:rPr>
              <w:t>项目符合性分析如</w:t>
            </w:r>
            <w:r>
              <w:rPr>
                <w:rFonts w:hint="default" w:ascii="Times New Roman" w:hAnsi="Times New Roman"/>
                <w:color w:val="auto"/>
                <w:kern w:val="0"/>
                <w:highlight w:val="none"/>
                <w:lang w:val="en-US" w:eastAsia="zh-CN"/>
              </w:rPr>
              <w:t>表1-12所示。</w:t>
            </w:r>
          </w:p>
          <w:p w14:paraId="2E23A257">
            <w:pPr>
              <w:keepNext/>
              <w:keepLines/>
              <w:pageBreakBefore w:val="0"/>
              <w:widowControl/>
              <w:numPr>
                <w:ilvl w:val="0"/>
                <w:numId w:val="1"/>
              </w:numPr>
              <w:tabs>
                <w:tab w:val="left" w:pos="0"/>
              </w:tabs>
              <w:kinsoku/>
              <w:wordWrap/>
              <w:overflowPunct/>
              <w:topLinePunct w:val="0"/>
              <w:autoSpaceDE/>
              <w:autoSpaceDN/>
              <w:bidi w:val="0"/>
              <w:adjustRightInd/>
              <w:snapToGrid/>
              <w:spacing w:line="360" w:lineRule="auto"/>
              <w:ind w:left="1134" w:hanging="1134"/>
              <w:jc w:val="center"/>
              <w:textAlignment w:val="auto"/>
              <w:outlineLvl w:val="3"/>
              <w:rPr>
                <w:rFonts w:hint="default" w:ascii="Times New Roman" w:hAnsi="Times New Roman" w:eastAsia="黑体" w:cs="Times New Roman"/>
                <w:b w:val="0"/>
                <w:bCs w:val="0"/>
                <w:color w:val="auto"/>
                <w:szCs w:val="21"/>
                <w:highlight w:val="none"/>
              </w:rPr>
            </w:pPr>
            <w:r>
              <w:rPr>
                <w:rFonts w:hint="default" w:ascii="Times New Roman" w:hAnsi="Times New Roman" w:eastAsia="黑体" w:cs="Times New Roman"/>
                <w:b w:val="0"/>
                <w:bCs w:val="0"/>
                <w:color w:val="auto"/>
                <w:kern w:val="0"/>
                <w:szCs w:val="21"/>
                <w:highlight w:val="none"/>
                <w:lang w:val="zh-CN"/>
              </w:rPr>
              <w:t>项目与《</w:t>
            </w:r>
            <w:r>
              <w:rPr>
                <w:rFonts w:hint="default" w:ascii="Times New Roman" w:hAnsi="Times New Roman" w:eastAsia="黑体" w:cs="Times New Roman"/>
                <w:b w:val="0"/>
                <w:bCs w:val="0"/>
                <w:color w:val="auto"/>
                <w:szCs w:val="21"/>
                <w:highlight w:val="none"/>
              </w:rPr>
              <w:t>浙江省大运河核心监控区建设项目准入负面清单</w:t>
            </w:r>
            <w:r>
              <w:rPr>
                <w:rFonts w:hint="default" w:ascii="Times New Roman" w:hAnsi="Times New Roman" w:eastAsia="黑体" w:cs="Times New Roman"/>
                <w:b w:val="0"/>
                <w:bCs w:val="0"/>
                <w:color w:val="auto"/>
                <w:kern w:val="0"/>
                <w:szCs w:val="21"/>
                <w:highlight w:val="none"/>
                <w:lang w:val="zh-CN"/>
              </w:rPr>
              <w:t>》</w:t>
            </w:r>
            <w:r>
              <w:rPr>
                <w:rFonts w:hint="default" w:ascii="Times New Roman" w:hAnsi="Times New Roman" w:eastAsia="黑体" w:cs="Times New Roman"/>
                <w:b w:val="0"/>
                <w:bCs w:val="0"/>
                <w:color w:val="auto"/>
                <w:kern w:val="0"/>
                <w:szCs w:val="21"/>
                <w:highlight w:val="none"/>
              </w:rPr>
              <w:t>有关内容</w:t>
            </w:r>
            <w:r>
              <w:rPr>
                <w:rFonts w:hint="default" w:ascii="Times New Roman" w:hAnsi="Times New Roman" w:eastAsia="黑体" w:cs="Times New Roman"/>
                <w:b w:val="0"/>
                <w:bCs w:val="0"/>
                <w:color w:val="auto"/>
                <w:kern w:val="0"/>
                <w:szCs w:val="21"/>
                <w:highlight w:val="none"/>
                <w:lang w:val="zh-CN"/>
              </w:rPr>
              <w:t>符合性分析</w:t>
            </w:r>
          </w:p>
          <w:tbl>
            <w:tblPr>
              <w:tblStyle w:val="24"/>
              <w:tblW w:w="4989" w:type="pct"/>
              <w:tblInd w:w="-8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57" w:type="dxa"/>
                <w:bottom w:w="0" w:type="dxa"/>
                <w:right w:w="57" w:type="dxa"/>
              </w:tblCellMar>
            </w:tblPr>
            <w:tblGrid>
              <w:gridCol w:w="489"/>
              <w:gridCol w:w="4488"/>
              <w:gridCol w:w="2329"/>
              <w:gridCol w:w="512"/>
            </w:tblGrid>
            <w:tr w14:paraId="30E072E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283" w:hRule="atLeast"/>
              </w:trPr>
              <w:tc>
                <w:tcPr>
                  <w:tcW w:w="491" w:type="dxa"/>
                  <w:tcBorders>
                    <w:tl2br w:val="nil"/>
                    <w:tr2bl w:val="nil"/>
                  </w:tcBorders>
                  <w:vAlign w:val="center"/>
                </w:tcPr>
                <w:p w14:paraId="5F9F0D3B">
                  <w:pPr>
                    <w:ind w:left="-105" w:leftChars="-50" w:right="-105" w:rightChars="-50"/>
                    <w:jc w:val="center"/>
                    <w:rPr>
                      <w:color w:val="auto"/>
                      <w:sz w:val="18"/>
                      <w:szCs w:val="18"/>
                      <w:highlight w:val="none"/>
                    </w:rPr>
                  </w:pPr>
                  <w:r>
                    <w:rPr>
                      <w:rFonts w:ascii="Times New Roman" w:hAnsi="Times New Roman"/>
                      <w:color w:val="auto"/>
                      <w:sz w:val="18"/>
                      <w:szCs w:val="18"/>
                      <w:highlight w:val="none"/>
                    </w:rPr>
                    <w:t>序号</w:t>
                  </w:r>
                </w:p>
              </w:tc>
              <w:tc>
                <w:tcPr>
                  <w:tcW w:w="4516" w:type="dxa"/>
                  <w:tcBorders>
                    <w:tl2br w:val="nil"/>
                    <w:tr2bl w:val="nil"/>
                  </w:tcBorders>
                  <w:vAlign w:val="center"/>
                </w:tcPr>
                <w:p w14:paraId="3326845A">
                  <w:pPr>
                    <w:jc w:val="center"/>
                    <w:rPr>
                      <w:color w:val="auto"/>
                      <w:sz w:val="18"/>
                      <w:szCs w:val="18"/>
                      <w:highlight w:val="none"/>
                    </w:rPr>
                  </w:pPr>
                  <w:r>
                    <w:rPr>
                      <w:rFonts w:ascii="Times New Roman" w:hAnsi="Times New Roman"/>
                      <w:color w:val="auto"/>
                      <w:sz w:val="18"/>
                      <w:szCs w:val="18"/>
                      <w:highlight w:val="none"/>
                    </w:rPr>
                    <w:t>有关要求</w:t>
                  </w:r>
                </w:p>
              </w:tc>
              <w:tc>
                <w:tcPr>
                  <w:tcW w:w="2341" w:type="dxa"/>
                  <w:tcBorders>
                    <w:tl2br w:val="nil"/>
                    <w:tr2bl w:val="nil"/>
                  </w:tcBorders>
                  <w:vAlign w:val="center"/>
                </w:tcPr>
                <w:p w14:paraId="59F4A08E">
                  <w:pPr>
                    <w:jc w:val="center"/>
                    <w:rPr>
                      <w:color w:val="auto"/>
                      <w:sz w:val="18"/>
                      <w:szCs w:val="18"/>
                      <w:highlight w:val="none"/>
                    </w:rPr>
                  </w:pPr>
                  <w:r>
                    <w:rPr>
                      <w:rFonts w:ascii="Times New Roman" w:hAnsi="Times New Roman"/>
                      <w:color w:val="auto"/>
                      <w:sz w:val="18"/>
                      <w:szCs w:val="18"/>
                      <w:highlight w:val="none"/>
                    </w:rPr>
                    <w:t>项目情况</w:t>
                  </w:r>
                </w:p>
              </w:tc>
              <w:tc>
                <w:tcPr>
                  <w:tcW w:w="514" w:type="dxa"/>
                  <w:tcBorders>
                    <w:tl2br w:val="nil"/>
                    <w:tr2bl w:val="nil"/>
                  </w:tcBorders>
                  <w:vAlign w:val="center"/>
                </w:tcPr>
                <w:p w14:paraId="5E22AC99">
                  <w:pPr>
                    <w:jc w:val="center"/>
                    <w:rPr>
                      <w:color w:val="auto"/>
                      <w:sz w:val="18"/>
                      <w:szCs w:val="18"/>
                      <w:highlight w:val="none"/>
                    </w:rPr>
                  </w:pPr>
                  <w:r>
                    <w:rPr>
                      <w:rFonts w:ascii="Times New Roman" w:hAnsi="Times New Roman"/>
                      <w:color w:val="auto"/>
                      <w:sz w:val="18"/>
                      <w:szCs w:val="18"/>
                      <w:highlight w:val="none"/>
                    </w:rPr>
                    <w:t>符合性</w:t>
                  </w:r>
                </w:p>
              </w:tc>
            </w:tr>
            <w:tr w14:paraId="5BA5947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283" w:hRule="atLeast"/>
              </w:trPr>
              <w:tc>
                <w:tcPr>
                  <w:tcW w:w="491" w:type="dxa"/>
                  <w:tcBorders>
                    <w:tl2br w:val="nil"/>
                    <w:tr2bl w:val="nil"/>
                  </w:tcBorders>
                  <w:vAlign w:val="center"/>
                </w:tcPr>
                <w:p w14:paraId="4444A3E0">
                  <w:pPr>
                    <w:jc w:val="center"/>
                    <w:rPr>
                      <w:color w:val="auto"/>
                      <w:sz w:val="18"/>
                      <w:szCs w:val="18"/>
                      <w:highlight w:val="none"/>
                    </w:rPr>
                  </w:pPr>
                  <w:r>
                    <w:rPr>
                      <w:color w:val="auto"/>
                      <w:sz w:val="18"/>
                      <w:szCs w:val="18"/>
                      <w:highlight w:val="none"/>
                    </w:rPr>
                    <w:t>1</w:t>
                  </w:r>
                </w:p>
              </w:tc>
              <w:tc>
                <w:tcPr>
                  <w:tcW w:w="4516" w:type="dxa"/>
                  <w:tcBorders>
                    <w:tl2br w:val="nil"/>
                    <w:tr2bl w:val="nil"/>
                  </w:tcBorders>
                  <w:vAlign w:val="center"/>
                </w:tcPr>
                <w:p w14:paraId="192B16A8">
                  <w:pPr>
                    <w:jc w:val="center"/>
                    <w:rPr>
                      <w:color w:val="auto"/>
                      <w:sz w:val="18"/>
                      <w:szCs w:val="18"/>
                      <w:highlight w:val="none"/>
                    </w:rPr>
                  </w:pPr>
                  <w:r>
                    <w:rPr>
                      <w:rFonts w:ascii="Times New Roman" w:hAnsi="Times New Roman"/>
                      <w:color w:val="auto"/>
                      <w:sz w:val="18"/>
                      <w:szCs w:val="18"/>
                      <w:highlight w:val="none"/>
                    </w:rPr>
                    <w:t>核心监控区河道管理范围内禁止建设妨碍行洪的建筑物、构筑物以及从事影响河势稳定、危害河岸堤防安全和其他妨碍河道行洪的活动；禁止建设住宅、商业用房、办公用房、厂房等与河道保护和水工程运行管理无关的建筑物、构筑物；禁止利用船舶、船坞等水上设施侵占河道水域从事餐饮、娱乐等经营活动；禁止弃置、堆放阻碍行洪的物体和种植阻碍行洪的林木及高秆作物。大运河河道管理范围由县</w:t>
                  </w:r>
                  <w:r>
                    <w:rPr>
                      <w:color w:val="auto"/>
                      <w:sz w:val="18"/>
                      <w:szCs w:val="18"/>
                      <w:highlight w:val="none"/>
                    </w:rPr>
                    <w:t>(</w:t>
                  </w:r>
                  <w:r>
                    <w:rPr>
                      <w:rFonts w:ascii="Times New Roman" w:hAnsi="Times New Roman"/>
                      <w:color w:val="auto"/>
                      <w:sz w:val="18"/>
                      <w:szCs w:val="18"/>
                      <w:highlight w:val="none"/>
                    </w:rPr>
                    <w:t>市、区</w:t>
                  </w:r>
                  <w:r>
                    <w:rPr>
                      <w:color w:val="auto"/>
                      <w:sz w:val="18"/>
                      <w:szCs w:val="18"/>
                      <w:highlight w:val="none"/>
                    </w:rPr>
                    <w:t>)</w:t>
                  </w:r>
                  <w:r>
                    <w:rPr>
                      <w:rFonts w:ascii="Times New Roman" w:hAnsi="Times New Roman"/>
                      <w:color w:val="auto"/>
                      <w:sz w:val="18"/>
                      <w:szCs w:val="18"/>
                      <w:highlight w:val="none"/>
                    </w:rPr>
                    <w:t>人民政府划定。</w:t>
                  </w:r>
                </w:p>
              </w:tc>
              <w:tc>
                <w:tcPr>
                  <w:tcW w:w="2341" w:type="dxa"/>
                  <w:tcBorders>
                    <w:tl2br w:val="nil"/>
                    <w:tr2bl w:val="nil"/>
                  </w:tcBorders>
                  <w:vAlign w:val="center"/>
                </w:tcPr>
                <w:p w14:paraId="2072D74B">
                  <w:pPr>
                    <w:jc w:val="center"/>
                    <w:rPr>
                      <w:color w:val="auto"/>
                      <w:sz w:val="18"/>
                      <w:szCs w:val="18"/>
                      <w:highlight w:val="none"/>
                    </w:rPr>
                  </w:pPr>
                  <w:r>
                    <w:rPr>
                      <w:rFonts w:ascii="Times New Roman" w:hAnsi="Times New Roman"/>
                      <w:color w:val="auto"/>
                      <w:sz w:val="18"/>
                      <w:szCs w:val="18"/>
                      <w:highlight w:val="none"/>
                    </w:rPr>
                    <w:t>本项目</w:t>
                  </w:r>
                  <w:r>
                    <w:rPr>
                      <w:rFonts w:hint="default" w:ascii="Times New Roman" w:hAnsi="Times New Roman"/>
                      <w:color w:val="auto"/>
                      <w:sz w:val="18"/>
                      <w:szCs w:val="18"/>
                      <w:highlight w:val="none"/>
                    </w:rPr>
                    <w:t>为研发项目</w:t>
                  </w:r>
                  <w:r>
                    <w:rPr>
                      <w:rFonts w:ascii="Times New Roman" w:hAnsi="Times New Roman"/>
                      <w:color w:val="auto"/>
                      <w:sz w:val="18"/>
                      <w:szCs w:val="18"/>
                      <w:highlight w:val="none"/>
                    </w:rPr>
                    <w:t>，不新增用地，不新增建筑物，</w:t>
                  </w:r>
                  <w:r>
                    <w:rPr>
                      <w:rFonts w:hint="default" w:ascii="Times New Roman" w:hAnsi="Times New Roman"/>
                      <w:color w:val="auto"/>
                      <w:sz w:val="18"/>
                      <w:szCs w:val="18"/>
                      <w:highlight w:val="none"/>
                    </w:rPr>
                    <w:t>不涉及所列活动</w:t>
                  </w:r>
                  <w:r>
                    <w:rPr>
                      <w:rFonts w:ascii="Times New Roman" w:hAnsi="Times New Roman"/>
                      <w:color w:val="auto"/>
                      <w:sz w:val="18"/>
                      <w:szCs w:val="18"/>
                      <w:highlight w:val="none"/>
                    </w:rPr>
                    <w:t>。</w:t>
                  </w:r>
                </w:p>
              </w:tc>
              <w:tc>
                <w:tcPr>
                  <w:tcW w:w="514" w:type="dxa"/>
                  <w:tcBorders>
                    <w:tl2br w:val="nil"/>
                    <w:tr2bl w:val="nil"/>
                  </w:tcBorders>
                  <w:vAlign w:val="center"/>
                </w:tcPr>
                <w:p w14:paraId="4B2CFD0F">
                  <w:pPr>
                    <w:jc w:val="center"/>
                    <w:rPr>
                      <w:color w:val="auto"/>
                      <w:sz w:val="18"/>
                      <w:szCs w:val="18"/>
                      <w:highlight w:val="none"/>
                    </w:rPr>
                  </w:pPr>
                  <w:r>
                    <w:rPr>
                      <w:rFonts w:ascii="Times New Roman" w:hAnsi="Times New Roman"/>
                      <w:color w:val="auto"/>
                      <w:sz w:val="18"/>
                      <w:szCs w:val="18"/>
                      <w:highlight w:val="none"/>
                    </w:rPr>
                    <w:t>符合</w:t>
                  </w:r>
                </w:p>
              </w:tc>
            </w:tr>
            <w:tr w14:paraId="337BA08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283" w:hRule="atLeast"/>
              </w:trPr>
              <w:tc>
                <w:tcPr>
                  <w:tcW w:w="491" w:type="dxa"/>
                  <w:tcBorders>
                    <w:tl2br w:val="nil"/>
                    <w:tr2bl w:val="nil"/>
                  </w:tcBorders>
                  <w:vAlign w:val="center"/>
                </w:tcPr>
                <w:p w14:paraId="7DAF9466">
                  <w:pPr>
                    <w:jc w:val="center"/>
                    <w:rPr>
                      <w:color w:val="auto"/>
                      <w:sz w:val="18"/>
                      <w:szCs w:val="18"/>
                      <w:highlight w:val="none"/>
                    </w:rPr>
                  </w:pPr>
                  <w:r>
                    <w:rPr>
                      <w:color w:val="auto"/>
                      <w:sz w:val="18"/>
                      <w:szCs w:val="18"/>
                      <w:highlight w:val="none"/>
                    </w:rPr>
                    <w:t>2</w:t>
                  </w:r>
                </w:p>
              </w:tc>
              <w:tc>
                <w:tcPr>
                  <w:tcW w:w="4516" w:type="dxa"/>
                  <w:tcBorders>
                    <w:tl2br w:val="nil"/>
                    <w:tr2bl w:val="nil"/>
                  </w:tcBorders>
                  <w:vAlign w:val="center"/>
                </w:tcPr>
                <w:p w14:paraId="52CB757E">
                  <w:pPr>
                    <w:rPr>
                      <w:color w:val="auto"/>
                      <w:sz w:val="18"/>
                      <w:szCs w:val="18"/>
                      <w:highlight w:val="none"/>
                    </w:rPr>
                  </w:pPr>
                  <w:r>
                    <w:rPr>
                      <w:rFonts w:ascii="Times New Roman" w:hAnsi="Times New Roman"/>
                      <w:color w:val="auto"/>
                      <w:sz w:val="18"/>
                      <w:szCs w:val="18"/>
                      <w:highlight w:val="none"/>
                    </w:rPr>
                    <w:t>核心监控区内产业项目准入必须依据《产业结构调整指导目录（</w:t>
                  </w:r>
                  <w:r>
                    <w:rPr>
                      <w:color w:val="auto"/>
                      <w:sz w:val="18"/>
                      <w:szCs w:val="18"/>
                      <w:highlight w:val="none"/>
                    </w:rPr>
                    <w:t>2019</w:t>
                  </w:r>
                  <w:r>
                    <w:rPr>
                      <w:rFonts w:ascii="Times New Roman" w:hAnsi="Times New Roman"/>
                      <w:color w:val="auto"/>
                      <w:sz w:val="18"/>
                      <w:szCs w:val="18"/>
                      <w:highlight w:val="none"/>
                    </w:rPr>
                    <w:t>年本）》《市场准入负面清单（</w:t>
                  </w:r>
                  <w:r>
                    <w:rPr>
                      <w:color w:val="auto"/>
                      <w:sz w:val="18"/>
                      <w:szCs w:val="18"/>
                      <w:highlight w:val="none"/>
                    </w:rPr>
                    <w:t xml:space="preserve">2022 </w:t>
                  </w:r>
                  <w:r>
                    <w:rPr>
                      <w:rFonts w:ascii="Times New Roman" w:hAnsi="Times New Roman"/>
                      <w:color w:val="auto"/>
                      <w:sz w:val="18"/>
                      <w:szCs w:val="18"/>
                      <w:highlight w:val="none"/>
                    </w:rPr>
                    <w:t>年版）》《浙江省限制用地项目目录（</w:t>
                  </w:r>
                  <w:r>
                    <w:rPr>
                      <w:color w:val="auto"/>
                      <w:sz w:val="18"/>
                      <w:szCs w:val="18"/>
                      <w:highlight w:val="none"/>
                    </w:rPr>
                    <w:t>2014</w:t>
                  </w:r>
                  <w:r>
                    <w:rPr>
                      <w:rFonts w:ascii="Times New Roman" w:hAnsi="Times New Roman"/>
                      <w:color w:val="auto"/>
                      <w:sz w:val="18"/>
                      <w:szCs w:val="18"/>
                      <w:highlight w:val="none"/>
                    </w:rPr>
                    <w:t>年本）》和《浙江省禁止用地项目目录（</w:t>
                  </w:r>
                  <w:r>
                    <w:rPr>
                      <w:color w:val="auto"/>
                      <w:sz w:val="18"/>
                      <w:szCs w:val="18"/>
                      <w:highlight w:val="none"/>
                    </w:rPr>
                    <w:t>2014</w:t>
                  </w:r>
                  <w:r>
                    <w:rPr>
                      <w:rFonts w:ascii="Times New Roman" w:hAnsi="Times New Roman"/>
                      <w:color w:val="auto"/>
                      <w:sz w:val="18"/>
                      <w:szCs w:val="18"/>
                      <w:highlight w:val="none"/>
                    </w:rPr>
                    <w:t>年本）》等文件相关要求。对列入国家《产业结构调整指导目录</w:t>
                  </w:r>
                  <w:r>
                    <w:rPr>
                      <w:color w:val="auto"/>
                      <w:sz w:val="18"/>
                      <w:szCs w:val="18"/>
                      <w:highlight w:val="none"/>
                    </w:rPr>
                    <w:t>2019</w:t>
                  </w:r>
                  <w:r>
                    <w:rPr>
                      <w:rFonts w:ascii="Times New Roman" w:hAnsi="Times New Roman"/>
                      <w:color w:val="auto"/>
                      <w:sz w:val="18"/>
                      <w:szCs w:val="18"/>
                      <w:highlight w:val="none"/>
                    </w:rPr>
                    <w:t>年本》淘汰类中的落后生产工艺装备、落后产品投资项目，一律不得核准、备案。禁止向落后产能项目和严重过剩产能行业项目供应土地。禁止企业扩建《产业结构调整指导目录（</w:t>
                  </w:r>
                  <w:r>
                    <w:rPr>
                      <w:color w:val="auto"/>
                      <w:sz w:val="18"/>
                      <w:szCs w:val="18"/>
                      <w:highlight w:val="none"/>
                    </w:rPr>
                    <w:t>2019</w:t>
                  </w:r>
                  <w:r>
                    <w:rPr>
                      <w:rFonts w:ascii="Times New Roman" w:hAnsi="Times New Roman"/>
                      <w:color w:val="auto"/>
                      <w:sz w:val="18"/>
                      <w:szCs w:val="18"/>
                      <w:highlight w:val="none"/>
                    </w:rPr>
                    <w:t>年本）》中的限制类项目。项目选址空间上必须符合各级国土空间规划、《浙江省大运河核心监控区国土空间管控通则》、浙江省</w:t>
                  </w:r>
                  <w:r>
                    <w:rPr>
                      <w:color w:val="auto"/>
                      <w:sz w:val="18"/>
                      <w:szCs w:val="18"/>
                      <w:highlight w:val="none"/>
                    </w:rPr>
                    <w:t>“</w:t>
                  </w:r>
                  <w:r>
                    <w:rPr>
                      <w:rFonts w:ascii="Times New Roman" w:hAnsi="Times New Roman"/>
                      <w:color w:val="auto"/>
                      <w:sz w:val="18"/>
                      <w:szCs w:val="18"/>
                      <w:highlight w:val="none"/>
                    </w:rPr>
                    <w:t>三线一单</w:t>
                  </w:r>
                  <w:r>
                    <w:rPr>
                      <w:color w:val="auto"/>
                      <w:sz w:val="18"/>
                      <w:szCs w:val="18"/>
                      <w:highlight w:val="none"/>
                    </w:rPr>
                    <w:t>”</w:t>
                  </w:r>
                  <w:r>
                    <w:rPr>
                      <w:rFonts w:ascii="Times New Roman" w:hAnsi="Times New Roman"/>
                      <w:color w:val="auto"/>
                      <w:sz w:val="18"/>
                      <w:szCs w:val="18"/>
                      <w:highlight w:val="none"/>
                    </w:rPr>
                    <w:t>编制成果和岸线保护与利用相关规划规定。</w:t>
                  </w:r>
                </w:p>
              </w:tc>
              <w:tc>
                <w:tcPr>
                  <w:tcW w:w="2341" w:type="dxa"/>
                  <w:tcBorders>
                    <w:tl2br w:val="nil"/>
                    <w:tr2bl w:val="nil"/>
                  </w:tcBorders>
                  <w:vAlign w:val="center"/>
                </w:tcPr>
                <w:p w14:paraId="45FAF911">
                  <w:pPr>
                    <w:rPr>
                      <w:color w:val="auto"/>
                      <w:sz w:val="18"/>
                      <w:szCs w:val="18"/>
                      <w:highlight w:val="none"/>
                    </w:rPr>
                  </w:pPr>
                  <w:r>
                    <w:rPr>
                      <w:color w:val="auto"/>
                      <w:sz w:val="18"/>
                      <w:szCs w:val="18"/>
                      <w:highlight w:val="none"/>
                    </w:rPr>
                    <w:t>本项目为研发项目，符合《产业结构调整指导目录（2024年本）》、《市场准入负面清单(2025年版)》、</w:t>
                  </w:r>
                  <w:r>
                    <w:rPr>
                      <w:bCs/>
                      <w:color w:val="auto"/>
                      <w:sz w:val="18"/>
                      <w:szCs w:val="18"/>
                      <w:highlight w:val="none"/>
                    </w:rPr>
                    <w:t>《</w:t>
                  </w:r>
                  <w:r>
                    <w:rPr>
                      <w:rStyle w:val="31"/>
                      <w:color w:val="auto"/>
                      <w:kern w:val="0"/>
                      <w:sz w:val="18"/>
                      <w:szCs w:val="18"/>
                      <w:highlight w:val="none"/>
                    </w:rPr>
                    <w:t>自然资源要素支撑产业高质量发展指导目录（2024年本）</w:t>
                  </w:r>
                  <w:r>
                    <w:rPr>
                      <w:bCs/>
                      <w:color w:val="auto"/>
                      <w:sz w:val="18"/>
                      <w:szCs w:val="18"/>
                      <w:highlight w:val="none"/>
                    </w:rPr>
                    <w:t>》</w:t>
                  </w:r>
                  <w:r>
                    <w:rPr>
                      <w:rFonts w:hint="default"/>
                      <w:bCs/>
                      <w:color w:val="auto"/>
                      <w:sz w:val="18"/>
                      <w:szCs w:val="18"/>
                      <w:highlight w:val="none"/>
                    </w:rPr>
                    <w:t>等文件相关要求</w:t>
                  </w:r>
                  <w:r>
                    <w:rPr>
                      <w:color w:val="auto"/>
                      <w:sz w:val="18"/>
                      <w:szCs w:val="18"/>
                      <w:highlight w:val="none"/>
                    </w:rPr>
                    <w:t>，项目不属于限制发展和禁止发展项目；项目不新增用地，符合国土空间规划；项目符合《杭州市生态环境分区管控动态更新方案》相关要求。</w:t>
                  </w:r>
                </w:p>
              </w:tc>
              <w:tc>
                <w:tcPr>
                  <w:tcW w:w="514" w:type="dxa"/>
                  <w:tcBorders>
                    <w:tl2br w:val="nil"/>
                    <w:tr2bl w:val="nil"/>
                  </w:tcBorders>
                  <w:vAlign w:val="center"/>
                </w:tcPr>
                <w:p w14:paraId="3F8BDAFA">
                  <w:pPr>
                    <w:jc w:val="center"/>
                    <w:rPr>
                      <w:color w:val="auto"/>
                      <w:sz w:val="18"/>
                      <w:szCs w:val="18"/>
                      <w:highlight w:val="none"/>
                    </w:rPr>
                  </w:pPr>
                  <w:r>
                    <w:rPr>
                      <w:rFonts w:ascii="Times New Roman" w:hAnsi="Times New Roman"/>
                      <w:color w:val="auto"/>
                      <w:sz w:val="18"/>
                      <w:szCs w:val="18"/>
                      <w:highlight w:val="none"/>
                    </w:rPr>
                    <w:t>符合</w:t>
                  </w:r>
                </w:p>
              </w:tc>
            </w:tr>
            <w:tr w14:paraId="4EBA50D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283" w:hRule="atLeast"/>
              </w:trPr>
              <w:tc>
                <w:tcPr>
                  <w:tcW w:w="491" w:type="dxa"/>
                  <w:tcBorders>
                    <w:tl2br w:val="nil"/>
                    <w:tr2bl w:val="nil"/>
                  </w:tcBorders>
                  <w:vAlign w:val="center"/>
                </w:tcPr>
                <w:p w14:paraId="74E533F5">
                  <w:pPr>
                    <w:jc w:val="center"/>
                    <w:rPr>
                      <w:color w:val="auto"/>
                      <w:sz w:val="18"/>
                      <w:szCs w:val="18"/>
                      <w:highlight w:val="none"/>
                    </w:rPr>
                  </w:pPr>
                  <w:r>
                    <w:rPr>
                      <w:color w:val="auto"/>
                      <w:sz w:val="18"/>
                      <w:szCs w:val="18"/>
                      <w:highlight w:val="none"/>
                    </w:rPr>
                    <w:t>3</w:t>
                  </w:r>
                </w:p>
              </w:tc>
              <w:tc>
                <w:tcPr>
                  <w:tcW w:w="4516" w:type="dxa"/>
                  <w:tcBorders>
                    <w:tl2br w:val="nil"/>
                    <w:tr2bl w:val="nil"/>
                  </w:tcBorders>
                  <w:vAlign w:val="center"/>
                </w:tcPr>
                <w:p w14:paraId="3A778A81">
                  <w:pPr>
                    <w:rPr>
                      <w:color w:val="auto"/>
                      <w:sz w:val="18"/>
                      <w:szCs w:val="18"/>
                      <w:highlight w:val="none"/>
                    </w:rPr>
                  </w:pPr>
                  <w:r>
                    <w:rPr>
                      <w:rFonts w:ascii="Times New Roman" w:hAnsi="Times New Roman"/>
                      <w:color w:val="auto"/>
                      <w:sz w:val="18"/>
                      <w:szCs w:val="18"/>
                      <w:highlight w:val="none"/>
                    </w:rPr>
                    <w:t>核心监控区内一律不得新建、扩建不符合《</w:t>
                  </w:r>
                  <w:bookmarkStart w:id="11" w:name="OLE_LINK13"/>
                  <w:bookmarkStart w:id="12" w:name="OLE_LINK14"/>
                  <w:r>
                    <w:rPr>
                      <w:rFonts w:ascii="Times New Roman" w:hAnsi="Times New Roman"/>
                      <w:color w:val="auto"/>
                      <w:sz w:val="18"/>
                      <w:szCs w:val="18"/>
                      <w:highlight w:val="none"/>
                    </w:rPr>
                    <w:t>浙江省工业等项目建设用地控制指标（</w:t>
                  </w:r>
                  <w:r>
                    <w:rPr>
                      <w:color w:val="auto"/>
                      <w:sz w:val="18"/>
                      <w:szCs w:val="18"/>
                      <w:highlight w:val="none"/>
                    </w:rPr>
                    <w:t>2014</w:t>
                  </w:r>
                  <w:r>
                    <w:rPr>
                      <w:rFonts w:ascii="Times New Roman" w:hAnsi="Times New Roman"/>
                      <w:color w:val="auto"/>
                      <w:sz w:val="18"/>
                      <w:szCs w:val="18"/>
                      <w:highlight w:val="none"/>
                    </w:rPr>
                    <w:t>）</w:t>
                  </w:r>
                  <w:bookmarkEnd w:id="11"/>
                  <w:bookmarkEnd w:id="12"/>
                  <w:r>
                    <w:rPr>
                      <w:rFonts w:ascii="Times New Roman" w:hAnsi="Times New Roman"/>
                      <w:color w:val="auto"/>
                      <w:sz w:val="18"/>
                      <w:szCs w:val="18"/>
                      <w:highlight w:val="none"/>
                    </w:rPr>
                    <w:t>》的项目。</w:t>
                  </w:r>
                </w:p>
              </w:tc>
              <w:tc>
                <w:tcPr>
                  <w:tcW w:w="2341" w:type="dxa"/>
                  <w:tcBorders>
                    <w:tl2br w:val="nil"/>
                    <w:tr2bl w:val="nil"/>
                  </w:tcBorders>
                  <w:vAlign w:val="center"/>
                </w:tcPr>
                <w:p w14:paraId="521E4BCF">
                  <w:pPr>
                    <w:rPr>
                      <w:color w:val="auto"/>
                      <w:sz w:val="18"/>
                      <w:szCs w:val="18"/>
                      <w:highlight w:val="none"/>
                    </w:rPr>
                  </w:pPr>
                  <w:r>
                    <w:rPr>
                      <w:rFonts w:ascii="Times New Roman" w:hAnsi="Times New Roman"/>
                      <w:color w:val="auto"/>
                      <w:sz w:val="18"/>
                      <w:szCs w:val="18"/>
                      <w:highlight w:val="none"/>
                    </w:rPr>
                    <w:t>本项目为</w:t>
                  </w:r>
                  <w:r>
                    <w:rPr>
                      <w:rFonts w:hint="default" w:ascii="Times New Roman" w:hAnsi="Times New Roman"/>
                      <w:color w:val="auto"/>
                      <w:sz w:val="18"/>
                      <w:szCs w:val="18"/>
                      <w:highlight w:val="none"/>
                    </w:rPr>
                    <w:t>研发项目</w:t>
                  </w:r>
                  <w:r>
                    <w:rPr>
                      <w:rFonts w:ascii="Times New Roman" w:hAnsi="Times New Roman"/>
                      <w:color w:val="auto"/>
                      <w:sz w:val="18"/>
                      <w:szCs w:val="18"/>
                      <w:highlight w:val="none"/>
                    </w:rPr>
                    <w:t>，不属于工业项目。</w:t>
                  </w:r>
                </w:p>
              </w:tc>
              <w:tc>
                <w:tcPr>
                  <w:tcW w:w="514" w:type="dxa"/>
                  <w:tcBorders>
                    <w:tl2br w:val="nil"/>
                    <w:tr2bl w:val="nil"/>
                  </w:tcBorders>
                  <w:vAlign w:val="center"/>
                </w:tcPr>
                <w:p w14:paraId="46AF7FA5">
                  <w:pPr>
                    <w:jc w:val="center"/>
                    <w:rPr>
                      <w:color w:val="auto"/>
                      <w:sz w:val="18"/>
                      <w:szCs w:val="18"/>
                      <w:highlight w:val="none"/>
                    </w:rPr>
                  </w:pPr>
                  <w:r>
                    <w:rPr>
                      <w:rFonts w:ascii="Times New Roman" w:hAnsi="Times New Roman"/>
                      <w:color w:val="auto"/>
                      <w:sz w:val="18"/>
                      <w:szCs w:val="18"/>
                      <w:highlight w:val="none"/>
                    </w:rPr>
                    <w:t>符合</w:t>
                  </w:r>
                </w:p>
              </w:tc>
            </w:tr>
            <w:tr w14:paraId="5C754E1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283" w:hRule="atLeast"/>
              </w:trPr>
              <w:tc>
                <w:tcPr>
                  <w:tcW w:w="491" w:type="dxa"/>
                  <w:tcBorders>
                    <w:tl2br w:val="nil"/>
                    <w:tr2bl w:val="nil"/>
                  </w:tcBorders>
                  <w:vAlign w:val="center"/>
                </w:tcPr>
                <w:p w14:paraId="37D07C00">
                  <w:pPr>
                    <w:jc w:val="center"/>
                    <w:rPr>
                      <w:color w:val="auto"/>
                      <w:sz w:val="18"/>
                      <w:szCs w:val="18"/>
                      <w:highlight w:val="none"/>
                    </w:rPr>
                  </w:pPr>
                  <w:r>
                    <w:rPr>
                      <w:color w:val="auto"/>
                      <w:sz w:val="18"/>
                      <w:szCs w:val="18"/>
                      <w:highlight w:val="none"/>
                    </w:rPr>
                    <w:t>4</w:t>
                  </w:r>
                </w:p>
              </w:tc>
              <w:tc>
                <w:tcPr>
                  <w:tcW w:w="4516" w:type="dxa"/>
                  <w:tcBorders>
                    <w:tl2br w:val="nil"/>
                    <w:tr2bl w:val="nil"/>
                  </w:tcBorders>
                  <w:vAlign w:val="center"/>
                </w:tcPr>
                <w:p w14:paraId="2219C402">
                  <w:pPr>
                    <w:autoSpaceDE w:val="0"/>
                    <w:autoSpaceDN w:val="0"/>
                    <w:adjustRightInd w:val="0"/>
                    <w:rPr>
                      <w:color w:val="auto"/>
                      <w:sz w:val="18"/>
                      <w:szCs w:val="18"/>
                      <w:highlight w:val="none"/>
                    </w:rPr>
                  </w:pPr>
                  <w:r>
                    <w:rPr>
                      <w:rFonts w:ascii="Times New Roman" w:hAnsi="Times New Roman"/>
                      <w:color w:val="auto"/>
                      <w:sz w:val="18"/>
                      <w:szCs w:val="18"/>
                      <w:highlight w:val="none"/>
                    </w:rPr>
                    <w:t>核心监控区内禁止新建、扩建高风险、高污染、高耗水的建设项目。除位于产业园区内且符合园区主导产业的建设项目外，不得新建《建设项目环境影响评价分类管理名录（</w:t>
                  </w:r>
                  <w:r>
                    <w:rPr>
                      <w:color w:val="auto"/>
                      <w:sz w:val="18"/>
                      <w:szCs w:val="18"/>
                      <w:highlight w:val="none"/>
                    </w:rPr>
                    <w:t>2021</w:t>
                  </w:r>
                  <w:r>
                    <w:rPr>
                      <w:rFonts w:ascii="Times New Roman" w:hAnsi="Times New Roman"/>
                      <w:color w:val="auto"/>
                      <w:sz w:val="18"/>
                      <w:szCs w:val="18"/>
                      <w:highlight w:val="none"/>
                    </w:rPr>
                    <w:t>版）》需要编制环境影响报告书的建设项目。在大运河沿线，污水处理厂管网所在范围内禁止新增排污口。</w:t>
                  </w:r>
                </w:p>
              </w:tc>
              <w:tc>
                <w:tcPr>
                  <w:tcW w:w="2341" w:type="dxa"/>
                  <w:tcBorders>
                    <w:tl2br w:val="nil"/>
                    <w:tr2bl w:val="nil"/>
                  </w:tcBorders>
                  <w:vAlign w:val="center"/>
                </w:tcPr>
                <w:p w14:paraId="0DDF0A5C">
                  <w:pPr>
                    <w:rPr>
                      <w:color w:val="auto"/>
                      <w:sz w:val="18"/>
                      <w:szCs w:val="18"/>
                      <w:highlight w:val="none"/>
                    </w:rPr>
                  </w:pPr>
                  <w:r>
                    <w:rPr>
                      <w:rFonts w:ascii="Times New Roman" w:hAnsi="Times New Roman"/>
                      <w:color w:val="auto"/>
                      <w:sz w:val="18"/>
                      <w:szCs w:val="18"/>
                      <w:highlight w:val="none"/>
                    </w:rPr>
                    <w:t>项目</w:t>
                  </w:r>
                  <w:r>
                    <w:rPr>
                      <w:rFonts w:hint="default" w:ascii="Times New Roman" w:hAnsi="Times New Roman"/>
                      <w:color w:val="auto"/>
                      <w:sz w:val="18"/>
                      <w:szCs w:val="18"/>
                      <w:highlight w:val="none"/>
                    </w:rPr>
                    <w:t>为研发项目</w:t>
                  </w:r>
                  <w:r>
                    <w:rPr>
                      <w:rFonts w:ascii="Times New Roman" w:hAnsi="Times New Roman"/>
                      <w:color w:val="auto"/>
                      <w:sz w:val="18"/>
                      <w:szCs w:val="18"/>
                      <w:highlight w:val="none"/>
                    </w:rPr>
                    <w:t>，</w:t>
                  </w:r>
                  <w:r>
                    <w:rPr>
                      <w:rFonts w:hint="default" w:ascii="Times New Roman" w:hAnsi="Times New Roman"/>
                      <w:color w:val="auto"/>
                      <w:sz w:val="18"/>
                      <w:szCs w:val="18"/>
                      <w:highlight w:val="none"/>
                    </w:rPr>
                    <w:t>污染物排放量较低，不属于</w:t>
                  </w:r>
                  <w:r>
                    <w:rPr>
                      <w:rFonts w:ascii="Times New Roman" w:hAnsi="Times New Roman"/>
                      <w:color w:val="auto"/>
                      <w:sz w:val="18"/>
                      <w:szCs w:val="18"/>
                      <w:highlight w:val="none"/>
                    </w:rPr>
                    <w:t>高风险、高污染、高耗水的建设项目。本项目仅需编制环境影响报告表。</w:t>
                  </w:r>
                  <w:r>
                    <w:rPr>
                      <w:rFonts w:hint="default" w:ascii="Times New Roman" w:hAnsi="Times New Roman"/>
                      <w:color w:val="auto"/>
                      <w:sz w:val="18"/>
                      <w:szCs w:val="18"/>
                      <w:highlight w:val="none"/>
                    </w:rPr>
                    <w:t>项目废水纳管排放，不新增排污口。</w:t>
                  </w:r>
                </w:p>
              </w:tc>
              <w:tc>
                <w:tcPr>
                  <w:tcW w:w="514" w:type="dxa"/>
                  <w:tcBorders>
                    <w:tl2br w:val="nil"/>
                    <w:tr2bl w:val="nil"/>
                  </w:tcBorders>
                  <w:vAlign w:val="center"/>
                </w:tcPr>
                <w:p w14:paraId="2AD527A2">
                  <w:pPr>
                    <w:jc w:val="center"/>
                    <w:rPr>
                      <w:color w:val="auto"/>
                      <w:sz w:val="18"/>
                      <w:szCs w:val="18"/>
                      <w:highlight w:val="none"/>
                    </w:rPr>
                  </w:pPr>
                  <w:r>
                    <w:rPr>
                      <w:rFonts w:ascii="Times New Roman" w:hAnsi="Times New Roman"/>
                      <w:color w:val="auto"/>
                      <w:sz w:val="18"/>
                      <w:szCs w:val="18"/>
                      <w:highlight w:val="none"/>
                    </w:rPr>
                    <w:t>符合</w:t>
                  </w:r>
                </w:p>
              </w:tc>
            </w:tr>
            <w:tr w14:paraId="7406A6D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283" w:hRule="atLeast"/>
              </w:trPr>
              <w:tc>
                <w:tcPr>
                  <w:tcW w:w="491" w:type="dxa"/>
                  <w:tcBorders>
                    <w:tl2br w:val="nil"/>
                    <w:tr2bl w:val="nil"/>
                  </w:tcBorders>
                  <w:vAlign w:val="center"/>
                </w:tcPr>
                <w:p w14:paraId="116835A9">
                  <w:pPr>
                    <w:jc w:val="center"/>
                    <w:rPr>
                      <w:color w:val="auto"/>
                      <w:sz w:val="18"/>
                      <w:szCs w:val="18"/>
                      <w:highlight w:val="none"/>
                    </w:rPr>
                  </w:pPr>
                  <w:r>
                    <w:rPr>
                      <w:color w:val="auto"/>
                      <w:sz w:val="18"/>
                      <w:szCs w:val="18"/>
                      <w:highlight w:val="none"/>
                    </w:rPr>
                    <w:t>5</w:t>
                  </w:r>
                </w:p>
              </w:tc>
              <w:tc>
                <w:tcPr>
                  <w:tcW w:w="4516" w:type="dxa"/>
                  <w:tcBorders>
                    <w:tl2br w:val="nil"/>
                    <w:tr2bl w:val="nil"/>
                  </w:tcBorders>
                  <w:vAlign w:val="center"/>
                </w:tcPr>
                <w:p w14:paraId="56984A19">
                  <w:pPr>
                    <w:autoSpaceDE w:val="0"/>
                    <w:autoSpaceDN w:val="0"/>
                    <w:adjustRightInd w:val="0"/>
                    <w:rPr>
                      <w:color w:val="auto"/>
                      <w:sz w:val="18"/>
                      <w:szCs w:val="18"/>
                      <w:highlight w:val="none"/>
                    </w:rPr>
                  </w:pPr>
                  <w:r>
                    <w:rPr>
                      <w:rFonts w:ascii="Times New Roman" w:hAnsi="Times New Roman"/>
                      <w:color w:val="auto"/>
                      <w:sz w:val="18"/>
                      <w:szCs w:val="18"/>
                      <w:highlight w:val="none"/>
                    </w:rPr>
                    <w:t>核心监控区滨河生态空间</w:t>
                  </w:r>
                  <w:r>
                    <w:rPr>
                      <w:color w:val="auto"/>
                      <w:sz w:val="18"/>
                      <w:szCs w:val="18"/>
                      <w:highlight w:val="none"/>
                    </w:rPr>
                    <w:t>(</w:t>
                  </w:r>
                  <w:r>
                    <w:rPr>
                      <w:rFonts w:ascii="Times New Roman" w:hAnsi="Times New Roman"/>
                      <w:color w:val="auto"/>
                      <w:sz w:val="18"/>
                      <w:szCs w:val="18"/>
                      <w:highlight w:val="none"/>
                    </w:rPr>
                    <w:t>原则上除城镇建成区外，京杭大运河浙江段和浙东运河主河道两岸起始线至同岸终止线距离</w:t>
                  </w:r>
                  <w:r>
                    <w:rPr>
                      <w:color w:val="auto"/>
                      <w:sz w:val="18"/>
                      <w:szCs w:val="18"/>
                      <w:highlight w:val="none"/>
                    </w:rPr>
                    <w:t>1000</w:t>
                  </w:r>
                  <w:r>
                    <w:rPr>
                      <w:rFonts w:ascii="Times New Roman" w:hAnsi="Times New Roman"/>
                      <w:color w:val="auto"/>
                      <w:sz w:val="18"/>
                      <w:szCs w:val="18"/>
                      <w:highlight w:val="none"/>
                    </w:rPr>
                    <w:t>米，具体边界由各设区市人民政府依据《浙江省大运河核心监控区国土空间管控通则》划定</w:t>
                  </w:r>
                  <w:r>
                    <w:rPr>
                      <w:color w:val="auto"/>
                      <w:sz w:val="18"/>
                      <w:szCs w:val="18"/>
                      <w:highlight w:val="none"/>
                    </w:rPr>
                    <w:t>),</w:t>
                  </w:r>
                  <w:r>
                    <w:rPr>
                      <w:rFonts w:ascii="Times New Roman" w:hAnsi="Times New Roman"/>
                      <w:color w:val="auto"/>
                      <w:sz w:val="18"/>
                      <w:szCs w:val="18"/>
                      <w:highlight w:val="none"/>
                    </w:rPr>
                    <w:t>除符合国土空间规划的村民宅基地、乡村公共设施、公益事业用途以及符合保护利用要求的休闲农业、乡村旅游、乡村康养、休闲体育、历史文化空间更新用途外，严控新增非公益用途的用地。禁止占用耕地建窑、建坟或者擅自在耕地上建房、挖砂、采石、采矿、取土等。严禁占用耕地绿化造林、超标准建设绿色通道、挖田造湖造景、违规从事非农建设，禁止利用永久基本农田种植苗木花卉草皮、水果茶叶等多年生经济作物、挖塘养殖、闲置荒芜。</w:t>
                  </w:r>
                </w:p>
              </w:tc>
              <w:tc>
                <w:tcPr>
                  <w:tcW w:w="2341" w:type="dxa"/>
                  <w:tcBorders>
                    <w:tl2br w:val="nil"/>
                    <w:tr2bl w:val="nil"/>
                  </w:tcBorders>
                  <w:vAlign w:val="center"/>
                </w:tcPr>
                <w:p w14:paraId="6E61E924">
                  <w:pPr>
                    <w:autoSpaceDE w:val="0"/>
                    <w:autoSpaceDN w:val="0"/>
                    <w:adjustRightInd w:val="0"/>
                    <w:jc w:val="center"/>
                    <w:rPr>
                      <w:color w:val="auto"/>
                      <w:sz w:val="18"/>
                      <w:szCs w:val="18"/>
                      <w:highlight w:val="none"/>
                    </w:rPr>
                  </w:pPr>
                  <w:r>
                    <w:rPr>
                      <w:rFonts w:ascii="Times New Roman" w:hAnsi="Times New Roman"/>
                      <w:color w:val="auto"/>
                      <w:sz w:val="18"/>
                      <w:szCs w:val="18"/>
                      <w:highlight w:val="none"/>
                    </w:rPr>
                    <w:t>本项目不新增用地，不占用耕地。</w:t>
                  </w:r>
                </w:p>
              </w:tc>
              <w:tc>
                <w:tcPr>
                  <w:tcW w:w="514" w:type="dxa"/>
                  <w:tcBorders>
                    <w:tl2br w:val="nil"/>
                    <w:tr2bl w:val="nil"/>
                  </w:tcBorders>
                  <w:vAlign w:val="center"/>
                </w:tcPr>
                <w:p w14:paraId="11510C4A">
                  <w:pPr>
                    <w:jc w:val="center"/>
                    <w:rPr>
                      <w:color w:val="auto"/>
                      <w:sz w:val="18"/>
                      <w:szCs w:val="18"/>
                      <w:highlight w:val="none"/>
                    </w:rPr>
                  </w:pPr>
                  <w:r>
                    <w:rPr>
                      <w:rFonts w:ascii="Times New Roman" w:hAnsi="Times New Roman"/>
                      <w:color w:val="auto"/>
                      <w:sz w:val="18"/>
                      <w:szCs w:val="18"/>
                      <w:highlight w:val="none"/>
                    </w:rPr>
                    <w:t>符合</w:t>
                  </w:r>
                </w:p>
              </w:tc>
            </w:tr>
          </w:tbl>
          <w:p w14:paraId="4FF6B7C5">
            <w:pPr>
              <w:spacing w:line="360" w:lineRule="auto"/>
              <w:outlineLvl w:val="1"/>
              <w:rPr>
                <w:rFonts w:hint="default" w:ascii="Times New Roman" w:hAnsi="Times New Roman" w:cs="Times New Roman"/>
                <w:b/>
                <w:color w:val="auto"/>
                <w:sz w:val="24"/>
                <w:szCs w:val="24"/>
                <w:highlight w:val="none"/>
                <w:lang w:val="en-US" w:eastAsia="zh-CN"/>
              </w:rPr>
            </w:pPr>
            <w:r>
              <w:rPr>
                <w:rFonts w:hint="eastAsia" w:cs="Times New Roman"/>
                <w:b/>
                <w:color w:val="auto"/>
                <w:sz w:val="24"/>
                <w:szCs w:val="24"/>
                <w:highlight w:val="none"/>
                <w:lang w:val="en-US" w:eastAsia="zh-CN"/>
              </w:rPr>
              <w:t xml:space="preserve">1.6  </w:t>
            </w:r>
            <w:r>
              <w:rPr>
                <w:rFonts w:hint="default" w:ascii="Times New Roman" w:hAnsi="Times New Roman" w:cs="Times New Roman"/>
                <w:b/>
                <w:color w:val="auto"/>
                <w:sz w:val="24"/>
                <w:szCs w:val="24"/>
                <w:highlight w:val="none"/>
                <w:lang w:val="en-US" w:eastAsia="zh-CN"/>
              </w:rPr>
              <w:t>《关于加强重点行业涉新污染物建设项目环境影响评价工作的意见》（环环评〔2025〕28号）符合性分析</w:t>
            </w:r>
          </w:p>
          <w:p w14:paraId="2E6D5038">
            <w:pPr>
              <w:spacing w:line="360" w:lineRule="auto"/>
              <w:ind w:firstLine="420" w:firstLineChars="200"/>
              <w:rPr>
                <w:rFonts w:hint="default" w:cs="Times New Roman"/>
                <w:b/>
                <w:bCs/>
                <w:color w:val="auto"/>
                <w:sz w:val="21"/>
                <w:szCs w:val="21"/>
                <w:lang w:val="en-US" w:eastAsia="zh-CN"/>
              </w:rPr>
            </w:pPr>
            <w:r>
              <w:rPr>
                <w:rFonts w:hint="default" w:ascii="Times New Roman" w:hAnsi="Times New Roman"/>
                <w:lang w:val="en-US" w:eastAsia="zh-CN"/>
              </w:rPr>
              <w:t>本项目不属于重点行业，不涉及新污染物的使用，且不在不予审批环评的项目类别范围内</w:t>
            </w:r>
            <w:r>
              <w:rPr>
                <w:rFonts w:ascii="Times New Roman" w:hAnsi="Times New Roman"/>
              </w:rPr>
              <w:t>。</w:t>
            </w:r>
            <w:r>
              <w:rPr>
                <w:rFonts w:hint="default" w:ascii="Times New Roman" w:hAnsi="Times New Roman"/>
                <w:lang w:val="en-US" w:eastAsia="zh-CN"/>
              </w:rPr>
              <w:t>综上，不执行上述意见的要求。</w:t>
            </w:r>
          </w:p>
          <w:p w14:paraId="317A89E3">
            <w:pPr>
              <w:spacing w:line="360" w:lineRule="auto"/>
              <w:outlineLvl w:val="1"/>
              <w:rPr>
                <w:rFonts w:hint="default" w:ascii="Times New Roman" w:hAnsi="Times New Roman" w:cs="Times New Roman"/>
                <w:b/>
                <w:color w:val="auto"/>
                <w:sz w:val="24"/>
                <w:szCs w:val="24"/>
                <w:highlight w:val="none"/>
              </w:rPr>
            </w:pPr>
            <w:r>
              <w:rPr>
                <w:rFonts w:hint="eastAsia" w:cs="Times New Roman"/>
                <w:b/>
                <w:color w:val="auto"/>
                <w:sz w:val="24"/>
                <w:szCs w:val="24"/>
                <w:highlight w:val="none"/>
                <w:lang w:val="en-US" w:eastAsia="zh-CN"/>
              </w:rPr>
              <w:t xml:space="preserve">1.7  </w:t>
            </w:r>
            <w:r>
              <w:rPr>
                <w:rFonts w:hint="default" w:ascii="Times New Roman" w:hAnsi="Times New Roman" w:cs="Times New Roman"/>
                <w:b/>
                <w:color w:val="auto"/>
                <w:sz w:val="24"/>
                <w:szCs w:val="24"/>
                <w:highlight w:val="none"/>
              </w:rPr>
              <w:t>“四性五不批”符合性分析</w:t>
            </w:r>
          </w:p>
          <w:p w14:paraId="11FE5741">
            <w:pPr>
              <w:pStyle w:val="99"/>
              <w:snapToGrid w:val="0"/>
              <w:spacing w:line="360" w:lineRule="auto"/>
              <w:ind w:firstLine="420" w:firstLineChars="200"/>
              <w:jc w:val="both"/>
              <w:rPr>
                <w:rFonts w:hint="default" w:ascii="Times New Roman" w:hAnsi="Times New Roman" w:cs="Times New Roman"/>
                <w:b w:val="0"/>
                <w:bCs/>
                <w:color w:val="auto"/>
                <w:sz w:val="21"/>
                <w:szCs w:val="21"/>
                <w:highlight w:val="none"/>
              </w:rPr>
            </w:pPr>
            <w:r>
              <w:rPr>
                <w:rFonts w:ascii="Times New Roman" w:cs="Times New Roman"/>
                <w:color w:val="auto"/>
                <w:sz w:val="21"/>
                <w:szCs w:val="21"/>
                <w:highlight w:val="none"/>
              </w:rPr>
              <w:t>根据《建设项目环境保护管理条例》（中华人民共和国国务院令第682号），</w:t>
            </w:r>
            <w:r>
              <w:rPr>
                <w:rFonts w:ascii="Times New Roman" w:cs="Times New Roman"/>
                <w:bCs/>
                <w:color w:val="auto"/>
                <w:sz w:val="21"/>
                <w:szCs w:val="21"/>
                <w:highlight w:val="none"/>
              </w:rPr>
              <w:t>本项目“四性五不批”符合性</w:t>
            </w:r>
            <w:r>
              <w:rPr>
                <w:rFonts w:ascii="Times New Roman" w:cs="Times New Roman"/>
                <w:color w:val="auto"/>
                <w:sz w:val="21"/>
                <w:szCs w:val="21"/>
                <w:highlight w:val="none"/>
              </w:rPr>
              <w:t>分析</w:t>
            </w:r>
            <w:r>
              <w:rPr>
                <w:rFonts w:hint="default" w:ascii="Times New Roman" w:cs="Times New Roman"/>
                <w:color w:val="auto"/>
                <w:sz w:val="21"/>
                <w:szCs w:val="21"/>
                <w:highlight w:val="none"/>
                <w:lang w:val="en-US" w:eastAsia="zh-CN"/>
              </w:rPr>
              <w:t>如表1-13所示</w:t>
            </w:r>
            <w:r>
              <w:rPr>
                <w:rFonts w:ascii="Times New Roman" w:cs="Times New Roman"/>
                <w:color w:val="auto"/>
                <w:sz w:val="21"/>
                <w:szCs w:val="21"/>
                <w:highlight w:val="none"/>
              </w:rPr>
              <w:t>。</w:t>
            </w:r>
          </w:p>
          <w:p w14:paraId="4508A15B">
            <w:pPr>
              <w:keepNext/>
              <w:keepLines/>
              <w:pageBreakBefore w:val="0"/>
              <w:widowControl/>
              <w:numPr>
                <w:ilvl w:val="0"/>
                <w:numId w:val="1"/>
              </w:numPr>
              <w:tabs>
                <w:tab w:val="left" w:pos="0"/>
              </w:tabs>
              <w:kinsoku/>
              <w:wordWrap/>
              <w:overflowPunct/>
              <w:topLinePunct w:val="0"/>
              <w:autoSpaceDE/>
              <w:autoSpaceDN/>
              <w:bidi w:val="0"/>
              <w:adjustRightInd/>
              <w:snapToGrid/>
              <w:spacing w:line="360" w:lineRule="auto"/>
              <w:ind w:left="1134" w:hanging="1134"/>
              <w:jc w:val="center"/>
              <w:textAlignment w:val="auto"/>
              <w:outlineLvl w:val="3"/>
              <w:rPr>
                <w:rFonts w:hint="default" w:ascii="Times New Roman" w:hAnsi="Times New Roman" w:eastAsia="黑体" w:cs="Times New Roman"/>
                <w:b w:val="0"/>
                <w:bCs w:val="0"/>
                <w:color w:val="auto"/>
                <w:kern w:val="0"/>
                <w:szCs w:val="21"/>
                <w:highlight w:val="none"/>
              </w:rPr>
            </w:pPr>
            <w:r>
              <w:rPr>
                <w:rFonts w:hint="default" w:ascii="Times New Roman" w:hAnsi="Times New Roman" w:eastAsia="黑体" w:cs="Times New Roman"/>
                <w:b w:val="0"/>
                <w:bCs w:val="0"/>
                <w:color w:val="auto"/>
                <w:kern w:val="0"/>
                <w:szCs w:val="21"/>
                <w:highlight w:val="none"/>
                <w:lang w:val="en-US" w:eastAsia="zh-CN"/>
              </w:rPr>
              <w:t>项目与</w:t>
            </w:r>
            <w:r>
              <w:rPr>
                <w:rFonts w:hint="default" w:ascii="Times New Roman" w:hAnsi="Times New Roman" w:eastAsia="黑体" w:cs="Times New Roman"/>
                <w:b w:val="0"/>
                <w:bCs w:val="0"/>
                <w:color w:val="auto"/>
                <w:kern w:val="0"/>
                <w:szCs w:val="21"/>
                <w:highlight w:val="none"/>
              </w:rPr>
              <w:t>“</w:t>
            </w:r>
            <w:r>
              <w:rPr>
                <w:rFonts w:hint="default" w:ascii="Times New Roman" w:hAnsi="Times New Roman" w:eastAsia="黑体" w:cs="Times New Roman"/>
                <w:b w:val="0"/>
                <w:bCs w:val="0"/>
                <w:color w:val="auto"/>
                <w:kern w:val="0"/>
                <w:szCs w:val="21"/>
                <w:highlight w:val="none"/>
                <w:lang w:val="zh-CN"/>
              </w:rPr>
              <w:t>四性五不批</w:t>
            </w:r>
            <w:r>
              <w:rPr>
                <w:rFonts w:hint="default" w:ascii="Times New Roman" w:hAnsi="Times New Roman" w:eastAsia="黑体" w:cs="Times New Roman"/>
                <w:b w:val="0"/>
                <w:bCs w:val="0"/>
                <w:color w:val="auto"/>
                <w:kern w:val="0"/>
                <w:szCs w:val="21"/>
                <w:highlight w:val="none"/>
              </w:rPr>
              <w:t>”</w:t>
            </w:r>
            <w:r>
              <w:rPr>
                <w:rFonts w:hint="default" w:ascii="Times New Roman" w:hAnsi="Times New Roman" w:eastAsia="黑体" w:cs="Times New Roman"/>
                <w:b w:val="0"/>
                <w:bCs w:val="0"/>
                <w:color w:val="auto"/>
                <w:kern w:val="0"/>
                <w:szCs w:val="21"/>
                <w:highlight w:val="none"/>
                <w:lang w:val="zh-CN"/>
              </w:rPr>
              <w:t>符合性分析</w:t>
            </w:r>
          </w:p>
          <w:tbl>
            <w:tblPr>
              <w:tblStyle w:val="24"/>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28" w:type="dxa"/>
                <w:bottom w:w="0" w:type="dxa"/>
                <w:right w:w="28" w:type="dxa"/>
              </w:tblCellMar>
            </w:tblPr>
            <w:tblGrid>
              <w:gridCol w:w="473"/>
              <w:gridCol w:w="2824"/>
              <w:gridCol w:w="3897"/>
              <w:gridCol w:w="641"/>
            </w:tblGrid>
            <w:tr w14:paraId="2A8303A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283" w:hRule="atLeast"/>
                <w:jc w:val="center"/>
              </w:trPr>
              <w:tc>
                <w:tcPr>
                  <w:tcW w:w="2104" w:type="pct"/>
                  <w:gridSpan w:val="2"/>
                  <w:tcBorders>
                    <w:tl2br w:val="nil"/>
                    <w:tr2bl w:val="nil"/>
                  </w:tcBorders>
                  <w:vAlign w:val="center"/>
                </w:tcPr>
                <w:p w14:paraId="7722FC5E">
                  <w:pPr>
                    <w:widowControl/>
                    <w:jc w:val="center"/>
                    <w:rPr>
                      <w:color w:val="auto"/>
                      <w:kern w:val="0"/>
                      <w:sz w:val="18"/>
                      <w:szCs w:val="18"/>
                      <w:highlight w:val="none"/>
                    </w:rPr>
                  </w:pPr>
                  <w:r>
                    <w:rPr>
                      <w:color w:val="auto"/>
                      <w:kern w:val="0"/>
                      <w:sz w:val="18"/>
                      <w:szCs w:val="18"/>
                      <w:highlight w:val="none"/>
                    </w:rPr>
                    <w:t>建设项目环境保护管理条例</w:t>
                  </w:r>
                </w:p>
              </w:tc>
              <w:tc>
                <w:tcPr>
                  <w:tcW w:w="2487" w:type="pct"/>
                  <w:tcBorders>
                    <w:tl2br w:val="nil"/>
                    <w:tr2bl w:val="nil"/>
                  </w:tcBorders>
                  <w:vAlign w:val="center"/>
                </w:tcPr>
                <w:p w14:paraId="143899F6">
                  <w:pPr>
                    <w:widowControl/>
                    <w:jc w:val="center"/>
                    <w:rPr>
                      <w:color w:val="auto"/>
                      <w:kern w:val="0"/>
                      <w:sz w:val="18"/>
                      <w:szCs w:val="18"/>
                      <w:highlight w:val="none"/>
                    </w:rPr>
                  </w:pPr>
                  <w:r>
                    <w:rPr>
                      <w:color w:val="auto"/>
                      <w:kern w:val="0"/>
                      <w:sz w:val="18"/>
                      <w:szCs w:val="18"/>
                      <w:highlight w:val="none"/>
                    </w:rPr>
                    <w:t>项目情况</w:t>
                  </w:r>
                </w:p>
              </w:tc>
              <w:tc>
                <w:tcPr>
                  <w:tcW w:w="409" w:type="pct"/>
                  <w:tcBorders>
                    <w:tl2br w:val="nil"/>
                    <w:tr2bl w:val="nil"/>
                  </w:tcBorders>
                  <w:vAlign w:val="center"/>
                </w:tcPr>
                <w:p w14:paraId="5A7736ED">
                  <w:pPr>
                    <w:widowControl/>
                    <w:jc w:val="center"/>
                    <w:rPr>
                      <w:color w:val="auto"/>
                      <w:kern w:val="0"/>
                      <w:sz w:val="18"/>
                      <w:szCs w:val="18"/>
                      <w:highlight w:val="none"/>
                    </w:rPr>
                  </w:pPr>
                  <w:r>
                    <w:rPr>
                      <w:color w:val="auto"/>
                      <w:kern w:val="0"/>
                      <w:sz w:val="18"/>
                      <w:szCs w:val="18"/>
                      <w:highlight w:val="none"/>
                    </w:rPr>
                    <w:t>符合性</w:t>
                  </w:r>
                </w:p>
              </w:tc>
            </w:tr>
            <w:tr w14:paraId="37EB3D6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283" w:hRule="atLeast"/>
                <w:jc w:val="center"/>
              </w:trPr>
              <w:tc>
                <w:tcPr>
                  <w:tcW w:w="302" w:type="pct"/>
                  <w:vMerge w:val="restart"/>
                  <w:tcBorders>
                    <w:tl2br w:val="nil"/>
                    <w:tr2bl w:val="nil"/>
                  </w:tcBorders>
                  <w:vAlign w:val="center"/>
                </w:tcPr>
                <w:p w14:paraId="7F300A89">
                  <w:pPr>
                    <w:widowControl/>
                    <w:jc w:val="center"/>
                    <w:rPr>
                      <w:color w:val="auto"/>
                      <w:kern w:val="0"/>
                      <w:sz w:val="18"/>
                      <w:szCs w:val="18"/>
                      <w:highlight w:val="none"/>
                    </w:rPr>
                  </w:pPr>
                  <w:r>
                    <w:rPr>
                      <w:color w:val="auto"/>
                      <w:kern w:val="0"/>
                      <w:sz w:val="18"/>
                      <w:szCs w:val="18"/>
                      <w:highlight w:val="none"/>
                    </w:rPr>
                    <w:t>四性</w:t>
                  </w:r>
                </w:p>
              </w:tc>
              <w:tc>
                <w:tcPr>
                  <w:tcW w:w="1802" w:type="pct"/>
                  <w:tcBorders>
                    <w:tl2br w:val="nil"/>
                    <w:tr2bl w:val="nil"/>
                  </w:tcBorders>
                  <w:vAlign w:val="center"/>
                </w:tcPr>
                <w:p w14:paraId="7111270C">
                  <w:pPr>
                    <w:widowControl/>
                    <w:rPr>
                      <w:color w:val="auto"/>
                      <w:kern w:val="0"/>
                      <w:sz w:val="18"/>
                      <w:szCs w:val="18"/>
                      <w:highlight w:val="none"/>
                    </w:rPr>
                  </w:pPr>
                  <w:r>
                    <w:rPr>
                      <w:color w:val="auto"/>
                      <w:kern w:val="0"/>
                      <w:sz w:val="18"/>
                      <w:szCs w:val="18"/>
                      <w:highlight w:val="none"/>
                    </w:rPr>
                    <w:t>建设项目的环境可行性</w:t>
                  </w:r>
                </w:p>
              </w:tc>
              <w:tc>
                <w:tcPr>
                  <w:tcW w:w="2487" w:type="pct"/>
                  <w:tcBorders>
                    <w:tl2br w:val="nil"/>
                    <w:tr2bl w:val="nil"/>
                  </w:tcBorders>
                  <w:vAlign w:val="center"/>
                </w:tcPr>
                <w:p w14:paraId="3A13EC2C">
                  <w:pPr>
                    <w:widowControl/>
                    <w:rPr>
                      <w:color w:val="auto"/>
                      <w:kern w:val="0"/>
                      <w:sz w:val="18"/>
                      <w:szCs w:val="18"/>
                      <w:highlight w:val="none"/>
                    </w:rPr>
                  </w:pPr>
                  <w:r>
                    <w:rPr>
                      <w:color w:val="auto"/>
                      <w:kern w:val="0"/>
                      <w:sz w:val="18"/>
                      <w:szCs w:val="18"/>
                      <w:highlight w:val="none"/>
                    </w:rPr>
                    <w:t>本项目符合产业政策、达标排放、用地规划、“三线一单”生态环境分区管控要求、总量控制原则及环境质量要求等，从环保角度看，本项目的建设满足环境可行性要求。</w:t>
                  </w:r>
                </w:p>
              </w:tc>
              <w:tc>
                <w:tcPr>
                  <w:tcW w:w="409" w:type="pct"/>
                  <w:tcBorders>
                    <w:tl2br w:val="nil"/>
                    <w:tr2bl w:val="nil"/>
                  </w:tcBorders>
                  <w:vAlign w:val="center"/>
                </w:tcPr>
                <w:p w14:paraId="295834B8">
                  <w:pPr>
                    <w:widowControl/>
                    <w:jc w:val="center"/>
                    <w:rPr>
                      <w:color w:val="auto"/>
                      <w:kern w:val="0"/>
                      <w:sz w:val="18"/>
                      <w:szCs w:val="18"/>
                      <w:highlight w:val="none"/>
                    </w:rPr>
                  </w:pPr>
                  <w:r>
                    <w:rPr>
                      <w:color w:val="auto"/>
                      <w:kern w:val="0"/>
                      <w:sz w:val="18"/>
                      <w:szCs w:val="18"/>
                      <w:highlight w:val="none"/>
                    </w:rPr>
                    <w:t>符合</w:t>
                  </w:r>
                </w:p>
              </w:tc>
            </w:tr>
            <w:tr w14:paraId="08BF001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283" w:hRule="atLeast"/>
                <w:jc w:val="center"/>
              </w:trPr>
              <w:tc>
                <w:tcPr>
                  <w:tcW w:w="302" w:type="pct"/>
                  <w:vMerge w:val="continue"/>
                  <w:tcBorders>
                    <w:tl2br w:val="nil"/>
                    <w:tr2bl w:val="nil"/>
                  </w:tcBorders>
                  <w:vAlign w:val="center"/>
                </w:tcPr>
                <w:p w14:paraId="56A05C7B">
                  <w:pPr>
                    <w:widowControl/>
                    <w:jc w:val="center"/>
                    <w:rPr>
                      <w:color w:val="auto"/>
                      <w:kern w:val="0"/>
                      <w:sz w:val="18"/>
                      <w:szCs w:val="18"/>
                      <w:highlight w:val="none"/>
                    </w:rPr>
                  </w:pPr>
                </w:p>
              </w:tc>
              <w:tc>
                <w:tcPr>
                  <w:tcW w:w="1802" w:type="pct"/>
                  <w:tcBorders>
                    <w:tl2br w:val="nil"/>
                    <w:tr2bl w:val="nil"/>
                  </w:tcBorders>
                  <w:vAlign w:val="center"/>
                </w:tcPr>
                <w:p w14:paraId="6108CB60">
                  <w:pPr>
                    <w:widowControl/>
                    <w:rPr>
                      <w:color w:val="auto"/>
                      <w:kern w:val="0"/>
                      <w:sz w:val="18"/>
                      <w:szCs w:val="18"/>
                      <w:highlight w:val="none"/>
                    </w:rPr>
                  </w:pPr>
                  <w:r>
                    <w:rPr>
                      <w:color w:val="auto"/>
                      <w:kern w:val="0"/>
                      <w:sz w:val="18"/>
                      <w:szCs w:val="18"/>
                      <w:highlight w:val="none"/>
                    </w:rPr>
                    <w:t>环境影响分析预测评估的可靠性</w:t>
                  </w:r>
                </w:p>
              </w:tc>
              <w:tc>
                <w:tcPr>
                  <w:tcW w:w="2487" w:type="pct"/>
                  <w:tcBorders>
                    <w:tl2br w:val="nil"/>
                    <w:tr2bl w:val="nil"/>
                  </w:tcBorders>
                  <w:vAlign w:val="center"/>
                </w:tcPr>
                <w:p w14:paraId="296F02E9">
                  <w:pPr>
                    <w:widowControl/>
                    <w:rPr>
                      <w:color w:val="auto"/>
                      <w:kern w:val="0"/>
                      <w:sz w:val="18"/>
                      <w:szCs w:val="18"/>
                      <w:highlight w:val="none"/>
                    </w:rPr>
                  </w:pPr>
                  <w:r>
                    <w:rPr>
                      <w:color w:val="auto"/>
                      <w:kern w:val="0"/>
                      <w:sz w:val="18"/>
                      <w:szCs w:val="18"/>
                      <w:highlight w:val="none"/>
                    </w:rPr>
                    <w:t>本评价严格遵循相关国家法律、相关地方法规、相关技术规范、相关产业政策，从实际出发，环境影响分析预测评估是可靠的。</w:t>
                  </w:r>
                </w:p>
              </w:tc>
              <w:tc>
                <w:tcPr>
                  <w:tcW w:w="409" w:type="pct"/>
                  <w:tcBorders>
                    <w:tl2br w:val="nil"/>
                    <w:tr2bl w:val="nil"/>
                  </w:tcBorders>
                  <w:vAlign w:val="center"/>
                </w:tcPr>
                <w:p w14:paraId="22CF60BD">
                  <w:pPr>
                    <w:widowControl/>
                    <w:jc w:val="center"/>
                    <w:rPr>
                      <w:color w:val="auto"/>
                      <w:kern w:val="0"/>
                      <w:sz w:val="18"/>
                      <w:szCs w:val="18"/>
                      <w:highlight w:val="none"/>
                    </w:rPr>
                  </w:pPr>
                  <w:r>
                    <w:rPr>
                      <w:color w:val="auto"/>
                      <w:kern w:val="0"/>
                      <w:sz w:val="18"/>
                      <w:szCs w:val="18"/>
                      <w:highlight w:val="none"/>
                    </w:rPr>
                    <w:t>符合</w:t>
                  </w:r>
                </w:p>
              </w:tc>
            </w:tr>
            <w:tr w14:paraId="5019251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283" w:hRule="atLeast"/>
                <w:jc w:val="center"/>
              </w:trPr>
              <w:tc>
                <w:tcPr>
                  <w:tcW w:w="302" w:type="pct"/>
                  <w:vMerge w:val="continue"/>
                  <w:tcBorders>
                    <w:tl2br w:val="nil"/>
                    <w:tr2bl w:val="nil"/>
                  </w:tcBorders>
                  <w:vAlign w:val="center"/>
                </w:tcPr>
                <w:p w14:paraId="227231A4">
                  <w:pPr>
                    <w:widowControl/>
                    <w:jc w:val="center"/>
                    <w:rPr>
                      <w:color w:val="auto"/>
                      <w:kern w:val="0"/>
                      <w:sz w:val="18"/>
                      <w:szCs w:val="18"/>
                      <w:highlight w:val="none"/>
                    </w:rPr>
                  </w:pPr>
                </w:p>
              </w:tc>
              <w:tc>
                <w:tcPr>
                  <w:tcW w:w="1802" w:type="pct"/>
                  <w:tcBorders>
                    <w:tl2br w:val="nil"/>
                    <w:tr2bl w:val="nil"/>
                  </w:tcBorders>
                  <w:vAlign w:val="center"/>
                </w:tcPr>
                <w:p w14:paraId="11E73387">
                  <w:pPr>
                    <w:widowControl/>
                    <w:rPr>
                      <w:color w:val="auto"/>
                      <w:kern w:val="0"/>
                      <w:sz w:val="18"/>
                      <w:szCs w:val="18"/>
                      <w:highlight w:val="none"/>
                    </w:rPr>
                  </w:pPr>
                  <w:r>
                    <w:rPr>
                      <w:color w:val="auto"/>
                      <w:kern w:val="0"/>
                      <w:sz w:val="18"/>
                      <w:szCs w:val="18"/>
                      <w:highlight w:val="none"/>
                    </w:rPr>
                    <w:t>环境保护措施的有效性</w:t>
                  </w:r>
                </w:p>
              </w:tc>
              <w:tc>
                <w:tcPr>
                  <w:tcW w:w="2487" w:type="pct"/>
                  <w:tcBorders>
                    <w:tl2br w:val="nil"/>
                    <w:tr2bl w:val="nil"/>
                  </w:tcBorders>
                  <w:vAlign w:val="center"/>
                </w:tcPr>
                <w:p w14:paraId="6DB07870">
                  <w:pPr>
                    <w:widowControl/>
                    <w:rPr>
                      <w:color w:val="auto"/>
                      <w:kern w:val="0"/>
                      <w:sz w:val="18"/>
                      <w:szCs w:val="18"/>
                      <w:highlight w:val="none"/>
                    </w:rPr>
                  </w:pPr>
                  <w:r>
                    <w:rPr>
                      <w:rFonts w:hint="default"/>
                      <w:color w:val="auto"/>
                      <w:sz w:val="18"/>
                      <w:szCs w:val="18"/>
                      <w:highlight w:val="none"/>
                    </w:rPr>
                    <w:t>本项目不属于工业类项目，项目建成后，只要切实落实本环评报告提出的各项污染防治措施，各类污染物均可得到有效控制并能做到达标排放，因此其环境保护措施是可靠合理的</w:t>
                  </w:r>
                </w:p>
              </w:tc>
              <w:tc>
                <w:tcPr>
                  <w:tcW w:w="409" w:type="pct"/>
                  <w:tcBorders>
                    <w:tl2br w:val="nil"/>
                    <w:tr2bl w:val="nil"/>
                  </w:tcBorders>
                  <w:vAlign w:val="center"/>
                </w:tcPr>
                <w:p w14:paraId="26095BF2">
                  <w:pPr>
                    <w:widowControl/>
                    <w:jc w:val="center"/>
                    <w:rPr>
                      <w:color w:val="auto"/>
                      <w:kern w:val="0"/>
                      <w:sz w:val="18"/>
                      <w:szCs w:val="18"/>
                      <w:highlight w:val="none"/>
                    </w:rPr>
                  </w:pPr>
                  <w:r>
                    <w:rPr>
                      <w:color w:val="auto"/>
                      <w:kern w:val="0"/>
                      <w:sz w:val="18"/>
                      <w:szCs w:val="18"/>
                      <w:highlight w:val="none"/>
                    </w:rPr>
                    <w:t>符合</w:t>
                  </w:r>
                </w:p>
              </w:tc>
            </w:tr>
            <w:tr w14:paraId="033DE11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283" w:hRule="atLeast"/>
                <w:jc w:val="center"/>
              </w:trPr>
              <w:tc>
                <w:tcPr>
                  <w:tcW w:w="302" w:type="pct"/>
                  <w:vMerge w:val="continue"/>
                  <w:tcBorders>
                    <w:tl2br w:val="nil"/>
                    <w:tr2bl w:val="nil"/>
                  </w:tcBorders>
                  <w:vAlign w:val="center"/>
                </w:tcPr>
                <w:p w14:paraId="6FB186F9">
                  <w:pPr>
                    <w:widowControl/>
                    <w:jc w:val="center"/>
                    <w:rPr>
                      <w:color w:val="auto"/>
                      <w:kern w:val="0"/>
                      <w:sz w:val="18"/>
                      <w:szCs w:val="18"/>
                      <w:highlight w:val="none"/>
                    </w:rPr>
                  </w:pPr>
                </w:p>
              </w:tc>
              <w:tc>
                <w:tcPr>
                  <w:tcW w:w="1802" w:type="pct"/>
                  <w:tcBorders>
                    <w:tl2br w:val="nil"/>
                    <w:tr2bl w:val="nil"/>
                  </w:tcBorders>
                  <w:vAlign w:val="center"/>
                </w:tcPr>
                <w:p w14:paraId="0893FC91">
                  <w:pPr>
                    <w:widowControl/>
                    <w:rPr>
                      <w:color w:val="auto"/>
                      <w:kern w:val="0"/>
                      <w:sz w:val="18"/>
                      <w:szCs w:val="18"/>
                      <w:highlight w:val="none"/>
                    </w:rPr>
                  </w:pPr>
                  <w:r>
                    <w:rPr>
                      <w:color w:val="auto"/>
                      <w:kern w:val="0"/>
                      <w:sz w:val="18"/>
                      <w:szCs w:val="18"/>
                      <w:highlight w:val="none"/>
                    </w:rPr>
                    <w:t>环境影响评价结论的科学性</w:t>
                  </w:r>
                </w:p>
              </w:tc>
              <w:tc>
                <w:tcPr>
                  <w:tcW w:w="2487" w:type="pct"/>
                  <w:tcBorders>
                    <w:tl2br w:val="nil"/>
                    <w:tr2bl w:val="nil"/>
                  </w:tcBorders>
                  <w:vAlign w:val="center"/>
                </w:tcPr>
                <w:p w14:paraId="304CEEC4">
                  <w:pPr>
                    <w:widowControl/>
                    <w:rPr>
                      <w:color w:val="auto"/>
                      <w:kern w:val="0"/>
                      <w:sz w:val="18"/>
                      <w:szCs w:val="18"/>
                      <w:highlight w:val="none"/>
                    </w:rPr>
                  </w:pPr>
                  <w:r>
                    <w:rPr>
                      <w:color w:val="auto"/>
                      <w:kern w:val="0"/>
                      <w:sz w:val="18"/>
                      <w:szCs w:val="18"/>
                      <w:highlight w:val="none"/>
                    </w:rPr>
                    <w:t>本环评结论客观、过程公开、评价公正，并综合考虑建设项目实施后对各种环境因素可能造成的影响，环境结论是科学的。</w:t>
                  </w:r>
                </w:p>
              </w:tc>
              <w:tc>
                <w:tcPr>
                  <w:tcW w:w="409" w:type="pct"/>
                  <w:tcBorders>
                    <w:tl2br w:val="nil"/>
                    <w:tr2bl w:val="nil"/>
                  </w:tcBorders>
                  <w:vAlign w:val="center"/>
                </w:tcPr>
                <w:p w14:paraId="12708F80">
                  <w:pPr>
                    <w:widowControl/>
                    <w:jc w:val="center"/>
                    <w:rPr>
                      <w:color w:val="auto"/>
                      <w:kern w:val="0"/>
                      <w:sz w:val="18"/>
                      <w:szCs w:val="18"/>
                      <w:highlight w:val="none"/>
                    </w:rPr>
                  </w:pPr>
                  <w:r>
                    <w:rPr>
                      <w:color w:val="auto"/>
                      <w:kern w:val="0"/>
                      <w:sz w:val="18"/>
                      <w:szCs w:val="18"/>
                      <w:highlight w:val="none"/>
                    </w:rPr>
                    <w:t>符合</w:t>
                  </w:r>
                </w:p>
              </w:tc>
            </w:tr>
            <w:tr w14:paraId="11150BB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283" w:hRule="atLeast"/>
                <w:jc w:val="center"/>
              </w:trPr>
              <w:tc>
                <w:tcPr>
                  <w:tcW w:w="302" w:type="pct"/>
                  <w:vMerge w:val="restart"/>
                  <w:tcBorders>
                    <w:tl2br w:val="nil"/>
                    <w:tr2bl w:val="nil"/>
                  </w:tcBorders>
                  <w:vAlign w:val="center"/>
                </w:tcPr>
                <w:p w14:paraId="77F1F78A">
                  <w:pPr>
                    <w:widowControl/>
                    <w:jc w:val="center"/>
                    <w:rPr>
                      <w:color w:val="auto"/>
                      <w:kern w:val="0"/>
                      <w:sz w:val="18"/>
                      <w:szCs w:val="18"/>
                      <w:highlight w:val="none"/>
                    </w:rPr>
                  </w:pPr>
                  <w:r>
                    <w:rPr>
                      <w:color w:val="auto"/>
                      <w:kern w:val="0"/>
                      <w:sz w:val="18"/>
                      <w:szCs w:val="18"/>
                      <w:highlight w:val="none"/>
                    </w:rPr>
                    <w:t>五不批</w:t>
                  </w:r>
                </w:p>
              </w:tc>
              <w:tc>
                <w:tcPr>
                  <w:tcW w:w="1802" w:type="pct"/>
                  <w:tcBorders>
                    <w:tl2br w:val="nil"/>
                    <w:tr2bl w:val="nil"/>
                  </w:tcBorders>
                  <w:vAlign w:val="center"/>
                </w:tcPr>
                <w:p w14:paraId="18B25975">
                  <w:pPr>
                    <w:widowControl/>
                    <w:rPr>
                      <w:color w:val="auto"/>
                      <w:kern w:val="0"/>
                      <w:sz w:val="18"/>
                      <w:szCs w:val="18"/>
                      <w:highlight w:val="none"/>
                    </w:rPr>
                  </w:pPr>
                  <w:r>
                    <w:rPr>
                      <w:color w:val="auto"/>
                      <w:kern w:val="0"/>
                      <w:sz w:val="18"/>
                      <w:szCs w:val="18"/>
                      <w:highlight w:val="none"/>
                    </w:rPr>
                    <w:t>建设项目类型及其选址、布局、规模等不符合环境保护法律法规和相关法定规划</w:t>
                  </w:r>
                </w:p>
              </w:tc>
              <w:tc>
                <w:tcPr>
                  <w:tcW w:w="2487" w:type="pct"/>
                  <w:tcBorders>
                    <w:tl2br w:val="nil"/>
                    <w:tr2bl w:val="nil"/>
                  </w:tcBorders>
                  <w:vAlign w:val="center"/>
                </w:tcPr>
                <w:p w14:paraId="0D1E8C56">
                  <w:pPr>
                    <w:widowControl/>
                    <w:rPr>
                      <w:color w:val="auto"/>
                      <w:kern w:val="0"/>
                      <w:sz w:val="18"/>
                      <w:szCs w:val="18"/>
                      <w:highlight w:val="none"/>
                    </w:rPr>
                  </w:pPr>
                  <w:r>
                    <w:rPr>
                      <w:color w:val="auto"/>
                      <w:kern w:val="0"/>
                      <w:sz w:val="18"/>
                      <w:szCs w:val="18"/>
                      <w:highlight w:val="none"/>
                    </w:rPr>
                    <w:t>本项目的建设符合当地总体规划，符合国家、地方产业政策，各类污染物均可得到有效控制并能做到达标排放或者不对外直接排放，对环境影响不大，环境风险较小，项目实施不会改变所在地的环境质量水平和环境功能，可实现经济效益、社会效益、环境效益的统一，符合环境保护法律法规和相关法定规划。</w:t>
                  </w:r>
                </w:p>
              </w:tc>
              <w:tc>
                <w:tcPr>
                  <w:tcW w:w="409" w:type="pct"/>
                  <w:tcBorders>
                    <w:tl2br w:val="nil"/>
                    <w:tr2bl w:val="nil"/>
                  </w:tcBorders>
                  <w:vAlign w:val="center"/>
                </w:tcPr>
                <w:p w14:paraId="67FA86DF">
                  <w:pPr>
                    <w:widowControl/>
                    <w:jc w:val="center"/>
                    <w:rPr>
                      <w:color w:val="auto"/>
                      <w:kern w:val="0"/>
                      <w:sz w:val="18"/>
                      <w:szCs w:val="18"/>
                      <w:highlight w:val="none"/>
                    </w:rPr>
                  </w:pPr>
                  <w:r>
                    <w:rPr>
                      <w:color w:val="auto"/>
                      <w:kern w:val="0"/>
                      <w:sz w:val="18"/>
                      <w:szCs w:val="18"/>
                      <w:highlight w:val="none"/>
                    </w:rPr>
                    <w:t>符合</w:t>
                  </w:r>
                </w:p>
              </w:tc>
            </w:tr>
            <w:tr w14:paraId="4D2A0FA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283" w:hRule="atLeast"/>
                <w:jc w:val="center"/>
              </w:trPr>
              <w:tc>
                <w:tcPr>
                  <w:tcW w:w="302" w:type="pct"/>
                  <w:vMerge w:val="continue"/>
                  <w:tcBorders>
                    <w:tl2br w:val="nil"/>
                    <w:tr2bl w:val="nil"/>
                  </w:tcBorders>
                  <w:vAlign w:val="center"/>
                </w:tcPr>
                <w:p w14:paraId="6F6FBBEE">
                  <w:pPr>
                    <w:widowControl/>
                    <w:jc w:val="center"/>
                    <w:rPr>
                      <w:color w:val="auto"/>
                      <w:kern w:val="0"/>
                      <w:sz w:val="18"/>
                      <w:szCs w:val="18"/>
                      <w:highlight w:val="none"/>
                    </w:rPr>
                  </w:pPr>
                </w:p>
              </w:tc>
              <w:tc>
                <w:tcPr>
                  <w:tcW w:w="1802" w:type="pct"/>
                  <w:tcBorders>
                    <w:tl2br w:val="nil"/>
                    <w:tr2bl w:val="nil"/>
                  </w:tcBorders>
                  <w:vAlign w:val="center"/>
                </w:tcPr>
                <w:p w14:paraId="2C897FBD">
                  <w:pPr>
                    <w:widowControl/>
                    <w:rPr>
                      <w:color w:val="auto"/>
                      <w:kern w:val="0"/>
                      <w:sz w:val="18"/>
                      <w:szCs w:val="18"/>
                      <w:highlight w:val="none"/>
                    </w:rPr>
                  </w:pPr>
                  <w:r>
                    <w:rPr>
                      <w:color w:val="auto"/>
                      <w:kern w:val="0"/>
                      <w:sz w:val="18"/>
                      <w:szCs w:val="18"/>
                      <w:highlight w:val="none"/>
                    </w:rPr>
                    <w:t>所在区域环境质量未达到国家或者地方环境质量标准，且建设项目拟采取的措施不能满足区域环境质量改善目标管理要求</w:t>
                  </w:r>
                </w:p>
              </w:tc>
              <w:tc>
                <w:tcPr>
                  <w:tcW w:w="2487" w:type="pct"/>
                  <w:tcBorders>
                    <w:tl2br w:val="nil"/>
                    <w:tr2bl w:val="nil"/>
                  </w:tcBorders>
                  <w:vAlign w:val="center"/>
                </w:tcPr>
                <w:p w14:paraId="31F64D41">
                  <w:pPr>
                    <w:widowControl/>
                    <w:rPr>
                      <w:color w:val="auto"/>
                      <w:kern w:val="0"/>
                      <w:sz w:val="18"/>
                      <w:szCs w:val="18"/>
                      <w:highlight w:val="none"/>
                    </w:rPr>
                  </w:pPr>
                  <w:r>
                    <w:rPr>
                      <w:rFonts w:hint="default"/>
                      <w:color w:val="auto"/>
                      <w:kern w:val="0"/>
                      <w:sz w:val="18"/>
                      <w:szCs w:val="18"/>
                      <w:highlight w:val="none"/>
                    </w:rPr>
                    <w:t>本项目拟采取的措施能够满足区域环境质量改善目标管理要求。</w:t>
                  </w:r>
                </w:p>
              </w:tc>
              <w:tc>
                <w:tcPr>
                  <w:tcW w:w="409" w:type="pct"/>
                  <w:tcBorders>
                    <w:tl2br w:val="nil"/>
                    <w:tr2bl w:val="nil"/>
                  </w:tcBorders>
                  <w:vAlign w:val="center"/>
                </w:tcPr>
                <w:p w14:paraId="50FE770D">
                  <w:pPr>
                    <w:widowControl/>
                    <w:jc w:val="center"/>
                    <w:rPr>
                      <w:color w:val="auto"/>
                      <w:kern w:val="0"/>
                      <w:sz w:val="18"/>
                      <w:szCs w:val="18"/>
                      <w:highlight w:val="none"/>
                    </w:rPr>
                  </w:pPr>
                  <w:r>
                    <w:rPr>
                      <w:color w:val="auto"/>
                      <w:kern w:val="0"/>
                      <w:sz w:val="18"/>
                      <w:szCs w:val="18"/>
                      <w:highlight w:val="none"/>
                    </w:rPr>
                    <w:t>符合</w:t>
                  </w:r>
                </w:p>
              </w:tc>
            </w:tr>
            <w:tr w14:paraId="69D6EF3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283" w:hRule="atLeast"/>
                <w:jc w:val="center"/>
              </w:trPr>
              <w:tc>
                <w:tcPr>
                  <w:tcW w:w="302" w:type="pct"/>
                  <w:vMerge w:val="continue"/>
                  <w:tcBorders>
                    <w:tl2br w:val="nil"/>
                    <w:tr2bl w:val="nil"/>
                  </w:tcBorders>
                  <w:vAlign w:val="center"/>
                </w:tcPr>
                <w:p w14:paraId="61A76304">
                  <w:pPr>
                    <w:widowControl/>
                    <w:jc w:val="center"/>
                    <w:rPr>
                      <w:color w:val="auto"/>
                      <w:kern w:val="0"/>
                      <w:sz w:val="18"/>
                      <w:szCs w:val="18"/>
                      <w:highlight w:val="none"/>
                    </w:rPr>
                  </w:pPr>
                </w:p>
              </w:tc>
              <w:tc>
                <w:tcPr>
                  <w:tcW w:w="1802" w:type="pct"/>
                  <w:tcBorders>
                    <w:tl2br w:val="nil"/>
                    <w:tr2bl w:val="nil"/>
                  </w:tcBorders>
                  <w:vAlign w:val="center"/>
                </w:tcPr>
                <w:p w14:paraId="6D8E7920">
                  <w:pPr>
                    <w:widowControl/>
                    <w:rPr>
                      <w:color w:val="auto"/>
                      <w:kern w:val="0"/>
                      <w:sz w:val="18"/>
                      <w:szCs w:val="18"/>
                      <w:highlight w:val="none"/>
                    </w:rPr>
                  </w:pPr>
                  <w:r>
                    <w:rPr>
                      <w:color w:val="auto"/>
                      <w:kern w:val="0"/>
                      <w:sz w:val="18"/>
                      <w:szCs w:val="18"/>
                      <w:highlight w:val="none"/>
                    </w:rPr>
                    <w:t>建设项目采取的污染防治措施无法确保污染物排放达到国家和地方排放标准，或者未采取必要措施预防和控制生态破坏</w:t>
                  </w:r>
                </w:p>
              </w:tc>
              <w:tc>
                <w:tcPr>
                  <w:tcW w:w="2487" w:type="pct"/>
                  <w:tcBorders>
                    <w:tl2br w:val="nil"/>
                    <w:tr2bl w:val="nil"/>
                  </w:tcBorders>
                  <w:vAlign w:val="center"/>
                </w:tcPr>
                <w:p w14:paraId="0DC9B751">
                  <w:pPr>
                    <w:widowControl/>
                    <w:rPr>
                      <w:color w:val="auto"/>
                      <w:kern w:val="0"/>
                      <w:sz w:val="18"/>
                      <w:szCs w:val="18"/>
                      <w:highlight w:val="none"/>
                    </w:rPr>
                  </w:pPr>
                  <w:r>
                    <w:rPr>
                      <w:color w:val="auto"/>
                      <w:kern w:val="0"/>
                      <w:sz w:val="18"/>
                      <w:szCs w:val="18"/>
                      <w:highlight w:val="none"/>
                    </w:rPr>
                    <w:t>只要切实落实环评报告提出的各项污染防治措施，各类污染物均可得到有限控制并能做到达标排放或不对外直接排放。</w:t>
                  </w:r>
                </w:p>
              </w:tc>
              <w:tc>
                <w:tcPr>
                  <w:tcW w:w="409" w:type="pct"/>
                  <w:tcBorders>
                    <w:tl2br w:val="nil"/>
                    <w:tr2bl w:val="nil"/>
                  </w:tcBorders>
                  <w:vAlign w:val="center"/>
                </w:tcPr>
                <w:p w14:paraId="0E8A471D">
                  <w:pPr>
                    <w:widowControl/>
                    <w:jc w:val="center"/>
                    <w:rPr>
                      <w:color w:val="auto"/>
                      <w:kern w:val="0"/>
                      <w:sz w:val="18"/>
                      <w:szCs w:val="18"/>
                      <w:highlight w:val="none"/>
                    </w:rPr>
                  </w:pPr>
                  <w:r>
                    <w:rPr>
                      <w:color w:val="auto"/>
                      <w:kern w:val="0"/>
                      <w:sz w:val="18"/>
                      <w:szCs w:val="18"/>
                      <w:highlight w:val="none"/>
                    </w:rPr>
                    <w:t>符合</w:t>
                  </w:r>
                </w:p>
              </w:tc>
            </w:tr>
            <w:tr w14:paraId="5F37A19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283" w:hRule="atLeast"/>
                <w:jc w:val="center"/>
              </w:trPr>
              <w:tc>
                <w:tcPr>
                  <w:tcW w:w="302" w:type="pct"/>
                  <w:vMerge w:val="continue"/>
                  <w:tcBorders>
                    <w:tl2br w:val="nil"/>
                    <w:tr2bl w:val="nil"/>
                  </w:tcBorders>
                  <w:vAlign w:val="center"/>
                </w:tcPr>
                <w:p w14:paraId="75A3D5FD">
                  <w:pPr>
                    <w:widowControl/>
                    <w:jc w:val="center"/>
                    <w:rPr>
                      <w:color w:val="auto"/>
                      <w:kern w:val="0"/>
                      <w:sz w:val="18"/>
                      <w:szCs w:val="18"/>
                      <w:highlight w:val="none"/>
                    </w:rPr>
                  </w:pPr>
                </w:p>
              </w:tc>
              <w:tc>
                <w:tcPr>
                  <w:tcW w:w="1802" w:type="pct"/>
                  <w:tcBorders>
                    <w:tl2br w:val="nil"/>
                    <w:tr2bl w:val="nil"/>
                  </w:tcBorders>
                  <w:vAlign w:val="center"/>
                </w:tcPr>
                <w:p w14:paraId="29552FEA">
                  <w:pPr>
                    <w:widowControl/>
                    <w:rPr>
                      <w:color w:val="auto"/>
                      <w:kern w:val="0"/>
                      <w:sz w:val="18"/>
                      <w:szCs w:val="18"/>
                      <w:highlight w:val="none"/>
                    </w:rPr>
                  </w:pPr>
                  <w:r>
                    <w:rPr>
                      <w:color w:val="auto"/>
                      <w:kern w:val="0"/>
                      <w:sz w:val="18"/>
                      <w:szCs w:val="18"/>
                      <w:highlight w:val="none"/>
                    </w:rPr>
                    <w:t>改建、扩建和技术改造项目，未针对项目原有环境污染和生态破坏提出有效防治措施</w:t>
                  </w:r>
                </w:p>
              </w:tc>
              <w:tc>
                <w:tcPr>
                  <w:tcW w:w="2487" w:type="pct"/>
                  <w:tcBorders>
                    <w:tl2br w:val="nil"/>
                    <w:tr2bl w:val="nil"/>
                  </w:tcBorders>
                  <w:vAlign w:val="center"/>
                </w:tcPr>
                <w:p w14:paraId="441BF827">
                  <w:pPr>
                    <w:widowControl/>
                    <w:rPr>
                      <w:color w:val="auto"/>
                      <w:kern w:val="0"/>
                      <w:sz w:val="18"/>
                      <w:szCs w:val="18"/>
                      <w:highlight w:val="none"/>
                    </w:rPr>
                  </w:pPr>
                  <w:r>
                    <w:rPr>
                      <w:rFonts w:hint="default"/>
                      <w:color w:val="auto"/>
                      <w:sz w:val="18"/>
                      <w:szCs w:val="18"/>
                      <w:highlight w:val="none"/>
                    </w:rPr>
                    <w:t>本项目为新建项目，无项目原有环境污染和生态破坏问题。</w:t>
                  </w:r>
                </w:p>
              </w:tc>
              <w:tc>
                <w:tcPr>
                  <w:tcW w:w="409" w:type="pct"/>
                  <w:tcBorders>
                    <w:tl2br w:val="nil"/>
                    <w:tr2bl w:val="nil"/>
                  </w:tcBorders>
                  <w:vAlign w:val="center"/>
                </w:tcPr>
                <w:p w14:paraId="000BC956">
                  <w:pPr>
                    <w:widowControl/>
                    <w:jc w:val="center"/>
                    <w:rPr>
                      <w:color w:val="auto"/>
                      <w:kern w:val="0"/>
                      <w:sz w:val="18"/>
                      <w:szCs w:val="18"/>
                      <w:highlight w:val="none"/>
                    </w:rPr>
                  </w:pPr>
                  <w:r>
                    <w:rPr>
                      <w:color w:val="auto"/>
                      <w:kern w:val="0"/>
                      <w:sz w:val="18"/>
                      <w:szCs w:val="18"/>
                      <w:highlight w:val="none"/>
                    </w:rPr>
                    <w:t>符合</w:t>
                  </w:r>
                </w:p>
              </w:tc>
            </w:tr>
            <w:tr w14:paraId="3EF20FD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283" w:hRule="atLeast"/>
                <w:jc w:val="center"/>
              </w:trPr>
              <w:tc>
                <w:tcPr>
                  <w:tcW w:w="302" w:type="pct"/>
                  <w:vMerge w:val="continue"/>
                  <w:tcBorders>
                    <w:tl2br w:val="nil"/>
                    <w:tr2bl w:val="nil"/>
                  </w:tcBorders>
                  <w:vAlign w:val="center"/>
                </w:tcPr>
                <w:p w14:paraId="743DE96D">
                  <w:pPr>
                    <w:widowControl/>
                    <w:jc w:val="center"/>
                    <w:rPr>
                      <w:color w:val="auto"/>
                      <w:kern w:val="0"/>
                      <w:sz w:val="18"/>
                      <w:szCs w:val="18"/>
                      <w:highlight w:val="none"/>
                    </w:rPr>
                  </w:pPr>
                </w:p>
              </w:tc>
              <w:tc>
                <w:tcPr>
                  <w:tcW w:w="1802" w:type="pct"/>
                  <w:tcBorders>
                    <w:tl2br w:val="nil"/>
                    <w:tr2bl w:val="nil"/>
                  </w:tcBorders>
                  <w:vAlign w:val="center"/>
                </w:tcPr>
                <w:p w14:paraId="0630F975">
                  <w:pPr>
                    <w:widowControl/>
                    <w:rPr>
                      <w:color w:val="auto"/>
                      <w:kern w:val="0"/>
                      <w:sz w:val="18"/>
                      <w:szCs w:val="18"/>
                      <w:highlight w:val="none"/>
                    </w:rPr>
                  </w:pPr>
                  <w:r>
                    <w:rPr>
                      <w:color w:val="auto"/>
                      <w:kern w:val="0"/>
                      <w:sz w:val="18"/>
                      <w:szCs w:val="18"/>
                      <w:highlight w:val="none"/>
                    </w:rPr>
                    <w:t>建设项目的环境影响报告书、环境影响报告表的基础资料数据明显不实，内容存在重大缺陷、遗漏，或者环境影响评价结论不明确、不合理</w:t>
                  </w:r>
                </w:p>
              </w:tc>
              <w:tc>
                <w:tcPr>
                  <w:tcW w:w="2487" w:type="pct"/>
                  <w:tcBorders>
                    <w:tl2br w:val="nil"/>
                    <w:tr2bl w:val="nil"/>
                  </w:tcBorders>
                  <w:vAlign w:val="center"/>
                </w:tcPr>
                <w:p w14:paraId="1FDE9E8D">
                  <w:pPr>
                    <w:widowControl/>
                    <w:rPr>
                      <w:color w:val="auto"/>
                      <w:kern w:val="0"/>
                      <w:sz w:val="18"/>
                      <w:szCs w:val="18"/>
                      <w:highlight w:val="none"/>
                    </w:rPr>
                  </w:pPr>
                  <w:r>
                    <w:rPr>
                      <w:color w:val="auto"/>
                      <w:kern w:val="0"/>
                      <w:sz w:val="18"/>
                      <w:szCs w:val="18"/>
                      <w:highlight w:val="none"/>
                    </w:rPr>
                    <w:t>建设项目环境影响报告表的基础资料数据真实可靠，内容不存在缺陷、遗漏，环境影响评价结论明确、合理。</w:t>
                  </w:r>
                </w:p>
              </w:tc>
              <w:tc>
                <w:tcPr>
                  <w:tcW w:w="409" w:type="pct"/>
                  <w:tcBorders>
                    <w:tl2br w:val="nil"/>
                    <w:tr2bl w:val="nil"/>
                  </w:tcBorders>
                  <w:vAlign w:val="center"/>
                </w:tcPr>
                <w:p w14:paraId="3A753EAC">
                  <w:pPr>
                    <w:widowControl/>
                    <w:jc w:val="center"/>
                    <w:rPr>
                      <w:color w:val="auto"/>
                      <w:kern w:val="0"/>
                      <w:sz w:val="18"/>
                      <w:szCs w:val="18"/>
                      <w:highlight w:val="none"/>
                    </w:rPr>
                  </w:pPr>
                  <w:r>
                    <w:rPr>
                      <w:color w:val="auto"/>
                      <w:kern w:val="0"/>
                      <w:sz w:val="18"/>
                      <w:szCs w:val="18"/>
                      <w:highlight w:val="none"/>
                    </w:rPr>
                    <w:t>符合</w:t>
                  </w:r>
                </w:p>
              </w:tc>
            </w:tr>
          </w:tbl>
          <w:p w14:paraId="04A8D3D9">
            <w:pPr>
              <w:spacing w:line="360" w:lineRule="auto"/>
              <w:ind w:firstLine="420" w:firstLineChars="200"/>
              <w:rPr>
                <w:color w:val="auto"/>
                <w:kern w:val="0"/>
                <w:szCs w:val="21"/>
                <w:highlight w:val="none"/>
              </w:rPr>
            </w:pPr>
            <w:r>
              <w:rPr>
                <w:rFonts w:hint="default"/>
                <w:color w:val="auto"/>
                <w:szCs w:val="21"/>
                <w:highlight w:val="none"/>
              </w:rPr>
              <w:t>综上分析可知</w:t>
            </w:r>
            <w:r>
              <w:rPr>
                <w:color w:val="auto"/>
                <w:szCs w:val="21"/>
                <w:highlight w:val="none"/>
              </w:rPr>
              <w:t>，本项目符合“四性五不批”要求。</w:t>
            </w:r>
          </w:p>
        </w:tc>
      </w:tr>
    </w:tbl>
    <w:p w14:paraId="14CB230A">
      <w:pPr>
        <w:spacing w:line="360" w:lineRule="auto"/>
        <w:outlineLvl w:val="0"/>
        <w:rPr>
          <w:rFonts w:ascii="Times New Roman" w:hAnsi="Times New Roman" w:eastAsia="黑体" w:cs="Times New Roman"/>
          <w:color w:val="auto"/>
          <w:sz w:val="30"/>
          <w:highlight w:val="none"/>
        </w:rPr>
        <w:sectPr>
          <w:footerReference r:id="rId7" w:type="default"/>
          <w:pgSz w:w="11906" w:h="16838"/>
          <w:pgMar w:top="1701" w:right="1531" w:bottom="1701" w:left="1531" w:header="851" w:footer="1077" w:gutter="0"/>
          <w:pgBorders>
            <w:top w:val="none" w:sz="0" w:space="0"/>
            <w:left w:val="none" w:sz="0" w:space="0"/>
            <w:bottom w:val="none" w:sz="0" w:space="0"/>
            <w:right w:val="none" w:sz="0" w:space="0"/>
          </w:pgBorders>
          <w:pgNumType w:start="1"/>
          <w:cols w:space="720" w:num="1"/>
          <w:docGrid w:linePitch="312" w:charSpace="0"/>
        </w:sectPr>
      </w:pPr>
    </w:p>
    <w:p w14:paraId="27A89B47">
      <w:pPr>
        <w:pStyle w:val="20"/>
        <w:jc w:val="center"/>
        <w:outlineLvl w:val="0"/>
        <w:rPr>
          <w:rFonts w:ascii="Times New Roman" w:hAnsi="Times New Roman" w:eastAsia="黑体"/>
          <w:snapToGrid w:val="0"/>
          <w:color w:val="auto"/>
          <w:sz w:val="30"/>
          <w:szCs w:val="30"/>
          <w:highlight w:val="none"/>
        </w:rPr>
      </w:pPr>
      <w:bookmarkStart w:id="13" w:name="_Toc9246"/>
      <w:bookmarkStart w:id="14" w:name="_Toc11756"/>
      <w:bookmarkStart w:id="15" w:name="_Toc21212"/>
      <w:bookmarkStart w:id="16" w:name="_Toc16315"/>
      <w:bookmarkStart w:id="17" w:name="_Toc10769"/>
      <w:r>
        <w:rPr>
          <w:rFonts w:ascii="Times New Roman" w:hAnsi="Times New Roman" w:eastAsia="黑体"/>
          <w:snapToGrid w:val="0"/>
          <w:color w:val="auto"/>
          <w:sz w:val="30"/>
          <w:szCs w:val="30"/>
          <w:highlight w:val="none"/>
        </w:rPr>
        <w:t>二、建设项目工程分析</w:t>
      </w:r>
      <w:bookmarkEnd w:id="13"/>
      <w:bookmarkEnd w:id="14"/>
      <w:bookmarkEnd w:id="15"/>
      <w:bookmarkEnd w:id="16"/>
      <w:bookmarkEnd w:id="17"/>
    </w:p>
    <w:tbl>
      <w:tblPr>
        <w:tblStyle w:val="24"/>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555"/>
        <w:gridCol w:w="8269"/>
      </w:tblGrid>
      <w:tr w14:paraId="7CE3DBF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555" w:type="dxa"/>
            <w:vAlign w:val="center"/>
          </w:tcPr>
          <w:p w14:paraId="0A59B495">
            <w:pPr>
              <w:pStyle w:val="20"/>
              <w:adjustRightInd w:val="0"/>
              <w:snapToGrid w:val="0"/>
              <w:spacing w:before="0" w:beforeAutospacing="0" w:after="0" w:afterAutospacing="0"/>
              <w:jc w:val="center"/>
              <w:rPr>
                <w:rFonts w:ascii="Times New Roman" w:hAnsi="Times New Roman"/>
                <w:color w:val="auto"/>
                <w:sz w:val="21"/>
                <w:szCs w:val="21"/>
                <w:highlight w:val="none"/>
              </w:rPr>
            </w:pPr>
            <w:r>
              <w:rPr>
                <w:rFonts w:ascii="Times New Roman" w:hAnsi="Times New Roman"/>
                <w:color w:val="auto"/>
                <w:sz w:val="21"/>
                <w:szCs w:val="21"/>
                <w:highlight w:val="none"/>
              </w:rPr>
              <w:t>建设内容</w:t>
            </w:r>
          </w:p>
        </w:tc>
        <w:tc>
          <w:tcPr>
            <w:tcW w:w="8269" w:type="dxa"/>
            <w:tcBorders>
              <w:top w:val="single" w:color="auto" w:sz="4" w:space="0"/>
              <w:bottom w:val="single" w:color="auto" w:sz="4" w:space="0"/>
              <w:right w:val="single" w:color="auto" w:sz="4" w:space="0"/>
            </w:tcBorders>
          </w:tcPr>
          <w:p w14:paraId="2E717E0A">
            <w:pPr>
              <w:keepNext/>
              <w:keepLines/>
              <w:spacing w:line="360" w:lineRule="auto"/>
              <w:outlineLvl w:val="1"/>
              <w:rPr>
                <w:b/>
                <w:bCs/>
                <w:color w:val="auto"/>
                <w:sz w:val="24"/>
                <w:szCs w:val="24"/>
                <w:highlight w:val="none"/>
              </w:rPr>
            </w:pPr>
            <w:bookmarkStart w:id="18" w:name="_Toc11604"/>
            <w:bookmarkStart w:id="19" w:name="_Toc26869"/>
            <w:r>
              <w:rPr>
                <w:b/>
                <w:bCs/>
                <w:color w:val="auto"/>
                <w:sz w:val="24"/>
                <w:szCs w:val="24"/>
                <w:highlight w:val="none"/>
              </w:rPr>
              <w:t>2.1</w:t>
            </w:r>
            <w:r>
              <w:rPr>
                <w:rFonts w:hint="default"/>
                <w:b/>
                <w:bCs/>
                <w:color w:val="auto"/>
                <w:sz w:val="24"/>
                <w:szCs w:val="24"/>
                <w:highlight w:val="none"/>
                <w:lang w:val="en-US" w:eastAsia="zh-CN"/>
              </w:rPr>
              <w:t xml:space="preserve">  </w:t>
            </w:r>
            <w:r>
              <w:rPr>
                <w:rFonts w:hint="default"/>
                <w:b/>
                <w:bCs/>
                <w:color w:val="auto"/>
                <w:sz w:val="24"/>
                <w:szCs w:val="24"/>
                <w:highlight w:val="none"/>
              </w:rPr>
              <w:t>建设内容</w:t>
            </w:r>
            <w:bookmarkEnd w:id="18"/>
            <w:bookmarkEnd w:id="19"/>
          </w:p>
          <w:p w14:paraId="3AC9158A">
            <w:pPr>
              <w:keepNext/>
              <w:keepLines/>
              <w:spacing w:line="360" w:lineRule="auto"/>
              <w:outlineLvl w:val="2"/>
              <w:rPr>
                <w:b/>
                <w:bCs/>
                <w:color w:val="auto"/>
                <w:sz w:val="22"/>
                <w:szCs w:val="22"/>
                <w:highlight w:val="none"/>
              </w:rPr>
            </w:pPr>
            <w:r>
              <w:rPr>
                <w:rFonts w:hint="default"/>
                <w:b/>
                <w:bCs/>
                <w:color w:val="auto"/>
                <w:sz w:val="22"/>
                <w:szCs w:val="22"/>
                <w:highlight w:val="none"/>
              </w:rPr>
              <w:t xml:space="preserve">2.1.1 </w:t>
            </w:r>
            <w:r>
              <w:rPr>
                <w:rFonts w:hint="default"/>
                <w:b/>
                <w:bCs/>
                <w:color w:val="auto"/>
                <w:sz w:val="22"/>
                <w:szCs w:val="22"/>
                <w:highlight w:val="none"/>
                <w:lang w:val="en-US" w:eastAsia="zh-CN"/>
              </w:rPr>
              <w:t xml:space="preserve"> </w:t>
            </w:r>
            <w:r>
              <w:rPr>
                <w:rFonts w:hint="default"/>
                <w:b/>
                <w:bCs/>
                <w:color w:val="auto"/>
                <w:sz w:val="22"/>
                <w:szCs w:val="22"/>
                <w:highlight w:val="none"/>
              </w:rPr>
              <w:t>项目由来</w:t>
            </w:r>
          </w:p>
          <w:p w14:paraId="07EE688F">
            <w:pPr>
              <w:widowControl/>
              <w:spacing w:line="360" w:lineRule="auto"/>
              <w:ind w:firstLine="420" w:firstLineChars="200"/>
              <w:jc w:val="left"/>
              <w:rPr>
                <w:rFonts w:hint="default" w:ascii="Times New Roman" w:hAnsi="Times New Roman" w:cs="Times New Roman"/>
                <w:color w:val="auto"/>
                <w:highlight w:val="none"/>
              </w:rPr>
            </w:pPr>
            <w:bookmarkStart w:id="20" w:name="OLE_LINK196"/>
            <w:bookmarkStart w:id="21" w:name="OLE_LINK197"/>
            <w:r>
              <w:rPr>
                <w:rFonts w:hint="default" w:ascii="Times New Roman" w:hAnsi="Times New Roman" w:cs="Times New Roman"/>
                <w:color w:val="auto"/>
                <w:highlight w:val="none"/>
              </w:rPr>
              <w:t>浙江聚思创能新材料有限公司成立于2025年5月9日，主要从事新材料技术推广服务；新材料技术研发；电子专用材料研发；电子专用材料制造；电子专用材料销售等。企业拟投资596.5万元，租用浙江东恒肽康医药有限公司园区闲置厂房（余杭区仁和街道獐山北路9号东恒肽康医药园6幢9楼），进行钠离子电池聚阴离子正极材料研发项目。项目建成后，将</w:t>
            </w:r>
            <w:r>
              <w:rPr>
                <w:rFonts w:hint="eastAsia" w:cs="Times New Roman"/>
                <w:color w:val="auto"/>
                <w:highlight w:val="none"/>
                <w:lang w:val="en-US" w:eastAsia="zh-CN"/>
              </w:rPr>
              <w:t>对</w:t>
            </w:r>
            <w:r>
              <w:rPr>
                <w:rFonts w:hint="default" w:ascii="Times New Roman" w:hAnsi="Times New Roman" w:cs="Times New Roman"/>
                <w:color w:val="auto"/>
                <w:highlight w:val="none"/>
              </w:rPr>
              <w:t>进行正极材料的制备</w:t>
            </w:r>
            <w:r>
              <w:rPr>
                <w:rFonts w:hint="eastAsia" w:cs="Times New Roman"/>
                <w:color w:val="auto"/>
                <w:highlight w:val="none"/>
                <w:lang w:val="en-US" w:eastAsia="zh-CN"/>
              </w:rPr>
              <w:t>工艺参数</w:t>
            </w:r>
            <w:r>
              <w:rPr>
                <w:rFonts w:hint="default" w:ascii="Times New Roman" w:hAnsi="Times New Roman" w:cs="Times New Roman"/>
                <w:color w:val="auto"/>
                <w:highlight w:val="none"/>
              </w:rPr>
              <w:t>进行试验，包括材料研磨、喷雾干燥、烧结、气流粉碎、振动筛分等工</w:t>
            </w:r>
            <w:r>
              <w:rPr>
                <w:rFonts w:hint="eastAsia" w:cs="Times New Roman"/>
                <w:color w:val="auto"/>
                <w:highlight w:val="none"/>
                <w:lang w:val="en-US" w:eastAsia="zh-CN"/>
              </w:rPr>
              <w:t>序</w:t>
            </w:r>
            <w:r>
              <w:rPr>
                <w:rFonts w:hint="default" w:ascii="Times New Roman" w:hAnsi="Times New Roman" w:cs="Times New Roman"/>
                <w:color w:val="auto"/>
                <w:highlight w:val="none"/>
              </w:rPr>
              <w:t>；随后对正极材料进行性能测试工作，包括基础表征测试、粒径测试；并在每批次材料中抽取少量用于组装纽扣电池进行电化学性能测试。</w:t>
            </w:r>
          </w:p>
          <w:p w14:paraId="5626EE76">
            <w:pPr>
              <w:adjustRightInd w:val="0"/>
              <w:snapToGrid w:val="0"/>
              <w:spacing w:line="360" w:lineRule="auto"/>
              <w:ind w:firstLine="420" w:firstLineChars="200"/>
              <w:rPr>
                <w:rFonts w:hint="default"/>
                <w:color w:val="auto"/>
                <w:szCs w:val="21"/>
                <w:highlight w:val="none"/>
                <w:lang w:val="en-US" w:eastAsia="zh-CN"/>
              </w:rPr>
            </w:pPr>
            <w:r>
              <w:rPr>
                <w:bCs/>
                <w:color w:val="auto"/>
                <w:szCs w:val="21"/>
                <w:highlight w:val="none"/>
              </w:rPr>
              <w:t>依照《</w:t>
            </w:r>
            <w:r>
              <w:rPr>
                <w:rFonts w:hint="eastAsia"/>
                <w:bCs/>
                <w:color w:val="auto"/>
                <w:szCs w:val="21"/>
                <w:highlight w:val="none"/>
                <w:lang w:val="en-US" w:eastAsia="zh-CN"/>
              </w:rPr>
              <w:t>生态环境法典</w:t>
            </w:r>
            <w:r>
              <w:rPr>
                <w:bCs/>
                <w:color w:val="auto"/>
                <w:szCs w:val="21"/>
                <w:highlight w:val="none"/>
              </w:rPr>
              <w:t>》和《建设项目环境保护管理条例》中有关规定，本项目需进行环境影响评价。</w:t>
            </w:r>
            <w:r>
              <w:rPr>
                <w:color w:val="auto"/>
                <w:szCs w:val="21"/>
                <w:highlight w:val="none"/>
              </w:rPr>
              <w:t>根据国民经济行业分类(GB/T 4754-2017)，本项目属于“M7320工程和技术研究和试验发展”；对照《建设项目环境影响评价分类管理名录》（2021年版），本项目归入“四十五、研究和试验发展、98专业实验室、研发（试验）基地-其他”，需编制环境影响报告表。</w:t>
            </w:r>
            <w:r>
              <w:rPr>
                <w:rFonts w:hint="default"/>
                <w:color w:val="auto"/>
                <w:szCs w:val="21"/>
                <w:highlight w:val="none"/>
                <w:lang w:val="en-US" w:eastAsia="zh-CN"/>
              </w:rPr>
              <w:t>判定情况如表2-1所示。</w:t>
            </w:r>
          </w:p>
          <w:p w14:paraId="119A126C">
            <w:pPr>
              <w:pStyle w:val="49"/>
              <w:keepNext w:val="0"/>
              <w:keepLines w:val="0"/>
              <w:pageBreakBefore w:val="0"/>
              <w:widowControl w:val="0"/>
              <w:numPr>
                <w:ilvl w:val="0"/>
                <w:numId w:val="3"/>
              </w:numPr>
              <w:kinsoku/>
              <w:wordWrap/>
              <w:overflowPunct/>
              <w:topLinePunct w:val="0"/>
              <w:autoSpaceDE/>
              <w:autoSpaceDN/>
              <w:bidi w:val="0"/>
              <w:adjustRightInd w:val="0"/>
              <w:snapToGrid w:val="0"/>
              <w:spacing w:line="360" w:lineRule="auto"/>
              <w:ind w:left="420" w:hanging="420" w:firstLineChars="0"/>
              <w:jc w:val="center"/>
              <w:textAlignment w:val="auto"/>
              <w:rPr>
                <w:rFonts w:hint="default" w:ascii="Times New Roman" w:hAnsi="Times New Roman" w:eastAsia="黑体" w:cs="Times New Roman"/>
                <w:b w:val="0"/>
                <w:bCs w:val="0"/>
                <w:color w:val="auto"/>
                <w:szCs w:val="21"/>
                <w:highlight w:val="none"/>
              </w:rPr>
            </w:pPr>
            <w:r>
              <w:rPr>
                <w:rFonts w:hint="default" w:ascii="Times New Roman" w:hAnsi="Times New Roman" w:eastAsia="黑体" w:cs="Times New Roman"/>
                <w:b w:val="0"/>
                <w:bCs w:val="0"/>
                <w:color w:val="auto"/>
                <w:szCs w:val="21"/>
                <w:highlight w:val="none"/>
                <w:lang w:val="en-US" w:eastAsia="zh-CN"/>
              </w:rPr>
              <w:t>环评类别判定表</w:t>
            </w:r>
          </w:p>
          <w:tbl>
            <w:tblPr>
              <w:tblStyle w:val="24"/>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965"/>
              <w:gridCol w:w="1252"/>
              <w:gridCol w:w="1435"/>
              <w:gridCol w:w="1557"/>
              <w:gridCol w:w="1852"/>
              <w:gridCol w:w="962"/>
            </w:tblGrid>
            <w:tr w14:paraId="3C61841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245" w:type="pct"/>
                  <w:gridSpan w:val="4"/>
                  <w:tcBorders>
                    <w:tl2br w:val="nil"/>
                    <w:tr2bl w:val="nil"/>
                  </w:tcBorders>
                  <w:noWrap w:val="0"/>
                  <w:vAlign w:val="center"/>
                </w:tcPr>
                <w:p w14:paraId="6B0BDB00">
                  <w:pPr>
                    <w:pStyle w:val="20"/>
                    <w:spacing w:line="240" w:lineRule="auto"/>
                    <w:jc w:val="center"/>
                    <w:rPr>
                      <w:rFonts w:ascii="Times New Roman" w:hAnsi="Times New Roman"/>
                      <w:color w:val="auto"/>
                      <w:sz w:val="18"/>
                      <w:szCs w:val="18"/>
                      <w:highlight w:val="none"/>
                    </w:rPr>
                  </w:pPr>
                  <w:r>
                    <w:rPr>
                      <w:rFonts w:hint="default" w:ascii="Times New Roman" w:hAnsi="Times New Roman" w:cs="Times New Roman"/>
                      <w:color w:val="auto"/>
                      <w:sz w:val="18"/>
                      <w:szCs w:val="18"/>
                      <w:highlight w:val="none"/>
                    </w:rPr>
                    <w:t>文件要求</w:t>
                  </w:r>
                </w:p>
              </w:tc>
              <w:tc>
                <w:tcPr>
                  <w:tcW w:w="1154" w:type="pct"/>
                  <w:vMerge w:val="restart"/>
                  <w:tcBorders>
                    <w:tl2br w:val="nil"/>
                    <w:tr2bl w:val="nil"/>
                  </w:tcBorders>
                  <w:noWrap w:val="0"/>
                  <w:vAlign w:val="center"/>
                </w:tcPr>
                <w:p w14:paraId="1D9F3159">
                  <w:pPr>
                    <w:pStyle w:val="20"/>
                    <w:spacing w:line="240" w:lineRule="auto"/>
                    <w:jc w:val="center"/>
                    <w:rPr>
                      <w:rFonts w:ascii="Times New Roman" w:hAnsi="Times New Roman"/>
                      <w:color w:val="auto"/>
                      <w:sz w:val="18"/>
                      <w:szCs w:val="18"/>
                      <w:highlight w:val="none"/>
                    </w:rPr>
                  </w:pPr>
                  <w:r>
                    <w:rPr>
                      <w:rFonts w:hint="default" w:ascii="Times New Roman" w:hAnsi="Times New Roman" w:cs="Times New Roman"/>
                      <w:color w:val="auto"/>
                      <w:sz w:val="18"/>
                      <w:szCs w:val="18"/>
                      <w:highlight w:val="none"/>
                    </w:rPr>
                    <w:t>本项目情况</w:t>
                  </w:r>
                </w:p>
              </w:tc>
              <w:tc>
                <w:tcPr>
                  <w:tcW w:w="599" w:type="pct"/>
                  <w:vMerge w:val="restart"/>
                  <w:tcBorders>
                    <w:tl2br w:val="nil"/>
                    <w:tr2bl w:val="nil"/>
                  </w:tcBorders>
                  <w:noWrap w:val="0"/>
                  <w:vAlign w:val="center"/>
                </w:tcPr>
                <w:p w14:paraId="036187E8">
                  <w:pPr>
                    <w:pStyle w:val="20"/>
                    <w:spacing w:line="240" w:lineRule="auto"/>
                    <w:jc w:val="center"/>
                    <w:rPr>
                      <w:rFonts w:ascii="Times New Roman" w:hAnsi="Times New Roman"/>
                      <w:color w:val="auto"/>
                      <w:sz w:val="18"/>
                      <w:szCs w:val="18"/>
                      <w:highlight w:val="none"/>
                    </w:rPr>
                  </w:pPr>
                  <w:r>
                    <w:rPr>
                      <w:rFonts w:hint="default" w:ascii="Times New Roman" w:hAnsi="Times New Roman" w:cs="Times New Roman"/>
                      <w:color w:val="auto"/>
                      <w:sz w:val="18"/>
                      <w:szCs w:val="18"/>
                      <w:highlight w:val="none"/>
                    </w:rPr>
                    <w:t>本项目环评类别</w:t>
                  </w:r>
                </w:p>
              </w:tc>
            </w:tr>
            <w:tr w14:paraId="7584843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81" w:type="pct"/>
                  <w:gridSpan w:val="2"/>
                  <w:tcBorders>
                    <w:tl2br w:val="nil"/>
                    <w:tr2bl w:val="nil"/>
                  </w:tcBorders>
                  <w:noWrap w:val="0"/>
                  <w:vAlign w:val="center"/>
                </w:tcPr>
                <w:p w14:paraId="58FD9BF2">
                  <w:pPr>
                    <w:pStyle w:val="20"/>
                    <w:spacing w:line="240" w:lineRule="auto"/>
                    <w:jc w:val="center"/>
                    <w:rPr>
                      <w:rFonts w:ascii="Times New Roman" w:hAnsi="Times New Roman"/>
                      <w:color w:val="auto"/>
                      <w:sz w:val="18"/>
                      <w:szCs w:val="18"/>
                      <w:highlight w:val="none"/>
                    </w:rPr>
                  </w:pPr>
                  <w:r>
                    <w:rPr>
                      <w:rFonts w:hint="default" w:ascii="Times New Roman" w:hAnsi="Times New Roman" w:cs="Times New Roman"/>
                      <w:color w:val="auto"/>
                      <w:sz w:val="18"/>
                      <w:szCs w:val="18"/>
                      <w:highlight w:val="none"/>
                    </w:rPr>
                    <w:t>项目类别</w:t>
                  </w:r>
                </w:p>
              </w:tc>
              <w:tc>
                <w:tcPr>
                  <w:tcW w:w="894" w:type="pct"/>
                  <w:tcBorders>
                    <w:tl2br w:val="nil"/>
                    <w:tr2bl w:val="nil"/>
                  </w:tcBorders>
                  <w:noWrap w:val="0"/>
                  <w:vAlign w:val="center"/>
                </w:tcPr>
                <w:p w14:paraId="1B71DA4A">
                  <w:pPr>
                    <w:pStyle w:val="20"/>
                    <w:spacing w:line="240" w:lineRule="auto"/>
                    <w:jc w:val="center"/>
                    <w:rPr>
                      <w:rFonts w:ascii="Times New Roman" w:hAnsi="Times New Roman"/>
                      <w:color w:val="auto"/>
                      <w:sz w:val="18"/>
                      <w:szCs w:val="18"/>
                      <w:highlight w:val="none"/>
                    </w:rPr>
                  </w:pPr>
                  <w:r>
                    <w:rPr>
                      <w:rFonts w:hint="default" w:ascii="Times New Roman" w:hAnsi="Times New Roman" w:cs="Times New Roman"/>
                      <w:color w:val="auto"/>
                      <w:sz w:val="18"/>
                      <w:szCs w:val="18"/>
                      <w:highlight w:val="none"/>
                    </w:rPr>
                    <w:t>报告书</w:t>
                  </w:r>
                </w:p>
              </w:tc>
              <w:tc>
                <w:tcPr>
                  <w:tcW w:w="969" w:type="pct"/>
                  <w:tcBorders>
                    <w:tl2br w:val="nil"/>
                    <w:tr2bl w:val="nil"/>
                  </w:tcBorders>
                  <w:noWrap w:val="0"/>
                  <w:vAlign w:val="center"/>
                </w:tcPr>
                <w:p w14:paraId="11189172">
                  <w:pPr>
                    <w:pStyle w:val="20"/>
                    <w:spacing w:line="240" w:lineRule="auto"/>
                    <w:jc w:val="center"/>
                    <w:rPr>
                      <w:rFonts w:ascii="Times New Roman" w:hAnsi="Times New Roman"/>
                      <w:color w:val="auto"/>
                      <w:sz w:val="18"/>
                      <w:szCs w:val="18"/>
                      <w:highlight w:val="none"/>
                    </w:rPr>
                  </w:pPr>
                  <w:r>
                    <w:rPr>
                      <w:rFonts w:hint="default" w:ascii="Times New Roman" w:hAnsi="Times New Roman" w:cs="Times New Roman"/>
                      <w:color w:val="auto"/>
                      <w:sz w:val="18"/>
                      <w:szCs w:val="18"/>
                      <w:highlight w:val="none"/>
                    </w:rPr>
                    <w:t>报告表</w:t>
                  </w:r>
                </w:p>
              </w:tc>
              <w:tc>
                <w:tcPr>
                  <w:tcW w:w="1154" w:type="pct"/>
                  <w:vMerge w:val="continue"/>
                  <w:tcBorders>
                    <w:tl2br w:val="nil"/>
                    <w:tr2bl w:val="nil"/>
                  </w:tcBorders>
                  <w:noWrap w:val="0"/>
                  <w:vAlign w:val="center"/>
                </w:tcPr>
                <w:p w14:paraId="6E49D186">
                  <w:pPr>
                    <w:rPr>
                      <w:color w:val="auto"/>
                      <w:sz w:val="20"/>
                      <w:szCs w:val="20"/>
                      <w:highlight w:val="none"/>
                    </w:rPr>
                  </w:pPr>
                </w:p>
              </w:tc>
              <w:tc>
                <w:tcPr>
                  <w:tcW w:w="599" w:type="pct"/>
                  <w:vMerge w:val="continue"/>
                  <w:tcBorders>
                    <w:tl2br w:val="nil"/>
                    <w:tr2bl w:val="nil"/>
                  </w:tcBorders>
                  <w:noWrap w:val="0"/>
                  <w:vAlign w:val="center"/>
                </w:tcPr>
                <w:p w14:paraId="563E2FA3">
                  <w:pPr>
                    <w:rPr>
                      <w:color w:val="auto"/>
                      <w:sz w:val="20"/>
                      <w:szCs w:val="20"/>
                      <w:highlight w:val="none"/>
                    </w:rPr>
                  </w:pPr>
                </w:p>
              </w:tc>
            </w:tr>
            <w:tr w14:paraId="25DD811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01" w:type="pct"/>
                  <w:tcBorders>
                    <w:tl2br w:val="nil"/>
                    <w:tr2bl w:val="nil"/>
                  </w:tcBorders>
                  <w:noWrap w:val="0"/>
                  <w:vAlign w:val="center"/>
                </w:tcPr>
                <w:p w14:paraId="6B7E23F9">
                  <w:pPr>
                    <w:pStyle w:val="150"/>
                    <w:widowControl/>
                    <w:spacing w:line="240" w:lineRule="auto"/>
                    <w:ind w:firstLine="0" w:firstLineChars="0"/>
                    <w:jc w:val="center"/>
                    <w:rPr>
                      <w:color w:val="auto"/>
                      <w:sz w:val="18"/>
                      <w:szCs w:val="18"/>
                      <w:highlight w:val="none"/>
                    </w:rPr>
                  </w:pPr>
                  <w:r>
                    <w:rPr>
                      <w:rFonts w:hint="default" w:cs="Times New Roman"/>
                      <w:color w:val="auto"/>
                      <w:kern w:val="0"/>
                      <w:sz w:val="18"/>
                      <w:szCs w:val="18"/>
                      <w:highlight w:val="none"/>
                    </w:rPr>
                    <w:t>四十五、研究和试验发展</w:t>
                  </w:r>
                </w:p>
              </w:tc>
              <w:tc>
                <w:tcPr>
                  <w:tcW w:w="780" w:type="pct"/>
                  <w:tcBorders>
                    <w:tl2br w:val="nil"/>
                    <w:tr2bl w:val="nil"/>
                  </w:tcBorders>
                  <w:noWrap w:val="0"/>
                  <w:vAlign w:val="center"/>
                </w:tcPr>
                <w:p w14:paraId="1A0C1BF6">
                  <w:pPr>
                    <w:autoSpaceDE w:val="0"/>
                    <w:autoSpaceDN w:val="0"/>
                    <w:spacing w:line="240" w:lineRule="auto"/>
                    <w:jc w:val="center"/>
                    <w:rPr>
                      <w:color w:val="auto"/>
                      <w:sz w:val="18"/>
                      <w:szCs w:val="18"/>
                      <w:highlight w:val="none"/>
                    </w:rPr>
                  </w:pPr>
                  <w:r>
                    <w:rPr>
                      <w:rFonts w:hint="default"/>
                      <w:color w:val="auto"/>
                      <w:kern w:val="0"/>
                      <w:sz w:val="18"/>
                      <w:szCs w:val="18"/>
                      <w:highlight w:val="none"/>
                      <w:lang w:bidi="ar"/>
                    </w:rPr>
                    <w:t>98</w:t>
                  </w:r>
                  <w:r>
                    <w:rPr>
                      <w:rFonts w:hint="default" w:cs="Times New Roman"/>
                      <w:color w:val="auto"/>
                      <w:sz w:val="18"/>
                      <w:szCs w:val="18"/>
                      <w:highlight w:val="none"/>
                      <w:lang w:bidi="ar"/>
                    </w:rPr>
                    <w:t>、专业实验室、研发（试验）基地</w:t>
                  </w:r>
                </w:p>
              </w:tc>
              <w:tc>
                <w:tcPr>
                  <w:tcW w:w="894" w:type="pct"/>
                  <w:tcBorders>
                    <w:tl2br w:val="nil"/>
                    <w:tr2bl w:val="nil"/>
                  </w:tcBorders>
                  <w:noWrap w:val="0"/>
                  <w:vAlign w:val="center"/>
                </w:tcPr>
                <w:p w14:paraId="1C6B7F16">
                  <w:pPr>
                    <w:autoSpaceDE w:val="0"/>
                    <w:autoSpaceDN w:val="0"/>
                    <w:spacing w:line="240" w:lineRule="auto"/>
                    <w:jc w:val="center"/>
                    <w:rPr>
                      <w:color w:val="auto"/>
                      <w:sz w:val="18"/>
                      <w:szCs w:val="18"/>
                      <w:highlight w:val="none"/>
                    </w:rPr>
                  </w:pPr>
                  <w:r>
                    <w:rPr>
                      <w:rFonts w:hint="default"/>
                      <w:color w:val="auto"/>
                      <w:sz w:val="18"/>
                      <w:szCs w:val="18"/>
                      <w:highlight w:val="none"/>
                    </w:rPr>
                    <w:t>P3、P4生物安全实验室；转基因实验室</w:t>
                  </w:r>
                </w:p>
              </w:tc>
              <w:tc>
                <w:tcPr>
                  <w:tcW w:w="969" w:type="pct"/>
                  <w:tcBorders>
                    <w:tl2br w:val="nil"/>
                    <w:tr2bl w:val="nil"/>
                  </w:tcBorders>
                  <w:noWrap w:val="0"/>
                  <w:vAlign w:val="center"/>
                </w:tcPr>
                <w:p w14:paraId="33C693FE">
                  <w:pPr>
                    <w:autoSpaceDE w:val="0"/>
                    <w:autoSpaceDN w:val="0"/>
                    <w:spacing w:line="240" w:lineRule="auto"/>
                    <w:jc w:val="center"/>
                    <w:rPr>
                      <w:color w:val="auto"/>
                      <w:sz w:val="18"/>
                      <w:szCs w:val="18"/>
                      <w:highlight w:val="none"/>
                    </w:rPr>
                  </w:pPr>
                  <w:r>
                    <w:rPr>
                      <w:rFonts w:hint="default"/>
                      <w:color w:val="auto"/>
                      <w:sz w:val="18"/>
                      <w:szCs w:val="18"/>
                      <w:highlight w:val="none"/>
                    </w:rPr>
                    <w:t>其他(不产生实验废气、废水、危险废物的除外)</w:t>
                  </w:r>
                </w:p>
              </w:tc>
              <w:tc>
                <w:tcPr>
                  <w:tcW w:w="1154" w:type="pct"/>
                  <w:tcBorders>
                    <w:tl2br w:val="nil"/>
                    <w:tr2bl w:val="nil"/>
                  </w:tcBorders>
                  <w:noWrap w:val="0"/>
                  <w:vAlign w:val="center"/>
                </w:tcPr>
                <w:p w14:paraId="083128EA">
                  <w:pPr>
                    <w:autoSpaceDE w:val="0"/>
                    <w:autoSpaceDN w:val="0"/>
                    <w:spacing w:line="240" w:lineRule="auto"/>
                    <w:jc w:val="center"/>
                    <w:rPr>
                      <w:rFonts w:hint="default"/>
                      <w:color w:val="auto"/>
                      <w:sz w:val="18"/>
                      <w:szCs w:val="18"/>
                      <w:highlight w:val="none"/>
                    </w:rPr>
                  </w:pPr>
                  <w:r>
                    <w:rPr>
                      <w:rFonts w:hint="default"/>
                      <w:color w:val="auto"/>
                      <w:sz w:val="18"/>
                      <w:szCs w:val="18"/>
                      <w:highlight w:val="none"/>
                    </w:rPr>
                    <w:t>从事</w:t>
                  </w:r>
                  <w:r>
                    <w:rPr>
                      <w:rFonts w:hint="default"/>
                      <w:color w:val="auto"/>
                      <w:sz w:val="18"/>
                      <w:szCs w:val="18"/>
                      <w:highlight w:val="none"/>
                      <w:lang w:val="en-US" w:eastAsia="zh-CN"/>
                    </w:rPr>
                    <w:t>工艺</w:t>
                  </w:r>
                  <w:r>
                    <w:rPr>
                      <w:rFonts w:hint="default"/>
                      <w:color w:val="auto"/>
                      <w:sz w:val="18"/>
                      <w:szCs w:val="18"/>
                      <w:highlight w:val="none"/>
                    </w:rPr>
                    <w:t>研发，不涉及P3、P4生物安全实验室和转基因实验室</w:t>
                  </w:r>
                </w:p>
              </w:tc>
              <w:tc>
                <w:tcPr>
                  <w:tcW w:w="599" w:type="pct"/>
                  <w:tcBorders>
                    <w:tl2br w:val="nil"/>
                    <w:tr2bl w:val="nil"/>
                  </w:tcBorders>
                  <w:noWrap w:val="0"/>
                  <w:vAlign w:val="center"/>
                </w:tcPr>
                <w:p w14:paraId="605F88FA">
                  <w:pPr>
                    <w:autoSpaceDE w:val="0"/>
                    <w:autoSpaceDN w:val="0"/>
                    <w:spacing w:line="240" w:lineRule="auto"/>
                    <w:jc w:val="center"/>
                    <w:rPr>
                      <w:color w:val="auto"/>
                      <w:sz w:val="18"/>
                      <w:szCs w:val="18"/>
                      <w:highlight w:val="none"/>
                    </w:rPr>
                  </w:pPr>
                  <w:r>
                    <w:rPr>
                      <w:rFonts w:hint="default" w:cs="Times New Roman"/>
                      <w:color w:val="auto"/>
                      <w:sz w:val="18"/>
                      <w:szCs w:val="18"/>
                      <w:highlight w:val="none"/>
                      <w:lang w:bidi="ar"/>
                    </w:rPr>
                    <w:t>环境影响报告表</w:t>
                  </w:r>
                </w:p>
              </w:tc>
            </w:tr>
          </w:tbl>
          <w:p w14:paraId="6C86E360">
            <w:pPr>
              <w:widowControl/>
              <w:spacing w:line="360" w:lineRule="auto"/>
              <w:ind w:firstLine="420" w:firstLineChars="200"/>
              <w:jc w:val="left"/>
              <w:rPr>
                <w:bCs/>
                <w:color w:val="auto"/>
                <w:szCs w:val="21"/>
                <w:highlight w:val="none"/>
              </w:rPr>
            </w:pPr>
            <w:r>
              <w:rPr>
                <w:rFonts w:hint="default" w:ascii="Times New Roman" w:hAnsi="Times New Roman" w:cs="Times New Roman"/>
                <w:color w:val="auto"/>
                <w:highlight w:val="none"/>
              </w:rPr>
              <w:t>受建设单位委托，浙江百诺数智环境科技股份有限公司承担了本项目的环境影响评价工作。我单位在现场踏勘、监测和资料收集等的基础上，根据环评技术导则及其他相关文件，编制了本项目的环境影响报告表，并交由项目建设单位报请生态环境主管部门审批。</w:t>
            </w:r>
            <w:bookmarkEnd w:id="20"/>
            <w:bookmarkEnd w:id="21"/>
          </w:p>
          <w:p w14:paraId="3800B290">
            <w:pPr>
              <w:keepNext/>
              <w:keepLines/>
              <w:spacing w:line="360" w:lineRule="auto"/>
              <w:rPr>
                <w:b/>
                <w:bCs/>
                <w:color w:val="auto"/>
                <w:sz w:val="22"/>
                <w:szCs w:val="22"/>
                <w:highlight w:val="none"/>
              </w:rPr>
            </w:pPr>
            <w:bookmarkStart w:id="22" w:name="_Toc17504"/>
            <w:bookmarkStart w:id="23" w:name="_Toc21169"/>
            <w:r>
              <w:rPr>
                <w:b/>
                <w:bCs/>
                <w:color w:val="auto"/>
                <w:sz w:val="22"/>
                <w:szCs w:val="22"/>
                <w:highlight w:val="none"/>
              </w:rPr>
              <w:t>2.</w:t>
            </w:r>
            <w:r>
              <w:rPr>
                <w:rFonts w:hint="default"/>
                <w:b/>
                <w:bCs/>
                <w:color w:val="auto"/>
                <w:sz w:val="22"/>
                <w:szCs w:val="22"/>
                <w:highlight w:val="none"/>
              </w:rPr>
              <w:t>1.</w:t>
            </w:r>
            <w:r>
              <w:rPr>
                <w:b/>
                <w:bCs/>
                <w:color w:val="auto"/>
                <w:sz w:val="22"/>
                <w:szCs w:val="22"/>
                <w:highlight w:val="none"/>
              </w:rPr>
              <w:t>2</w:t>
            </w:r>
            <w:r>
              <w:rPr>
                <w:rFonts w:hint="default"/>
                <w:b/>
                <w:bCs/>
                <w:color w:val="auto"/>
                <w:sz w:val="22"/>
                <w:szCs w:val="22"/>
                <w:highlight w:val="none"/>
              </w:rPr>
              <w:t xml:space="preserve"> </w:t>
            </w:r>
            <w:r>
              <w:rPr>
                <w:rFonts w:hint="default"/>
                <w:b/>
                <w:bCs/>
                <w:color w:val="auto"/>
                <w:sz w:val="22"/>
                <w:szCs w:val="22"/>
                <w:highlight w:val="none"/>
                <w:lang w:val="en-US" w:eastAsia="zh-CN"/>
              </w:rPr>
              <w:t xml:space="preserve"> </w:t>
            </w:r>
            <w:r>
              <w:rPr>
                <w:b/>
                <w:bCs/>
                <w:color w:val="auto"/>
                <w:sz w:val="22"/>
                <w:szCs w:val="22"/>
                <w:highlight w:val="none"/>
              </w:rPr>
              <w:t>项目组成</w:t>
            </w:r>
            <w:bookmarkEnd w:id="22"/>
            <w:bookmarkEnd w:id="23"/>
          </w:p>
          <w:p w14:paraId="0DCF0041">
            <w:pPr>
              <w:adjustRightInd w:val="0"/>
              <w:snapToGrid w:val="0"/>
              <w:spacing w:line="360" w:lineRule="auto"/>
              <w:ind w:firstLine="420" w:firstLineChars="200"/>
              <w:rPr>
                <w:bCs/>
                <w:color w:val="auto"/>
                <w:szCs w:val="21"/>
                <w:highlight w:val="none"/>
              </w:rPr>
            </w:pPr>
            <w:r>
              <w:rPr>
                <w:bCs/>
                <w:color w:val="auto"/>
                <w:szCs w:val="21"/>
                <w:highlight w:val="none"/>
              </w:rPr>
              <w:t>本项目基本情况见表2-</w:t>
            </w:r>
            <w:r>
              <w:rPr>
                <w:rFonts w:hint="eastAsia" w:ascii="Times New Roman" w:hAnsi="Times New Roman" w:cs="Times New Roman"/>
                <w:bCs/>
                <w:color w:val="auto"/>
                <w:szCs w:val="21"/>
                <w:highlight w:val="none"/>
                <w:lang w:eastAsia="zh-CN"/>
              </w:rPr>
              <w:t>2</w:t>
            </w:r>
            <w:r>
              <w:rPr>
                <w:bCs/>
                <w:color w:val="auto"/>
                <w:szCs w:val="21"/>
                <w:highlight w:val="none"/>
              </w:rPr>
              <w:t>。</w:t>
            </w:r>
          </w:p>
          <w:p w14:paraId="2A6B976C">
            <w:pPr>
              <w:pStyle w:val="49"/>
              <w:keepNext w:val="0"/>
              <w:keepLines w:val="0"/>
              <w:pageBreakBefore w:val="0"/>
              <w:widowControl w:val="0"/>
              <w:numPr>
                <w:ilvl w:val="0"/>
                <w:numId w:val="3"/>
              </w:numPr>
              <w:kinsoku/>
              <w:wordWrap/>
              <w:overflowPunct/>
              <w:topLinePunct w:val="0"/>
              <w:autoSpaceDE/>
              <w:autoSpaceDN/>
              <w:bidi w:val="0"/>
              <w:adjustRightInd w:val="0"/>
              <w:snapToGrid w:val="0"/>
              <w:spacing w:line="360" w:lineRule="auto"/>
              <w:ind w:left="0" w:firstLine="0" w:firstLineChars="0"/>
              <w:jc w:val="center"/>
              <w:textAlignment w:val="auto"/>
              <w:rPr>
                <w:b/>
                <w:bCs/>
                <w:color w:val="auto"/>
                <w:szCs w:val="21"/>
                <w:highlight w:val="none"/>
              </w:rPr>
            </w:pPr>
            <w:r>
              <w:rPr>
                <w:rFonts w:hint="default"/>
                <w:b/>
                <w:bCs/>
                <w:color w:val="auto"/>
                <w:szCs w:val="21"/>
                <w:highlight w:val="none"/>
              </w:rPr>
              <w:t>项目工程</w:t>
            </w:r>
            <w:r>
              <w:rPr>
                <w:b/>
                <w:bCs/>
                <w:color w:val="auto"/>
                <w:szCs w:val="21"/>
                <w:highlight w:val="none"/>
              </w:rPr>
              <w:t>组成</w:t>
            </w:r>
            <w:r>
              <w:rPr>
                <w:rFonts w:hint="default"/>
                <w:b/>
                <w:bCs/>
                <w:color w:val="auto"/>
                <w:szCs w:val="21"/>
                <w:highlight w:val="none"/>
              </w:rPr>
              <w:t>一览表</w:t>
            </w:r>
            <w:bookmarkStart w:id="24" w:name="_Toc24353"/>
            <w:bookmarkStart w:id="25" w:name="_Toc23848"/>
          </w:p>
          <w:tbl>
            <w:tblPr>
              <w:tblStyle w:val="24"/>
              <w:tblpPr w:leftFromText="180" w:rightFromText="180" w:vertAnchor="text" w:horzAnchor="page" w:tblpXSpec="center" w:tblpY="243"/>
              <w:tblOverlap w:val="never"/>
              <w:tblW w:w="4998" w:type="pct"/>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
            <w:tblGrid>
              <w:gridCol w:w="441"/>
              <w:gridCol w:w="636"/>
              <w:gridCol w:w="1141"/>
              <w:gridCol w:w="4213"/>
              <w:gridCol w:w="905"/>
              <w:gridCol w:w="684"/>
            </w:tblGrid>
            <w:tr w14:paraId="0221025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275" w:type="pct"/>
                  <w:tcBorders>
                    <w:tl2br w:val="nil"/>
                    <w:tr2bl w:val="nil"/>
                  </w:tcBorders>
                  <w:vAlign w:val="center"/>
                </w:tcPr>
                <w:p w14:paraId="6FA39564">
                  <w:pPr>
                    <w:widowControl/>
                    <w:jc w:val="center"/>
                    <w:textAlignment w:val="center"/>
                    <w:rPr>
                      <w:color w:val="auto"/>
                      <w:sz w:val="18"/>
                      <w:szCs w:val="18"/>
                      <w:highlight w:val="none"/>
                    </w:rPr>
                  </w:pPr>
                  <w:r>
                    <w:rPr>
                      <w:color w:val="auto"/>
                      <w:kern w:val="0"/>
                      <w:sz w:val="18"/>
                      <w:szCs w:val="18"/>
                      <w:highlight w:val="none"/>
                      <w:lang w:bidi="ar"/>
                    </w:rPr>
                    <w:t>序号</w:t>
                  </w:r>
                </w:p>
              </w:tc>
              <w:tc>
                <w:tcPr>
                  <w:tcW w:w="1107" w:type="pct"/>
                  <w:gridSpan w:val="2"/>
                  <w:tcBorders>
                    <w:tl2br w:val="nil"/>
                    <w:tr2bl w:val="nil"/>
                  </w:tcBorders>
                  <w:vAlign w:val="center"/>
                </w:tcPr>
                <w:p w14:paraId="567B702B">
                  <w:pPr>
                    <w:widowControl/>
                    <w:jc w:val="center"/>
                    <w:textAlignment w:val="center"/>
                    <w:rPr>
                      <w:color w:val="auto"/>
                      <w:sz w:val="18"/>
                      <w:szCs w:val="18"/>
                      <w:highlight w:val="none"/>
                    </w:rPr>
                  </w:pPr>
                  <w:r>
                    <w:rPr>
                      <w:color w:val="auto"/>
                      <w:kern w:val="0"/>
                      <w:sz w:val="18"/>
                      <w:szCs w:val="18"/>
                      <w:highlight w:val="none"/>
                      <w:lang w:bidi="ar"/>
                    </w:rPr>
                    <w:t>工程类别</w:t>
                  </w:r>
                </w:p>
              </w:tc>
              <w:tc>
                <w:tcPr>
                  <w:tcW w:w="2625" w:type="pct"/>
                  <w:tcBorders>
                    <w:tl2br w:val="nil"/>
                    <w:tr2bl w:val="nil"/>
                  </w:tcBorders>
                  <w:vAlign w:val="center"/>
                </w:tcPr>
                <w:p w14:paraId="4884EAA2">
                  <w:pPr>
                    <w:widowControl/>
                    <w:jc w:val="center"/>
                    <w:textAlignment w:val="center"/>
                    <w:rPr>
                      <w:color w:val="auto"/>
                      <w:sz w:val="18"/>
                      <w:szCs w:val="18"/>
                      <w:highlight w:val="none"/>
                    </w:rPr>
                  </w:pPr>
                  <w:r>
                    <w:rPr>
                      <w:color w:val="auto"/>
                      <w:kern w:val="0"/>
                      <w:sz w:val="18"/>
                      <w:szCs w:val="18"/>
                      <w:highlight w:val="none"/>
                      <w:lang w:bidi="ar"/>
                    </w:rPr>
                    <w:t>主要内容</w:t>
                  </w:r>
                </w:p>
              </w:tc>
              <w:tc>
                <w:tcPr>
                  <w:tcW w:w="564" w:type="pct"/>
                  <w:tcBorders>
                    <w:tl2br w:val="nil"/>
                    <w:tr2bl w:val="nil"/>
                  </w:tcBorders>
                  <w:vAlign w:val="center"/>
                </w:tcPr>
                <w:p w14:paraId="239BE8BA">
                  <w:pPr>
                    <w:widowControl/>
                    <w:jc w:val="center"/>
                    <w:textAlignment w:val="center"/>
                    <w:rPr>
                      <w:color w:val="auto"/>
                      <w:sz w:val="18"/>
                      <w:szCs w:val="18"/>
                      <w:highlight w:val="none"/>
                    </w:rPr>
                  </w:pPr>
                  <w:r>
                    <w:rPr>
                      <w:color w:val="auto"/>
                      <w:kern w:val="0"/>
                      <w:sz w:val="18"/>
                      <w:szCs w:val="18"/>
                      <w:highlight w:val="none"/>
                      <w:lang w:bidi="ar"/>
                    </w:rPr>
                    <w:t>规模/参数</w:t>
                  </w:r>
                </w:p>
              </w:tc>
              <w:tc>
                <w:tcPr>
                  <w:tcW w:w="426" w:type="pct"/>
                  <w:tcBorders>
                    <w:tl2br w:val="nil"/>
                    <w:tr2bl w:val="nil"/>
                  </w:tcBorders>
                  <w:vAlign w:val="center"/>
                </w:tcPr>
                <w:p w14:paraId="1D128121">
                  <w:pPr>
                    <w:widowControl/>
                    <w:jc w:val="center"/>
                    <w:textAlignment w:val="center"/>
                    <w:rPr>
                      <w:color w:val="auto"/>
                      <w:sz w:val="18"/>
                      <w:szCs w:val="18"/>
                      <w:highlight w:val="none"/>
                    </w:rPr>
                  </w:pPr>
                  <w:r>
                    <w:rPr>
                      <w:color w:val="auto"/>
                      <w:kern w:val="0"/>
                      <w:sz w:val="18"/>
                      <w:szCs w:val="18"/>
                      <w:highlight w:val="none"/>
                      <w:lang w:bidi="ar"/>
                    </w:rPr>
                    <w:t>备注</w:t>
                  </w:r>
                </w:p>
              </w:tc>
            </w:tr>
            <w:tr w14:paraId="1E83D56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275" w:type="pct"/>
                  <w:tcBorders>
                    <w:tl2br w:val="nil"/>
                    <w:tr2bl w:val="nil"/>
                  </w:tcBorders>
                  <w:vAlign w:val="center"/>
                </w:tcPr>
                <w:p w14:paraId="555D3BA8">
                  <w:pPr>
                    <w:widowControl/>
                    <w:jc w:val="center"/>
                    <w:textAlignment w:val="center"/>
                    <w:rPr>
                      <w:color w:val="auto"/>
                      <w:sz w:val="18"/>
                      <w:szCs w:val="18"/>
                      <w:highlight w:val="none"/>
                    </w:rPr>
                  </w:pPr>
                  <w:r>
                    <w:rPr>
                      <w:color w:val="auto"/>
                      <w:kern w:val="0"/>
                      <w:sz w:val="18"/>
                      <w:szCs w:val="18"/>
                      <w:highlight w:val="none"/>
                      <w:lang w:bidi="ar"/>
                    </w:rPr>
                    <w:t>1</w:t>
                  </w:r>
                </w:p>
              </w:tc>
              <w:tc>
                <w:tcPr>
                  <w:tcW w:w="396" w:type="pct"/>
                  <w:vMerge w:val="restart"/>
                  <w:tcBorders>
                    <w:tl2br w:val="nil"/>
                    <w:tr2bl w:val="nil"/>
                  </w:tcBorders>
                  <w:vAlign w:val="center"/>
                </w:tcPr>
                <w:p w14:paraId="3A6875FE">
                  <w:pPr>
                    <w:widowControl/>
                    <w:jc w:val="center"/>
                    <w:textAlignment w:val="center"/>
                    <w:rPr>
                      <w:color w:val="auto"/>
                      <w:sz w:val="18"/>
                      <w:szCs w:val="18"/>
                      <w:highlight w:val="none"/>
                    </w:rPr>
                  </w:pPr>
                  <w:r>
                    <w:rPr>
                      <w:color w:val="auto"/>
                      <w:kern w:val="0"/>
                      <w:sz w:val="18"/>
                      <w:szCs w:val="18"/>
                      <w:highlight w:val="none"/>
                      <w:lang w:bidi="ar"/>
                    </w:rPr>
                    <w:t>主体工程</w:t>
                  </w:r>
                </w:p>
              </w:tc>
              <w:tc>
                <w:tcPr>
                  <w:tcW w:w="710" w:type="pct"/>
                  <w:tcBorders>
                    <w:tl2br w:val="nil"/>
                    <w:tr2bl w:val="nil"/>
                  </w:tcBorders>
                  <w:vAlign w:val="center"/>
                </w:tcPr>
                <w:p w14:paraId="017E7D0B">
                  <w:pPr>
                    <w:widowControl/>
                    <w:jc w:val="center"/>
                    <w:textAlignment w:val="center"/>
                    <w:rPr>
                      <w:color w:val="auto"/>
                      <w:sz w:val="18"/>
                      <w:szCs w:val="18"/>
                      <w:highlight w:val="none"/>
                    </w:rPr>
                  </w:pPr>
                  <w:r>
                    <w:rPr>
                      <w:color w:val="auto"/>
                      <w:kern w:val="0"/>
                      <w:sz w:val="18"/>
                      <w:szCs w:val="18"/>
                      <w:highlight w:val="none"/>
                      <w:lang w:bidi="ar"/>
                    </w:rPr>
                    <w:t>研磨房</w:t>
                  </w:r>
                </w:p>
              </w:tc>
              <w:tc>
                <w:tcPr>
                  <w:tcW w:w="2625" w:type="pct"/>
                  <w:tcBorders>
                    <w:tl2br w:val="nil"/>
                    <w:tr2bl w:val="nil"/>
                  </w:tcBorders>
                  <w:vAlign w:val="center"/>
                </w:tcPr>
                <w:p w14:paraId="2E9E303A">
                  <w:pPr>
                    <w:widowControl/>
                    <w:jc w:val="both"/>
                    <w:textAlignment w:val="center"/>
                    <w:rPr>
                      <w:rFonts w:hint="default" w:eastAsia="宋体"/>
                      <w:color w:val="auto"/>
                      <w:sz w:val="18"/>
                      <w:szCs w:val="18"/>
                      <w:highlight w:val="none"/>
                      <w:lang w:val="en-US" w:eastAsia="zh-CN"/>
                    </w:rPr>
                  </w:pPr>
                  <w:r>
                    <w:rPr>
                      <w:color w:val="auto"/>
                      <w:kern w:val="0"/>
                      <w:sz w:val="18"/>
                      <w:szCs w:val="18"/>
                      <w:highlight w:val="none"/>
                      <w:lang w:bidi="ar"/>
                    </w:rPr>
                    <w:t>进行精细研磨工序</w:t>
                  </w:r>
                  <w:r>
                    <w:rPr>
                      <w:rFonts w:hint="default"/>
                      <w:color w:val="auto"/>
                      <w:kern w:val="0"/>
                      <w:sz w:val="18"/>
                      <w:szCs w:val="18"/>
                      <w:highlight w:val="none"/>
                      <w:lang w:eastAsia="zh-CN" w:bidi="ar"/>
                    </w:rPr>
                    <w:t>，</w:t>
                  </w:r>
                  <w:r>
                    <w:rPr>
                      <w:rFonts w:hint="default"/>
                      <w:color w:val="auto"/>
                      <w:kern w:val="0"/>
                      <w:sz w:val="18"/>
                      <w:szCs w:val="18"/>
                      <w:highlight w:val="none"/>
                      <w:lang w:val="en-US" w:eastAsia="zh-CN" w:bidi="ar"/>
                    </w:rPr>
                    <w:t>设置1台砂磨机等</w:t>
                  </w:r>
                  <w:r>
                    <w:rPr>
                      <w:rFonts w:hint="eastAsia"/>
                      <w:color w:val="auto"/>
                      <w:kern w:val="0"/>
                      <w:sz w:val="18"/>
                      <w:szCs w:val="18"/>
                      <w:highlight w:val="none"/>
                      <w:lang w:val="en-US" w:eastAsia="zh-CN" w:bidi="ar"/>
                    </w:rPr>
                    <w:t>。</w:t>
                  </w:r>
                </w:p>
              </w:tc>
              <w:tc>
                <w:tcPr>
                  <w:tcW w:w="564" w:type="pct"/>
                  <w:tcBorders>
                    <w:tl2br w:val="nil"/>
                    <w:tr2bl w:val="nil"/>
                  </w:tcBorders>
                  <w:vAlign w:val="center"/>
                </w:tcPr>
                <w:p w14:paraId="2A10DE8A">
                  <w:pPr>
                    <w:widowControl/>
                    <w:jc w:val="center"/>
                    <w:textAlignment w:val="center"/>
                    <w:rPr>
                      <w:color w:val="auto"/>
                      <w:sz w:val="18"/>
                      <w:szCs w:val="18"/>
                      <w:highlight w:val="none"/>
                    </w:rPr>
                  </w:pPr>
                  <w:r>
                    <w:rPr>
                      <w:color w:val="auto"/>
                      <w:kern w:val="0"/>
                      <w:sz w:val="18"/>
                      <w:szCs w:val="18"/>
                      <w:highlight w:val="none"/>
                      <w:lang w:bidi="ar"/>
                    </w:rPr>
                    <w:t>200 m²</w:t>
                  </w:r>
                </w:p>
              </w:tc>
              <w:tc>
                <w:tcPr>
                  <w:tcW w:w="426" w:type="pct"/>
                  <w:tcBorders>
                    <w:tl2br w:val="nil"/>
                    <w:tr2bl w:val="nil"/>
                  </w:tcBorders>
                  <w:vAlign w:val="center"/>
                </w:tcPr>
                <w:p w14:paraId="36BD1A1D">
                  <w:pPr>
                    <w:widowControl/>
                    <w:jc w:val="center"/>
                    <w:textAlignment w:val="center"/>
                    <w:rPr>
                      <w:color w:val="auto"/>
                      <w:sz w:val="18"/>
                      <w:szCs w:val="18"/>
                      <w:highlight w:val="none"/>
                    </w:rPr>
                  </w:pPr>
                  <w:r>
                    <w:rPr>
                      <w:color w:val="auto"/>
                      <w:kern w:val="0"/>
                      <w:sz w:val="18"/>
                      <w:szCs w:val="18"/>
                      <w:highlight w:val="none"/>
                      <w:lang w:bidi="ar"/>
                    </w:rPr>
                    <w:t>新建</w:t>
                  </w:r>
                </w:p>
              </w:tc>
            </w:tr>
            <w:tr w14:paraId="45782BD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275" w:type="pct"/>
                  <w:tcBorders>
                    <w:tl2br w:val="nil"/>
                    <w:tr2bl w:val="nil"/>
                  </w:tcBorders>
                  <w:vAlign w:val="center"/>
                </w:tcPr>
                <w:p w14:paraId="52BCE32D">
                  <w:pPr>
                    <w:widowControl/>
                    <w:jc w:val="center"/>
                    <w:textAlignment w:val="center"/>
                    <w:rPr>
                      <w:color w:val="auto"/>
                      <w:sz w:val="18"/>
                      <w:szCs w:val="18"/>
                      <w:highlight w:val="none"/>
                    </w:rPr>
                  </w:pPr>
                  <w:r>
                    <w:rPr>
                      <w:color w:val="auto"/>
                      <w:kern w:val="0"/>
                      <w:sz w:val="18"/>
                      <w:szCs w:val="18"/>
                      <w:highlight w:val="none"/>
                      <w:lang w:bidi="ar"/>
                    </w:rPr>
                    <w:t>2</w:t>
                  </w:r>
                </w:p>
              </w:tc>
              <w:tc>
                <w:tcPr>
                  <w:tcW w:w="396" w:type="pct"/>
                  <w:vMerge w:val="continue"/>
                  <w:tcBorders>
                    <w:tl2br w:val="nil"/>
                    <w:tr2bl w:val="nil"/>
                  </w:tcBorders>
                  <w:vAlign w:val="center"/>
                </w:tcPr>
                <w:p w14:paraId="4C63A919">
                  <w:pPr>
                    <w:widowControl/>
                    <w:jc w:val="center"/>
                    <w:rPr>
                      <w:color w:val="auto"/>
                      <w:sz w:val="18"/>
                      <w:szCs w:val="18"/>
                      <w:highlight w:val="none"/>
                    </w:rPr>
                  </w:pPr>
                </w:p>
              </w:tc>
              <w:tc>
                <w:tcPr>
                  <w:tcW w:w="710" w:type="pct"/>
                  <w:tcBorders>
                    <w:tl2br w:val="nil"/>
                    <w:tr2bl w:val="nil"/>
                  </w:tcBorders>
                  <w:vAlign w:val="center"/>
                </w:tcPr>
                <w:p w14:paraId="4C17767B">
                  <w:pPr>
                    <w:widowControl/>
                    <w:jc w:val="center"/>
                    <w:textAlignment w:val="center"/>
                    <w:rPr>
                      <w:color w:val="auto"/>
                      <w:sz w:val="18"/>
                      <w:szCs w:val="18"/>
                      <w:highlight w:val="none"/>
                    </w:rPr>
                  </w:pPr>
                  <w:r>
                    <w:rPr>
                      <w:color w:val="auto"/>
                      <w:kern w:val="0"/>
                      <w:sz w:val="18"/>
                      <w:szCs w:val="18"/>
                      <w:highlight w:val="none"/>
                      <w:lang w:bidi="ar"/>
                    </w:rPr>
                    <w:t>喷雾</w:t>
                  </w:r>
                  <w:r>
                    <w:rPr>
                      <w:rFonts w:hint="default"/>
                      <w:color w:val="auto"/>
                      <w:kern w:val="0"/>
                      <w:sz w:val="18"/>
                      <w:szCs w:val="18"/>
                      <w:highlight w:val="none"/>
                      <w:lang w:bidi="ar"/>
                    </w:rPr>
                    <w:t>干燥</w:t>
                  </w:r>
                  <w:r>
                    <w:rPr>
                      <w:color w:val="auto"/>
                      <w:kern w:val="0"/>
                      <w:sz w:val="18"/>
                      <w:szCs w:val="18"/>
                      <w:highlight w:val="none"/>
                      <w:lang w:bidi="ar"/>
                    </w:rPr>
                    <w:t>房</w:t>
                  </w:r>
                </w:p>
              </w:tc>
              <w:tc>
                <w:tcPr>
                  <w:tcW w:w="2625" w:type="pct"/>
                  <w:tcBorders>
                    <w:tl2br w:val="nil"/>
                    <w:tr2bl w:val="nil"/>
                  </w:tcBorders>
                  <w:vAlign w:val="center"/>
                </w:tcPr>
                <w:p w14:paraId="25A85A28">
                  <w:pPr>
                    <w:widowControl/>
                    <w:jc w:val="both"/>
                    <w:textAlignment w:val="center"/>
                    <w:rPr>
                      <w:rFonts w:hint="default" w:eastAsia="宋体"/>
                      <w:color w:val="auto"/>
                      <w:sz w:val="18"/>
                      <w:szCs w:val="18"/>
                      <w:highlight w:val="none"/>
                      <w:lang w:val="en-US" w:eastAsia="zh-CN"/>
                    </w:rPr>
                  </w:pPr>
                  <w:r>
                    <w:rPr>
                      <w:color w:val="auto"/>
                      <w:kern w:val="0"/>
                      <w:sz w:val="18"/>
                      <w:szCs w:val="18"/>
                      <w:highlight w:val="none"/>
                      <w:lang w:bidi="ar"/>
                    </w:rPr>
                    <w:t>进行喷雾干燥工序</w:t>
                  </w:r>
                  <w:r>
                    <w:rPr>
                      <w:rFonts w:hint="default"/>
                      <w:color w:val="auto"/>
                      <w:kern w:val="0"/>
                      <w:sz w:val="18"/>
                      <w:szCs w:val="18"/>
                      <w:highlight w:val="none"/>
                      <w:lang w:eastAsia="zh-CN" w:bidi="ar"/>
                    </w:rPr>
                    <w:t>，</w:t>
                  </w:r>
                  <w:r>
                    <w:rPr>
                      <w:rFonts w:hint="default"/>
                      <w:color w:val="auto"/>
                      <w:kern w:val="0"/>
                      <w:sz w:val="18"/>
                      <w:szCs w:val="18"/>
                      <w:highlight w:val="none"/>
                      <w:lang w:val="en-US" w:eastAsia="zh-CN" w:bidi="ar"/>
                    </w:rPr>
                    <w:t>设置2台喷雾干燥器</w:t>
                  </w:r>
                  <w:r>
                    <w:rPr>
                      <w:rFonts w:hint="eastAsia"/>
                      <w:color w:val="auto"/>
                      <w:kern w:val="0"/>
                      <w:sz w:val="18"/>
                      <w:szCs w:val="18"/>
                      <w:highlight w:val="none"/>
                      <w:lang w:val="en-US" w:eastAsia="zh-CN" w:bidi="ar"/>
                    </w:rPr>
                    <w:t>。</w:t>
                  </w:r>
                </w:p>
              </w:tc>
              <w:tc>
                <w:tcPr>
                  <w:tcW w:w="564" w:type="pct"/>
                  <w:tcBorders>
                    <w:tl2br w:val="nil"/>
                    <w:tr2bl w:val="nil"/>
                  </w:tcBorders>
                  <w:vAlign w:val="center"/>
                </w:tcPr>
                <w:p w14:paraId="512915C8">
                  <w:pPr>
                    <w:widowControl/>
                    <w:jc w:val="center"/>
                    <w:textAlignment w:val="center"/>
                    <w:rPr>
                      <w:color w:val="auto"/>
                      <w:sz w:val="18"/>
                      <w:szCs w:val="18"/>
                      <w:highlight w:val="none"/>
                    </w:rPr>
                  </w:pPr>
                  <w:r>
                    <w:rPr>
                      <w:color w:val="auto"/>
                      <w:kern w:val="0"/>
                      <w:sz w:val="18"/>
                      <w:szCs w:val="18"/>
                      <w:highlight w:val="none"/>
                      <w:lang w:bidi="ar"/>
                    </w:rPr>
                    <w:t>100 m²</w:t>
                  </w:r>
                </w:p>
              </w:tc>
              <w:tc>
                <w:tcPr>
                  <w:tcW w:w="426" w:type="pct"/>
                  <w:tcBorders>
                    <w:tl2br w:val="nil"/>
                    <w:tr2bl w:val="nil"/>
                  </w:tcBorders>
                  <w:vAlign w:val="center"/>
                </w:tcPr>
                <w:p w14:paraId="3F8ECF1C">
                  <w:pPr>
                    <w:widowControl/>
                    <w:jc w:val="center"/>
                    <w:textAlignment w:val="center"/>
                    <w:rPr>
                      <w:color w:val="auto"/>
                      <w:sz w:val="18"/>
                      <w:szCs w:val="18"/>
                      <w:highlight w:val="none"/>
                    </w:rPr>
                  </w:pPr>
                  <w:r>
                    <w:rPr>
                      <w:color w:val="auto"/>
                      <w:kern w:val="0"/>
                      <w:sz w:val="18"/>
                      <w:szCs w:val="18"/>
                      <w:highlight w:val="none"/>
                      <w:lang w:bidi="ar"/>
                    </w:rPr>
                    <w:t>新建</w:t>
                  </w:r>
                </w:p>
              </w:tc>
            </w:tr>
            <w:tr w14:paraId="0029AD5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275" w:type="pct"/>
                  <w:tcBorders>
                    <w:tl2br w:val="nil"/>
                    <w:tr2bl w:val="nil"/>
                  </w:tcBorders>
                  <w:vAlign w:val="center"/>
                </w:tcPr>
                <w:p w14:paraId="3BD43559">
                  <w:pPr>
                    <w:widowControl/>
                    <w:jc w:val="center"/>
                    <w:textAlignment w:val="center"/>
                    <w:rPr>
                      <w:color w:val="auto"/>
                      <w:sz w:val="18"/>
                      <w:szCs w:val="18"/>
                      <w:highlight w:val="none"/>
                    </w:rPr>
                  </w:pPr>
                  <w:r>
                    <w:rPr>
                      <w:color w:val="auto"/>
                      <w:kern w:val="0"/>
                      <w:sz w:val="18"/>
                      <w:szCs w:val="18"/>
                      <w:highlight w:val="none"/>
                      <w:lang w:bidi="ar"/>
                    </w:rPr>
                    <w:t>3</w:t>
                  </w:r>
                </w:p>
              </w:tc>
              <w:tc>
                <w:tcPr>
                  <w:tcW w:w="396" w:type="pct"/>
                  <w:vMerge w:val="continue"/>
                  <w:tcBorders>
                    <w:tl2br w:val="nil"/>
                    <w:tr2bl w:val="nil"/>
                  </w:tcBorders>
                  <w:vAlign w:val="center"/>
                </w:tcPr>
                <w:p w14:paraId="58110549">
                  <w:pPr>
                    <w:widowControl/>
                    <w:jc w:val="center"/>
                    <w:rPr>
                      <w:color w:val="auto"/>
                      <w:sz w:val="18"/>
                      <w:szCs w:val="18"/>
                      <w:highlight w:val="none"/>
                    </w:rPr>
                  </w:pPr>
                </w:p>
              </w:tc>
              <w:tc>
                <w:tcPr>
                  <w:tcW w:w="710" w:type="pct"/>
                  <w:tcBorders>
                    <w:tl2br w:val="nil"/>
                    <w:tr2bl w:val="nil"/>
                  </w:tcBorders>
                  <w:vAlign w:val="center"/>
                </w:tcPr>
                <w:p w14:paraId="236DC29C">
                  <w:pPr>
                    <w:widowControl/>
                    <w:jc w:val="center"/>
                    <w:textAlignment w:val="center"/>
                    <w:rPr>
                      <w:color w:val="auto"/>
                      <w:sz w:val="18"/>
                      <w:szCs w:val="18"/>
                      <w:highlight w:val="none"/>
                    </w:rPr>
                  </w:pPr>
                  <w:r>
                    <w:rPr>
                      <w:color w:val="auto"/>
                      <w:kern w:val="0"/>
                      <w:sz w:val="18"/>
                      <w:szCs w:val="18"/>
                      <w:highlight w:val="none"/>
                      <w:lang w:bidi="ar"/>
                    </w:rPr>
                    <w:t>窑炉房</w:t>
                  </w:r>
                </w:p>
              </w:tc>
              <w:tc>
                <w:tcPr>
                  <w:tcW w:w="2625" w:type="pct"/>
                  <w:tcBorders>
                    <w:tl2br w:val="nil"/>
                    <w:tr2bl w:val="nil"/>
                  </w:tcBorders>
                  <w:vAlign w:val="center"/>
                </w:tcPr>
                <w:p w14:paraId="34939E2D">
                  <w:pPr>
                    <w:widowControl/>
                    <w:jc w:val="both"/>
                    <w:textAlignment w:val="center"/>
                    <w:rPr>
                      <w:rFonts w:hint="default" w:eastAsia="宋体"/>
                      <w:color w:val="auto"/>
                      <w:sz w:val="18"/>
                      <w:szCs w:val="18"/>
                      <w:highlight w:val="none"/>
                      <w:lang w:val="en-US" w:eastAsia="zh-CN"/>
                    </w:rPr>
                  </w:pPr>
                  <w:r>
                    <w:rPr>
                      <w:color w:val="auto"/>
                      <w:kern w:val="0"/>
                      <w:sz w:val="18"/>
                      <w:szCs w:val="18"/>
                      <w:highlight w:val="none"/>
                      <w:lang w:bidi="ar"/>
                    </w:rPr>
                    <w:t>进行烧结工序</w:t>
                  </w:r>
                  <w:r>
                    <w:rPr>
                      <w:rFonts w:hint="default"/>
                      <w:color w:val="auto"/>
                      <w:kern w:val="0"/>
                      <w:sz w:val="18"/>
                      <w:szCs w:val="18"/>
                      <w:highlight w:val="none"/>
                      <w:lang w:eastAsia="zh-CN" w:bidi="ar"/>
                    </w:rPr>
                    <w:t>，</w:t>
                  </w:r>
                  <w:r>
                    <w:rPr>
                      <w:rFonts w:hint="default"/>
                      <w:color w:val="auto"/>
                      <w:kern w:val="0"/>
                      <w:sz w:val="18"/>
                      <w:szCs w:val="18"/>
                      <w:highlight w:val="none"/>
                      <w:lang w:val="en-US" w:eastAsia="zh-CN" w:bidi="ar"/>
                    </w:rPr>
                    <w:t>设置4台箱式炉</w:t>
                  </w:r>
                  <w:r>
                    <w:rPr>
                      <w:rFonts w:hint="eastAsia"/>
                      <w:color w:val="auto"/>
                      <w:kern w:val="0"/>
                      <w:sz w:val="18"/>
                      <w:szCs w:val="18"/>
                      <w:highlight w:val="none"/>
                      <w:lang w:val="en-US" w:eastAsia="zh-CN" w:bidi="ar"/>
                    </w:rPr>
                    <w:t>。</w:t>
                  </w:r>
                </w:p>
              </w:tc>
              <w:tc>
                <w:tcPr>
                  <w:tcW w:w="564" w:type="pct"/>
                  <w:tcBorders>
                    <w:tl2br w:val="nil"/>
                    <w:tr2bl w:val="nil"/>
                  </w:tcBorders>
                  <w:vAlign w:val="center"/>
                </w:tcPr>
                <w:p w14:paraId="3FCAE21B">
                  <w:pPr>
                    <w:widowControl/>
                    <w:jc w:val="center"/>
                    <w:textAlignment w:val="center"/>
                    <w:rPr>
                      <w:color w:val="auto"/>
                      <w:sz w:val="18"/>
                      <w:szCs w:val="18"/>
                      <w:highlight w:val="none"/>
                    </w:rPr>
                  </w:pPr>
                  <w:r>
                    <w:rPr>
                      <w:color w:val="auto"/>
                      <w:kern w:val="0"/>
                      <w:sz w:val="18"/>
                      <w:szCs w:val="18"/>
                      <w:highlight w:val="none"/>
                      <w:lang w:bidi="ar"/>
                    </w:rPr>
                    <w:t>250 m²</w:t>
                  </w:r>
                </w:p>
              </w:tc>
              <w:tc>
                <w:tcPr>
                  <w:tcW w:w="426" w:type="pct"/>
                  <w:tcBorders>
                    <w:tl2br w:val="nil"/>
                    <w:tr2bl w:val="nil"/>
                  </w:tcBorders>
                  <w:vAlign w:val="center"/>
                </w:tcPr>
                <w:p w14:paraId="1C50BF7D">
                  <w:pPr>
                    <w:widowControl/>
                    <w:jc w:val="center"/>
                    <w:textAlignment w:val="center"/>
                    <w:rPr>
                      <w:color w:val="auto"/>
                      <w:sz w:val="18"/>
                      <w:szCs w:val="18"/>
                      <w:highlight w:val="none"/>
                    </w:rPr>
                  </w:pPr>
                  <w:r>
                    <w:rPr>
                      <w:color w:val="auto"/>
                      <w:kern w:val="0"/>
                      <w:sz w:val="18"/>
                      <w:szCs w:val="18"/>
                      <w:highlight w:val="none"/>
                      <w:lang w:bidi="ar"/>
                    </w:rPr>
                    <w:t>新建</w:t>
                  </w:r>
                </w:p>
              </w:tc>
            </w:tr>
            <w:tr w14:paraId="528E116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275" w:type="pct"/>
                  <w:tcBorders>
                    <w:tl2br w:val="nil"/>
                    <w:tr2bl w:val="nil"/>
                  </w:tcBorders>
                  <w:vAlign w:val="center"/>
                </w:tcPr>
                <w:p w14:paraId="0F821C68">
                  <w:pPr>
                    <w:widowControl/>
                    <w:jc w:val="center"/>
                    <w:textAlignment w:val="center"/>
                    <w:rPr>
                      <w:color w:val="auto"/>
                      <w:sz w:val="18"/>
                      <w:szCs w:val="18"/>
                      <w:highlight w:val="none"/>
                    </w:rPr>
                  </w:pPr>
                  <w:r>
                    <w:rPr>
                      <w:color w:val="auto"/>
                      <w:kern w:val="0"/>
                      <w:sz w:val="18"/>
                      <w:szCs w:val="18"/>
                      <w:highlight w:val="none"/>
                      <w:lang w:bidi="ar"/>
                    </w:rPr>
                    <w:t>4</w:t>
                  </w:r>
                </w:p>
              </w:tc>
              <w:tc>
                <w:tcPr>
                  <w:tcW w:w="396" w:type="pct"/>
                  <w:vMerge w:val="continue"/>
                  <w:tcBorders>
                    <w:tl2br w:val="nil"/>
                    <w:tr2bl w:val="nil"/>
                  </w:tcBorders>
                  <w:vAlign w:val="center"/>
                </w:tcPr>
                <w:p w14:paraId="2858927C">
                  <w:pPr>
                    <w:widowControl/>
                    <w:jc w:val="center"/>
                    <w:rPr>
                      <w:color w:val="auto"/>
                      <w:sz w:val="18"/>
                      <w:szCs w:val="18"/>
                      <w:highlight w:val="none"/>
                    </w:rPr>
                  </w:pPr>
                </w:p>
              </w:tc>
              <w:tc>
                <w:tcPr>
                  <w:tcW w:w="710" w:type="pct"/>
                  <w:tcBorders>
                    <w:tl2br w:val="nil"/>
                    <w:tr2bl w:val="nil"/>
                  </w:tcBorders>
                  <w:vAlign w:val="center"/>
                </w:tcPr>
                <w:p w14:paraId="0E40050F">
                  <w:pPr>
                    <w:widowControl/>
                    <w:jc w:val="center"/>
                    <w:textAlignment w:val="center"/>
                    <w:rPr>
                      <w:color w:val="auto"/>
                      <w:sz w:val="18"/>
                      <w:szCs w:val="18"/>
                      <w:highlight w:val="none"/>
                    </w:rPr>
                  </w:pPr>
                  <w:r>
                    <w:rPr>
                      <w:color w:val="auto"/>
                      <w:kern w:val="0"/>
                      <w:sz w:val="18"/>
                      <w:szCs w:val="18"/>
                      <w:highlight w:val="none"/>
                      <w:lang w:bidi="ar"/>
                    </w:rPr>
                    <w:t>气流粉</w:t>
                  </w:r>
                  <w:r>
                    <w:rPr>
                      <w:rFonts w:hint="default"/>
                      <w:color w:val="auto"/>
                      <w:kern w:val="0"/>
                      <w:sz w:val="18"/>
                      <w:szCs w:val="18"/>
                      <w:highlight w:val="none"/>
                      <w:lang w:bidi="ar"/>
                    </w:rPr>
                    <w:t>碎</w:t>
                  </w:r>
                  <w:r>
                    <w:rPr>
                      <w:color w:val="auto"/>
                      <w:kern w:val="0"/>
                      <w:sz w:val="18"/>
                      <w:szCs w:val="18"/>
                      <w:highlight w:val="none"/>
                      <w:lang w:bidi="ar"/>
                    </w:rPr>
                    <w:t>房</w:t>
                  </w:r>
                </w:p>
              </w:tc>
              <w:tc>
                <w:tcPr>
                  <w:tcW w:w="2625" w:type="pct"/>
                  <w:tcBorders>
                    <w:tl2br w:val="nil"/>
                    <w:tr2bl w:val="nil"/>
                  </w:tcBorders>
                  <w:vAlign w:val="center"/>
                </w:tcPr>
                <w:p w14:paraId="086DFE04">
                  <w:pPr>
                    <w:widowControl/>
                    <w:jc w:val="both"/>
                    <w:textAlignment w:val="center"/>
                    <w:rPr>
                      <w:rFonts w:hint="default" w:eastAsia="宋体"/>
                      <w:color w:val="auto"/>
                      <w:sz w:val="18"/>
                      <w:szCs w:val="18"/>
                      <w:highlight w:val="none"/>
                      <w:lang w:val="en-US" w:eastAsia="zh-CN"/>
                    </w:rPr>
                  </w:pPr>
                  <w:r>
                    <w:rPr>
                      <w:color w:val="auto"/>
                      <w:kern w:val="0"/>
                      <w:sz w:val="18"/>
                      <w:szCs w:val="18"/>
                      <w:highlight w:val="none"/>
                      <w:lang w:bidi="ar"/>
                    </w:rPr>
                    <w:t>进行</w:t>
                  </w:r>
                  <w:r>
                    <w:rPr>
                      <w:rFonts w:hint="default"/>
                      <w:color w:val="auto"/>
                      <w:kern w:val="0"/>
                      <w:sz w:val="18"/>
                      <w:szCs w:val="18"/>
                      <w:highlight w:val="none"/>
                      <w:lang w:val="en-US" w:eastAsia="zh-CN" w:bidi="ar"/>
                    </w:rPr>
                    <w:t>气流粉碎</w:t>
                  </w:r>
                  <w:r>
                    <w:rPr>
                      <w:color w:val="auto"/>
                      <w:kern w:val="0"/>
                      <w:sz w:val="18"/>
                      <w:szCs w:val="18"/>
                      <w:highlight w:val="none"/>
                      <w:lang w:bidi="ar"/>
                    </w:rPr>
                    <w:t>工序</w:t>
                  </w:r>
                  <w:r>
                    <w:rPr>
                      <w:rFonts w:hint="default"/>
                      <w:color w:val="auto"/>
                      <w:kern w:val="0"/>
                      <w:sz w:val="18"/>
                      <w:szCs w:val="18"/>
                      <w:highlight w:val="none"/>
                      <w:lang w:eastAsia="zh-CN" w:bidi="ar"/>
                    </w:rPr>
                    <w:t>，</w:t>
                  </w:r>
                  <w:r>
                    <w:rPr>
                      <w:rFonts w:hint="default"/>
                      <w:color w:val="auto"/>
                      <w:kern w:val="0"/>
                      <w:sz w:val="18"/>
                      <w:szCs w:val="18"/>
                      <w:highlight w:val="none"/>
                      <w:lang w:val="en-US" w:eastAsia="zh-CN" w:bidi="ar"/>
                    </w:rPr>
                    <w:t>设置气流粉碎机等</w:t>
                  </w:r>
                  <w:r>
                    <w:rPr>
                      <w:rFonts w:hint="eastAsia"/>
                      <w:color w:val="auto"/>
                      <w:kern w:val="0"/>
                      <w:sz w:val="18"/>
                      <w:szCs w:val="18"/>
                      <w:highlight w:val="none"/>
                      <w:lang w:val="en-US" w:eastAsia="zh-CN" w:bidi="ar"/>
                    </w:rPr>
                    <w:t>。</w:t>
                  </w:r>
                </w:p>
              </w:tc>
              <w:tc>
                <w:tcPr>
                  <w:tcW w:w="564" w:type="pct"/>
                  <w:tcBorders>
                    <w:tl2br w:val="nil"/>
                    <w:tr2bl w:val="nil"/>
                  </w:tcBorders>
                  <w:vAlign w:val="center"/>
                </w:tcPr>
                <w:p w14:paraId="2F76E018">
                  <w:pPr>
                    <w:widowControl/>
                    <w:jc w:val="center"/>
                    <w:textAlignment w:val="center"/>
                    <w:rPr>
                      <w:color w:val="auto"/>
                      <w:sz w:val="18"/>
                      <w:szCs w:val="18"/>
                      <w:highlight w:val="none"/>
                    </w:rPr>
                  </w:pPr>
                  <w:r>
                    <w:rPr>
                      <w:color w:val="auto"/>
                      <w:kern w:val="0"/>
                      <w:sz w:val="18"/>
                      <w:szCs w:val="18"/>
                      <w:highlight w:val="none"/>
                      <w:lang w:bidi="ar"/>
                    </w:rPr>
                    <w:t>200 m²</w:t>
                  </w:r>
                </w:p>
              </w:tc>
              <w:tc>
                <w:tcPr>
                  <w:tcW w:w="426" w:type="pct"/>
                  <w:tcBorders>
                    <w:tl2br w:val="nil"/>
                    <w:tr2bl w:val="nil"/>
                  </w:tcBorders>
                  <w:vAlign w:val="center"/>
                </w:tcPr>
                <w:p w14:paraId="67E5057B">
                  <w:pPr>
                    <w:widowControl/>
                    <w:jc w:val="center"/>
                    <w:textAlignment w:val="center"/>
                    <w:rPr>
                      <w:color w:val="auto"/>
                      <w:sz w:val="18"/>
                      <w:szCs w:val="18"/>
                      <w:highlight w:val="none"/>
                    </w:rPr>
                  </w:pPr>
                  <w:r>
                    <w:rPr>
                      <w:color w:val="auto"/>
                      <w:kern w:val="0"/>
                      <w:sz w:val="18"/>
                      <w:szCs w:val="18"/>
                      <w:highlight w:val="none"/>
                      <w:lang w:bidi="ar"/>
                    </w:rPr>
                    <w:t>新建</w:t>
                  </w:r>
                </w:p>
              </w:tc>
            </w:tr>
            <w:tr w14:paraId="10D6444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275" w:type="pct"/>
                  <w:tcBorders>
                    <w:tl2br w:val="nil"/>
                    <w:tr2bl w:val="nil"/>
                  </w:tcBorders>
                  <w:vAlign w:val="center"/>
                </w:tcPr>
                <w:p w14:paraId="7AE5DB9A">
                  <w:pPr>
                    <w:widowControl/>
                    <w:jc w:val="center"/>
                    <w:textAlignment w:val="center"/>
                    <w:rPr>
                      <w:color w:val="auto"/>
                      <w:sz w:val="18"/>
                      <w:szCs w:val="18"/>
                      <w:highlight w:val="none"/>
                    </w:rPr>
                  </w:pPr>
                  <w:r>
                    <w:rPr>
                      <w:color w:val="auto"/>
                      <w:kern w:val="0"/>
                      <w:sz w:val="18"/>
                      <w:szCs w:val="18"/>
                      <w:highlight w:val="none"/>
                      <w:lang w:bidi="ar"/>
                    </w:rPr>
                    <w:t>5</w:t>
                  </w:r>
                </w:p>
              </w:tc>
              <w:tc>
                <w:tcPr>
                  <w:tcW w:w="396" w:type="pct"/>
                  <w:vMerge w:val="continue"/>
                  <w:tcBorders>
                    <w:tl2br w:val="nil"/>
                    <w:tr2bl w:val="nil"/>
                  </w:tcBorders>
                  <w:vAlign w:val="center"/>
                </w:tcPr>
                <w:p w14:paraId="6C42E558">
                  <w:pPr>
                    <w:widowControl/>
                    <w:jc w:val="center"/>
                    <w:rPr>
                      <w:color w:val="auto"/>
                      <w:sz w:val="18"/>
                      <w:szCs w:val="18"/>
                      <w:highlight w:val="none"/>
                    </w:rPr>
                  </w:pPr>
                </w:p>
              </w:tc>
              <w:tc>
                <w:tcPr>
                  <w:tcW w:w="710" w:type="pct"/>
                  <w:tcBorders>
                    <w:tl2br w:val="nil"/>
                    <w:tr2bl w:val="nil"/>
                  </w:tcBorders>
                  <w:vAlign w:val="center"/>
                </w:tcPr>
                <w:p w14:paraId="6D07A407">
                  <w:pPr>
                    <w:widowControl/>
                    <w:jc w:val="center"/>
                    <w:textAlignment w:val="center"/>
                    <w:rPr>
                      <w:color w:val="auto"/>
                      <w:sz w:val="18"/>
                      <w:szCs w:val="18"/>
                      <w:highlight w:val="none"/>
                    </w:rPr>
                  </w:pPr>
                  <w:r>
                    <w:rPr>
                      <w:color w:val="auto"/>
                      <w:kern w:val="0"/>
                      <w:sz w:val="18"/>
                      <w:szCs w:val="18"/>
                      <w:highlight w:val="none"/>
                      <w:lang w:bidi="ar"/>
                    </w:rPr>
                    <w:t>扣电实验室</w:t>
                  </w:r>
                </w:p>
              </w:tc>
              <w:tc>
                <w:tcPr>
                  <w:tcW w:w="2625" w:type="pct"/>
                  <w:tcBorders>
                    <w:tl2br w:val="nil"/>
                    <w:tr2bl w:val="nil"/>
                  </w:tcBorders>
                  <w:vAlign w:val="center"/>
                </w:tcPr>
                <w:p w14:paraId="192E7106">
                  <w:pPr>
                    <w:widowControl/>
                    <w:jc w:val="both"/>
                    <w:textAlignment w:val="center"/>
                    <w:rPr>
                      <w:rFonts w:hint="eastAsia" w:eastAsia="宋体"/>
                      <w:color w:val="auto"/>
                      <w:sz w:val="18"/>
                      <w:szCs w:val="18"/>
                      <w:highlight w:val="none"/>
                      <w:lang w:eastAsia="zh-CN"/>
                    </w:rPr>
                  </w:pPr>
                  <w:r>
                    <w:rPr>
                      <w:color w:val="auto"/>
                      <w:kern w:val="0"/>
                      <w:sz w:val="18"/>
                      <w:szCs w:val="18"/>
                      <w:highlight w:val="none"/>
                      <w:lang w:bidi="ar"/>
                    </w:rPr>
                    <w:t>进行扣电组装</w:t>
                  </w:r>
                  <w:r>
                    <w:rPr>
                      <w:rFonts w:hint="default"/>
                      <w:color w:val="auto"/>
                      <w:kern w:val="0"/>
                      <w:sz w:val="18"/>
                      <w:szCs w:val="18"/>
                      <w:highlight w:val="none"/>
                      <w:lang w:bidi="ar"/>
                    </w:rPr>
                    <w:t>，千级</w:t>
                  </w:r>
                  <w:r>
                    <w:rPr>
                      <w:color w:val="auto"/>
                      <w:kern w:val="0"/>
                      <w:sz w:val="18"/>
                      <w:szCs w:val="18"/>
                      <w:highlight w:val="none"/>
                      <w:lang w:bidi="ar"/>
                    </w:rPr>
                    <w:t>洁净车间</w:t>
                  </w:r>
                  <w:r>
                    <w:rPr>
                      <w:rFonts w:hint="eastAsia"/>
                      <w:color w:val="auto"/>
                      <w:kern w:val="0"/>
                      <w:sz w:val="18"/>
                      <w:szCs w:val="18"/>
                      <w:highlight w:val="none"/>
                      <w:lang w:eastAsia="zh-CN" w:bidi="ar"/>
                    </w:rPr>
                    <w:t>。</w:t>
                  </w:r>
                </w:p>
              </w:tc>
              <w:tc>
                <w:tcPr>
                  <w:tcW w:w="564" w:type="pct"/>
                  <w:tcBorders>
                    <w:tl2br w:val="nil"/>
                    <w:tr2bl w:val="nil"/>
                  </w:tcBorders>
                  <w:vAlign w:val="center"/>
                </w:tcPr>
                <w:p w14:paraId="0191906A">
                  <w:pPr>
                    <w:widowControl/>
                    <w:jc w:val="center"/>
                    <w:textAlignment w:val="center"/>
                    <w:rPr>
                      <w:color w:val="auto"/>
                      <w:sz w:val="18"/>
                      <w:szCs w:val="18"/>
                      <w:highlight w:val="none"/>
                    </w:rPr>
                  </w:pPr>
                  <w:r>
                    <w:rPr>
                      <w:color w:val="auto"/>
                      <w:kern w:val="0"/>
                      <w:sz w:val="18"/>
                      <w:szCs w:val="18"/>
                      <w:highlight w:val="none"/>
                      <w:lang w:bidi="ar"/>
                    </w:rPr>
                    <w:t>80 m²</w:t>
                  </w:r>
                </w:p>
              </w:tc>
              <w:tc>
                <w:tcPr>
                  <w:tcW w:w="426" w:type="pct"/>
                  <w:tcBorders>
                    <w:tl2br w:val="nil"/>
                    <w:tr2bl w:val="nil"/>
                  </w:tcBorders>
                  <w:vAlign w:val="center"/>
                </w:tcPr>
                <w:p w14:paraId="6B686848">
                  <w:pPr>
                    <w:widowControl/>
                    <w:jc w:val="center"/>
                    <w:textAlignment w:val="center"/>
                    <w:rPr>
                      <w:color w:val="auto"/>
                      <w:sz w:val="18"/>
                      <w:szCs w:val="18"/>
                      <w:highlight w:val="none"/>
                    </w:rPr>
                  </w:pPr>
                  <w:r>
                    <w:rPr>
                      <w:color w:val="auto"/>
                      <w:kern w:val="0"/>
                      <w:sz w:val="18"/>
                      <w:szCs w:val="18"/>
                      <w:highlight w:val="none"/>
                      <w:lang w:bidi="ar"/>
                    </w:rPr>
                    <w:t>新建</w:t>
                  </w:r>
                </w:p>
              </w:tc>
            </w:tr>
            <w:tr w14:paraId="5D01657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275" w:type="pct"/>
                  <w:tcBorders>
                    <w:tl2br w:val="nil"/>
                    <w:tr2bl w:val="nil"/>
                  </w:tcBorders>
                  <w:vAlign w:val="center"/>
                </w:tcPr>
                <w:p w14:paraId="5429ED64">
                  <w:pPr>
                    <w:widowControl/>
                    <w:jc w:val="center"/>
                    <w:textAlignment w:val="center"/>
                    <w:rPr>
                      <w:color w:val="auto"/>
                      <w:sz w:val="18"/>
                      <w:szCs w:val="18"/>
                      <w:highlight w:val="none"/>
                    </w:rPr>
                  </w:pPr>
                  <w:r>
                    <w:rPr>
                      <w:color w:val="auto"/>
                      <w:kern w:val="0"/>
                      <w:sz w:val="18"/>
                      <w:szCs w:val="18"/>
                      <w:highlight w:val="none"/>
                      <w:lang w:bidi="ar"/>
                    </w:rPr>
                    <w:t>6</w:t>
                  </w:r>
                </w:p>
              </w:tc>
              <w:tc>
                <w:tcPr>
                  <w:tcW w:w="396" w:type="pct"/>
                  <w:vMerge w:val="continue"/>
                  <w:tcBorders>
                    <w:tl2br w:val="nil"/>
                    <w:tr2bl w:val="nil"/>
                  </w:tcBorders>
                  <w:vAlign w:val="center"/>
                </w:tcPr>
                <w:p w14:paraId="5369DF7D">
                  <w:pPr>
                    <w:widowControl/>
                    <w:jc w:val="center"/>
                    <w:rPr>
                      <w:color w:val="auto"/>
                      <w:sz w:val="18"/>
                      <w:szCs w:val="18"/>
                      <w:highlight w:val="none"/>
                    </w:rPr>
                  </w:pPr>
                </w:p>
              </w:tc>
              <w:tc>
                <w:tcPr>
                  <w:tcW w:w="710" w:type="pct"/>
                  <w:tcBorders>
                    <w:tl2br w:val="nil"/>
                    <w:tr2bl w:val="nil"/>
                  </w:tcBorders>
                  <w:vAlign w:val="center"/>
                </w:tcPr>
                <w:p w14:paraId="64C8FF34">
                  <w:pPr>
                    <w:widowControl/>
                    <w:jc w:val="center"/>
                    <w:textAlignment w:val="center"/>
                    <w:rPr>
                      <w:color w:val="auto"/>
                      <w:sz w:val="18"/>
                      <w:szCs w:val="18"/>
                      <w:highlight w:val="none"/>
                    </w:rPr>
                  </w:pPr>
                  <w:r>
                    <w:rPr>
                      <w:color w:val="auto"/>
                      <w:kern w:val="0"/>
                      <w:sz w:val="18"/>
                      <w:szCs w:val="18"/>
                      <w:highlight w:val="none"/>
                      <w:lang w:bidi="ar"/>
                    </w:rPr>
                    <w:t>检测实验室</w:t>
                  </w:r>
                </w:p>
              </w:tc>
              <w:tc>
                <w:tcPr>
                  <w:tcW w:w="2625" w:type="pct"/>
                  <w:tcBorders>
                    <w:tl2br w:val="nil"/>
                    <w:tr2bl w:val="nil"/>
                  </w:tcBorders>
                  <w:vAlign w:val="center"/>
                </w:tcPr>
                <w:p w14:paraId="0A2278CE">
                  <w:pPr>
                    <w:widowControl/>
                    <w:jc w:val="both"/>
                    <w:textAlignment w:val="center"/>
                    <w:rPr>
                      <w:rFonts w:hint="eastAsia" w:eastAsia="宋体"/>
                      <w:color w:val="auto"/>
                      <w:sz w:val="18"/>
                      <w:szCs w:val="18"/>
                      <w:highlight w:val="none"/>
                      <w:lang w:eastAsia="zh-CN"/>
                    </w:rPr>
                  </w:pPr>
                  <w:r>
                    <w:rPr>
                      <w:color w:val="auto"/>
                      <w:kern w:val="0"/>
                      <w:sz w:val="18"/>
                      <w:szCs w:val="18"/>
                      <w:highlight w:val="none"/>
                      <w:lang w:bidi="ar"/>
                    </w:rPr>
                    <w:t>进行正极材料理化性质及扣电性能测试</w:t>
                  </w:r>
                  <w:r>
                    <w:rPr>
                      <w:rFonts w:hint="eastAsia"/>
                      <w:color w:val="auto"/>
                      <w:kern w:val="0"/>
                      <w:sz w:val="18"/>
                      <w:szCs w:val="18"/>
                      <w:highlight w:val="none"/>
                      <w:lang w:eastAsia="zh-CN" w:bidi="ar"/>
                    </w:rPr>
                    <w:t>。</w:t>
                  </w:r>
                </w:p>
              </w:tc>
              <w:tc>
                <w:tcPr>
                  <w:tcW w:w="564" w:type="pct"/>
                  <w:tcBorders>
                    <w:tl2br w:val="nil"/>
                    <w:tr2bl w:val="nil"/>
                  </w:tcBorders>
                  <w:vAlign w:val="center"/>
                </w:tcPr>
                <w:p w14:paraId="72D7F73A">
                  <w:pPr>
                    <w:widowControl/>
                    <w:jc w:val="center"/>
                    <w:textAlignment w:val="center"/>
                    <w:rPr>
                      <w:color w:val="auto"/>
                      <w:sz w:val="18"/>
                      <w:szCs w:val="18"/>
                      <w:highlight w:val="none"/>
                    </w:rPr>
                  </w:pPr>
                  <w:r>
                    <w:rPr>
                      <w:color w:val="auto"/>
                      <w:kern w:val="0"/>
                      <w:sz w:val="18"/>
                      <w:szCs w:val="18"/>
                      <w:highlight w:val="none"/>
                      <w:lang w:bidi="ar"/>
                    </w:rPr>
                    <w:t>30 m²</w:t>
                  </w:r>
                </w:p>
              </w:tc>
              <w:tc>
                <w:tcPr>
                  <w:tcW w:w="426" w:type="pct"/>
                  <w:tcBorders>
                    <w:tl2br w:val="nil"/>
                    <w:tr2bl w:val="nil"/>
                  </w:tcBorders>
                  <w:vAlign w:val="center"/>
                </w:tcPr>
                <w:p w14:paraId="3BD56BDE">
                  <w:pPr>
                    <w:widowControl/>
                    <w:jc w:val="center"/>
                    <w:textAlignment w:val="center"/>
                    <w:rPr>
                      <w:color w:val="auto"/>
                      <w:sz w:val="18"/>
                      <w:szCs w:val="18"/>
                      <w:highlight w:val="none"/>
                    </w:rPr>
                  </w:pPr>
                  <w:r>
                    <w:rPr>
                      <w:color w:val="auto"/>
                      <w:kern w:val="0"/>
                      <w:sz w:val="18"/>
                      <w:szCs w:val="18"/>
                      <w:highlight w:val="none"/>
                      <w:lang w:bidi="ar"/>
                    </w:rPr>
                    <w:t>新建</w:t>
                  </w:r>
                </w:p>
              </w:tc>
            </w:tr>
            <w:tr w14:paraId="71881E9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275" w:type="pct"/>
                  <w:tcBorders>
                    <w:tl2br w:val="nil"/>
                    <w:tr2bl w:val="nil"/>
                  </w:tcBorders>
                  <w:vAlign w:val="center"/>
                </w:tcPr>
                <w:p w14:paraId="14520901">
                  <w:pPr>
                    <w:widowControl/>
                    <w:jc w:val="center"/>
                    <w:textAlignment w:val="center"/>
                    <w:rPr>
                      <w:color w:val="auto"/>
                      <w:sz w:val="18"/>
                      <w:szCs w:val="18"/>
                      <w:highlight w:val="none"/>
                    </w:rPr>
                  </w:pPr>
                  <w:r>
                    <w:rPr>
                      <w:color w:val="auto"/>
                      <w:kern w:val="0"/>
                      <w:sz w:val="18"/>
                      <w:szCs w:val="18"/>
                      <w:highlight w:val="none"/>
                      <w:lang w:bidi="ar"/>
                    </w:rPr>
                    <w:t>7</w:t>
                  </w:r>
                </w:p>
              </w:tc>
              <w:tc>
                <w:tcPr>
                  <w:tcW w:w="396" w:type="pct"/>
                  <w:tcBorders>
                    <w:tl2br w:val="nil"/>
                    <w:tr2bl w:val="nil"/>
                  </w:tcBorders>
                  <w:vAlign w:val="center"/>
                </w:tcPr>
                <w:p w14:paraId="22DB00DB">
                  <w:pPr>
                    <w:widowControl/>
                    <w:jc w:val="center"/>
                    <w:textAlignment w:val="center"/>
                    <w:rPr>
                      <w:color w:val="auto"/>
                      <w:sz w:val="18"/>
                      <w:szCs w:val="18"/>
                      <w:highlight w:val="none"/>
                    </w:rPr>
                  </w:pPr>
                  <w:r>
                    <w:rPr>
                      <w:color w:val="auto"/>
                      <w:kern w:val="0"/>
                      <w:sz w:val="18"/>
                      <w:szCs w:val="18"/>
                      <w:highlight w:val="none"/>
                      <w:lang w:bidi="ar"/>
                    </w:rPr>
                    <w:t>辅助工程</w:t>
                  </w:r>
                </w:p>
              </w:tc>
              <w:tc>
                <w:tcPr>
                  <w:tcW w:w="710" w:type="pct"/>
                  <w:tcBorders>
                    <w:tl2br w:val="nil"/>
                    <w:tr2bl w:val="nil"/>
                  </w:tcBorders>
                  <w:vAlign w:val="center"/>
                </w:tcPr>
                <w:p w14:paraId="12A81209">
                  <w:pPr>
                    <w:widowControl/>
                    <w:jc w:val="center"/>
                    <w:textAlignment w:val="center"/>
                    <w:rPr>
                      <w:color w:val="auto"/>
                      <w:sz w:val="18"/>
                      <w:szCs w:val="18"/>
                      <w:highlight w:val="none"/>
                    </w:rPr>
                  </w:pPr>
                  <w:r>
                    <w:rPr>
                      <w:color w:val="auto"/>
                      <w:kern w:val="0"/>
                      <w:sz w:val="18"/>
                      <w:szCs w:val="18"/>
                      <w:highlight w:val="none"/>
                      <w:lang w:bidi="ar"/>
                    </w:rPr>
                    <w:t>办公区</w:t>
                  </w:r>
                </w:p>
              </w:tc>
              <w:tc>
                <w:tcPr>
                  <w:tcW w:w="2625" w:type="pct"/>
                  <w:tcBorders>
                    <w:tl2br w:val="nil"/>
                    <w:tr2bl w:val="nil"/>
                  </w:tcBorders>
                  <w:vAlign w:val="center"/>
                </w:tcPr>
                <w:p w14:paraId="024BFB1E">
                  <w:pPr>
                    <w:widowControl/>
                    <w:jc w:val="both"/>
                    <w:textAlignment w:val="center"/>
                    <w:rPr>
                      <w:rFonts w:hint="default"/>
                      <w:color w:val="auto"/>
                      <w:sz w:val="18"/>
                      <w:szCs w:val="18"/>
                      <w:highlight w:val="none"/>
                    </w:rPr>
                  </w:pPr>
                  <w:r>
                    <w:rPr>
                      <w:color w:val="auto"/>
                      <w:kern w:val="0"/>
                      <w:sz w:val="18"/>
                      <w:szCs w:val="18"/>
                      <w:highlight w:val="none"/>
                      <w:lang w:bidi="ar"/>
                    </w:rPr>
                    <w:t>包括2</w:t>
                  </w:r>
                  <w:r>
                    <w:rPr>
                      <w:rStyle w:val="148"/>
                      <w:rFonts w:hint="default" w:ascii="Times New Roman" w:hAnsi="Times New Roman" w:cs="Times New Roman"/>
                      <w:color w:val="auto"/>
                      <w:sz w:val="18"/>
                      <w:szCs w:val="18"/>
                      <w:highlight w:val="none"/>
                      <w:lang w:bidi="ar"/>
                    </w:rPr>
                    <w:t>个独立办公室、</w:t>
                  </w:r>
                  <w:r>
                    <w:rPr>
                      <w:color w:val="auto"/>
                      <w:kern w:val="0"/>
                      <w:sz w:val="18"/>
                      <w:szCs w:val="18"/>
                      <w:highlight w:val="none"/>
                      <w:lang w:bidi="ar"/>
                    </w:rPr>
                    <w:t>1</w:t>
                  </w:r>
                  <w:r>
                    <w:rPr>
                      <w:rStyle w:val="148"/>
                      <w:rFonts w:hint="default" w:ascii="Times New Roman" w:hAnsi="Times New Roman" w:cs="Times New Roman"/>
                      <w:color w:val="auto"/>
                      <w:sz w:val="18"/>
                      <w:szCs w:val="18"/>
                      <w:highlight w:val="none"/>
                      <w:lang w:bidi="ar"/>
                    </w:rPr>
                    <w:t>个公共办公室</w:t>
                  </w:r>
                  <w:r>
                    <w:rPr>
                      <w:rStyle w:val="148"/>
                      <w:rFonts w:hint="default" w:ascii="Times New Roman" w:hAnsi="Times New Roman" w:cs="Times New Roman"/>
                      <w:color w:val="auto"/>
                      <w:sz w:val="18"/>
                      <w:szCs w:val="18"/>
                      <w:highlight w:val="none"/>
                      <w:lang w:eastAsia="zh-CN" w:bidi="ar"/>
                    </w:rPr>
                    <w:t>，</w:t>
                  </w:r>
                  <w:r>
                    <w:rPr>
                      <w:rStyle w:val="148"/>
                      <w:rFonts w:hint="default" w:ascii="Times New Roman" w:hAnsi="Times New Roman" w:cs="Times New Roman"/>
                      <w:color w:val="auto"/>
                      <w:sz w:val="18"/>
                      <w:szCs w:val="18"/>
                      <w:highlight w:val="none"/>
                      <w:lang w:val="en-US" w:eastAsia="zh-CN" w:bidi="ar"/>
                    </w:rPr>
                    <w:t>以及</w:t>
                  </w:r>
                  <w:r>
                    <w:rPr>
                      <w:rStyle w:val="148"/>
                      <w:rFonts w:hint="default" w:ascii="Times New Roman" w:hAnsi="Times New Roman" w:cs="Times New Roman"/>
                      <w:color w:val="auto"/>
                      <w:sz w:val="18"/>
                      <w:szCs w:val="18"/>
                      <w:highlight w:val="none"/>
                      <w:lang w:bidi="ar"/>
                    </w:rPr>
                    <w:t>休息间</w:t>
                  </w:r>
                  <w:r>
                    <w:rPr>
                      <w:rStyle w:val="148"/>
                      <w:rFonts w:hint="default" w:ascii="Times New Roman" w:hAnsi="Times New Roman" w:cs="Times New Roman"/>
                      <w:color w:val="auto"/>
                      <w:sz w:val="18"/>
                      <w:szCs w:val="18"/>
                      <w:highlight w:val="none"/>
                      <w:lang w:eastAsia="zh-CN" w:bidi="ar"/>
                    </w:rPr>
                    <w:t>、</w:t>
                  </w:r>
                  <w:r>
                    <w:rPr>
                      <w:rStyle w:val="148"/>
                      <w:rFonts w:hint="default" w:ascii="Times New Roman" w:hAnsi="Times New Roman" w:cs="Times New Roman"/>
                      <w:color w:val="auto"/>
                      <w:sz w:val="18"/>
                      <w:szCs w:val="18"/>
                      <w:highlight w:val="none"/>
                      <w:lang w:bidi="ar"/>
                    </w:rPr>
                    <w:t>会议室、备用房间</w:t>
                  </w:r>
                  <w:r>
                    <w:rPr>
                      <w:rStyle w:val="148"/>
                      <w:rFonts w:hint="default" w:ascii="Times New Roman" w:hAnsi="Times New Roman" w:cs="Times New Roman"/>
                      <w:color w:val="auto"/>
                      <w:sz w:val="18"/>
                      <w:szCs w:val="18"/>
                      <w:highlight w:val="none"/>
                      <w:lang w:eastAsia="zh-CN" w:bidi="ar"/>
                    </w:rPr>
                    <w:t>、</w:t>
                  </w:r>
                  <w:r>
                    <w:rPr>
                      <w:rStyle w:val="148"/>
                      <w:rFonts w:hint="default" w:ascii="Times New Roman" w:hAnsi="Times New Roman" w:cs="Times New Roman"/>
                      <w:color w:val="auto"/>
                      <w:sz w:val="18"/>
                      <w:szCs w:val="18"/>
                      <w:highlight w:val="none"/>
                      <w:lang w:bidi="ar"/>
                    </w:rPr>
                    <w:t>前台区域等</w:t>
                  </w:r>
                  <w:r>
                    <w:rPr>
                      <w:rStyle w:val="148"/>
                      <w:rFonts w:hint="default" w:ascii="Times New Roman" w:hAnsi="Times New Roman" w:cs="Times New Roman"/>
                      <w:color w:val="auto"/>
                      <w:sz w:val="18"/>
                      <w:szCs w:val="18"/>
                      <w:highlight w:val="none"/>
                      <w:lang w:val="en-US" w:eastAsia="zh-CN" w:bidi="ar"/>
                    </w:rPr>
                    <w:t>若干</w:t>
                  </w:r>
                  <w:r>
                    <w:rPr>
                      <w:rStyle w:val="148"/>
                      <w:rFonts w:hint="eastAsia" w:cs="Times New Roman"/>
                      <w:color w:val="auto"/>
                      <w:sz w:val="18"/>
                      <w:szCs w:val="18"/>
                      <w:highlight w:val="none"/>
                      <w:lang w:val="en-US" w:eastAsia="zh-CN" w:bidi="ar"/>
                    </w:rPr>
                    <w:t>。</w:t>
                  </w:r>
                </w:p>
              </w:tc>
              <w:tc>
                <w:tcPr>
                  <w:tcW w:w="564" w:type="pct"/>
                  <w:tcBorders>
                    <w:tl2br w:val="nil"/>
                    <w:tr2bl w:val="nil"/>
                  </w:tcBorders>
                  <w:vAlign w:val="center"/>
                </w:tcPr>
                <w:p w14:paraId="57190C43">
                  <w:pPr>
                    <w:widowControl/>
                    <w:jc w:val="center"/>
                    <w:textAlignment w:val="center"/>
                    <w:rPr>
                      <w:color w:val="auto"/>
                      <w:sz w:val="18"/>
                      <w:szCs w:val="18"/>
                      <w:highlight w:val="none"/>
                    </w:rPr>
                  </w:pPr>
                  <w:r>
                    <w:rPr>
                      <w:color w:val="auto"/>
                      <w:kern w:val="0"/>
                      <w:sz w:val="18"/>
                      <w:szCs w:val="18"/>
                      <w:highlight w:val="none"/>
                      <w:lang w:bidi="ar"/>
                    </w:rPr>
                    <w:t>270 m²</w:t>
                  </w:r>
                </w:p>
              </w:tc>
              <w:tc>
                <w:tcPr>
                  <w:tcW w:w="426" w:type="pct"/>
                  <w:tcBorders>
                    <w:tl2br w:val="nil"/>
                    <w:tr2bl w:val="nil"/>
                  </w:tcBorders>
                  <w:vAlign w:val="center"/>
                </w:tcPr>
                <w:p w14:paraId="2F9A0716">
                  <w:pPr>
                    <w:widowControl/>
                    <w:jc w:val="center"/>
                    <w:textAlignment w:val="center"/>
                    <w:rPr>
                      <w:color w:val="auto"/>
                      <w:sz w:val="18"/>
                      <w:szCs w:val="18"/>
                      <w:highlight w:val="none"/>
                    </w:rPr>
                  </w:pPr>
                  <w:r>
                    <w:rPr>
                      <w:color w:val="auto"/>
                      <w:kern w:val="0"/>
                      <w:sz w:val="18"/>
                      <w:szCs w:val="18"/>
                      <w:highlight w:val="none"/>
                      <w:lang w:bidi="ar"/>
                    </w:rPr>
                    <w:t>新建</w:t>
                  </w:r>
                </w:p>
              </w:tc>
            </w:tr>
            <w:tr w14:paraId="1740E05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275" w:type="pct"/>
                  <w:tcBorders>
                    <w:tl2br w:val="nil"/>
                    <w:tr2bl w:val="nil"/>
                  </w:tcBorders>
                  <w:vAlign w:val="center"/>
                </w:tcPr>
                <w:p w14:paraId="73A5A509">
                  <w:pPr>
                    <w:widowControl/>
                    <w:jc w:val="center"/>
                    <w:textAlignment w:val="center"/>
                    <w:rPr>
                      <w:color w:val="auto"/>
                      <w:sz w:val="18"/>
                      <w:szCs w:val="18"/>
                      <w:highlight w:val="none"/>
                    </w:rPr>
                  </w:pPr>
                  <w:r>
                    <w:rPr>
                      <w:color w:val="auto"/>
                      <w:kern w:val="0"/>
                      <w:sz w:val="18"/>
                      <w:szCs w:val="18"/>
                      <w:highlight w:val="none"/>
                      <w:lang w:bidi="ar"/>
                    </w:rPr>
                    <w:t>8</w:t>
                  </w:r>
                </w:p>
              </w:tc>
              <w:tc>
                <w:tcPr>
                  <w:tcW w:w="396" w:type="pct"/>
                  <w:vMerge w:val="restart"/>
                  <w:tcBorders>
                    <w:tl2br w:val="nil"/>
                    <w:tr2bl w:val="nil"/>
                  </w:tcBorders>
                  <w:vAlign w:val="center"/>
                </w:tcPr>
                <w:p w14:paraId="2D39DB55">
                  <w:pPr>
                    <w:widowControl/>
                    <w:jc w:val="center"/>
                    <w:textAlignment w:val="center"/>
                    <w:rPr>
                      <w:color w:val="auto"/>
                      <w:sz w:val="18"/>
                      <w:szCs w:val="18"/>
                      <w:highlight w:val="none"/>
                    </w:rPr>
                  </w:pPr>
                  <w:r>
                    <w:rPr>
                      <w:color w:val="auto"/>
                      <w:kern w:val="0"/>
                      <w:sz w:val="18"/>
                      <w:szCs w:val="18"/>
                      <w:highlight w:val="none"/>
                      <w:lang w:bidi="ar"/>
                    </w:rPr>
                    <w:t>公用工程</w:t>
                  </w:r>
                </w:p>
              </w:tc>
              <w:tc>
                <w:tcPr>
                  <w:tcW w:w="710" w:type="pct"/>
                  <w:tcBorders>
                    <w:tl2br w:val="nil"/>
                    <w:tr2bl w:val="nil"/>
                  </w:tcBorders>
                  <w:vAlign w:val="center"/>
                </w:tcPr>
                <w:p w14:paraId="40A678E1">
                  <w:pPr>
                    <w:widowControl/>
                    <w:jc w:val="center"/>
                    <w:textAlignment w:val="center"/>
                    <w:rPr>
                      <w:color w:val="auto"/>
                      <w:sz w:val="18"/>
                      <w:szCs w:val="18"/>
                      <w:highlight w:val="none"/>
                    </w:rPr>
                  </w:pPr>
                  <w:r>
                    <w:rPr>
                      <w:color w:val="auto"/>
                      <w:kern w:val="0"/>
                      <w:sz w:val="18"/>
                      <w:szCs w:val="18"/>
                      <w:highlight w:val="none"/>
                      <w:lang w:bidi="ar"/>
                    </w:rPr>
                    <w:t>供水</w:t>
                  </w:r>
                </w:p>
              </w:tc>
              <w:tc>
                <w:tcPr>
                  <w:tcW w:w="2625" w:type="pct"/>
                  <w:tcBorders>
                    <w:tl2br w:val="nil"/>
                    <w:tr2bl w:val="nil"/>
                  </w:tcBorders>
                  <w:vAlign w:val="center"/>
                </w:tcPr>
                <w:p w14:paraId="1E22FA9D">
                  <w:pPr>
                    <w:widowControl/>
                    <w:jc w:val="both"/>
                    <w:textAlignment w:val="center"/>
                    <w:rPr>
                      <w:rFonts w:hint="eastAsia" w:eastAsia="宋体"/>
                      <w:color w:val="auto"/>
                      <w:sz w:val="18"/>
                      <w:szCs w:val="18"/>
                      <w:highlight w:val="none"/>
                      <w:lang w:eastAsia="zh-CN"/>
                    </w:rPr>
                  </w:pPr>
                  <w:r>
                    <w:rPr>
                      <w:color w:val="auto"/>
                      <w:kern w:val="0"/>
                      <w:sz w:val="18"/>
                      <w:szCs w:val="18"/>
                      <w:highlight w:val="none"/>
                      <w:lang w:bidi="ar"/>
                    </w:rPr>
                    <w:t>依托企业现有厂区已建供水设施</w:t>
                  </w:r>
                  <w:r>
                    <w:rPr>
                      <w:rFonts w:hint="eastAsia"/>
                      <w:color w:val="auto"/>
                      <w:kern w:val="0"/>
                      <w:sz w:val="18"/>
                      <w:szCs w:val="18"/>
                      <w:highlight w:val="none"/>
                      <w:lang w:eastAsia="zh-CN" w:bidi="ar"/>
                    </w:rPr>
                    <w:t>。</w:t>
                  </w:r>
                </w:p>
              </w:tc>
              <w:tc>
                <w:tcPr>
                  <w:tcW w:w="564" w:type="pct"/>
                  <w:tcBorders>
                    <w:tl2br w:val="nil"/>
                    <w:tr2bl w:val="nil"/>
                  </w:tcBorders>
                  <w:shd w:val="clear" w:color="auto" w:fill="auto"/>
                  <w:vAlign w:val="center"/>
                </w:tcPr>
                <w:p w14:paraId="006CCEDF">
                  <w:pPr>
                    <w:widowControl/>
                    <w:jc w:val="center"/>
                    <w:textAlignment w:val="center"/>
                    <w:rPr>
                      <w:color w:val="auto"/>
                      <w:sz w:val="18"/>
                      <w:szCs w:val="18"/>
                      <w:highlight w:val="none"/>
                    </w:rPr>
                  </w:pPr>
                  <w:r>
                    <w:rPr>
                      <w:rFonts w:hint="default"/>
                      <w:color w:val="auto"/>
                      <w:kern w:val="0"/>
                      <w:sz w:val="18"/>
                      <w:szCs w:val="18"/>
                      <w:highlight w:val="none"/>
                      <w:lang w:val="en-US" w:eastAsia="zh-CN" w:bidi="ar"/>
                    </w:rPr>
                    <w:t>328.23</w:t>
                  </w:r>
                  <w:r>
                    <w:rPr>
                      <w:color w:val="auto"/>
                      <w:kern w:val="0"/>
                      <w:sz w:val="18"/>
                      <w:szCs w:val="18"/>
                      <w:highlight w:val="none"/>
                      <w:lang w:bidi="ar"/>
                    </w:rPr>
                    <w:t xml:space="preserve"> t/a</w:t>
                  </w:r>
                </w:p>
              </w:tc>
              <w:tc>
                <w:tcPr>
                  <w:tcW w:w="426" w:type="pct"/>
                  <w:tcBorders>
                    <w:tl2br w:val="nil"/>
                    <w:tr2bl w:val="nil"/>
                  </w:tcBorders>
                  <w:vAlign w:val="center"/>
                </w:tcPr>
                <w:p w14:paraId="01BB1A38">
                  <w:pPr>
                    <w:widowControl/>
                    <w:jc w:val="center"/>
                    <w:textAlignment w:val="center"/>
                    <w:rPr>
                      <w:color w:val="auto"/>
                      <w:sz w:val="18"/>
                      <w:szCs w:val="18"/>
                      <w:highlight w:val="none"/>
                    </w:rPr>
                  </w:pPr>
                  <w:r>
                    <w:rPr>
                      <w:color w:val="auto"/>
                      <w:kern w:val="0"/>
                      <w:sz w:val="18"/>
                      <w:szCs w:val="18"/>
                      <w:highlight w:val="none"/>
                      <w:lang w:bidi="ar"/>
                    </w:rPr>
                    <w:t>依托</w:t>
                  </w:r>
                </w:p>
              </w:tc>
            </w:tr>
            <w:tr w14:paraId="02D0FF2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275" w:type="pct"/>
                  <w:tcBorders>
                    <w:tl2br w:val="nil"/>
                    <w:tr2bl w:val="nil"/>
                  </w:tcBorders>
                  <w:vAlign w:val="center"/>
                </w:tcPr>
                <w:p w14:paraId="07C5FE47">
                  <w:pPr>
                    <w:widowControl/>
                    <w:jc w:val="center"/>
                    <w:textAlignment w:val="center"/>
                    <w:rPr>
                      <w:color w:val="auto"/>
                      <w:sz w:val="18"/>
                      <w:szCs w:val="18"/>
                      <w:highlight w:val="none"/>
                    </w:rPr>
                  </w:pPr>
                  <w:r>
                    <w:rPr>
                      <w:color w:val="auto"/>
                      <w:kern w:val="0"/>
                      <w:sz w:val="18"/>
                      <w:szCs w:val="18"/>
                      <w:highlight w:val="none"/>
                      <w:lang w:bidi="ar"/>
                    </w:rPr>
                    <w:t>9</w:t>
                  </w:r>
                </w:p>
              </w:tc>
              <w:tc>
                <w:tcPr>
                  <w:tcW w:w="396" w:type="pct"/>
                  <w:vMerge w:val="continue"/>
                  <w:tcBorders>
                    <w:tl2br w:val="nil"/>
                    <w:tr2bl w:val="nil"/>
                  </w:tcBorders>
                  <w:vAlign w:val="center"/>
                </w:tcPr>
                <w:p w14:paraId="46611C8C">
                  <w:pPr>
                    <w:widowControl/>
                    <w:jc w:val="center"/>
                    <w:rPr>
                      <w:color w:val="auto"/>
                      <w:sz w:val="18"/>
                      <w:szCs w:val="18"/>
                      <w:highlight w:val="none"/>
                    </w:rPr>
                  </w:pPr>
                </w:p>
              </w:tc>
              <w:tc>
                <w:tcPr>
                  <w:tcW w:w="710" w:type="pct"/>
                  <w:tcBorders>
                    <w:tl2br w:val="nil"/>
                    <w:tr2bl w:val="nil"/>
                  </w:tcBorders>
                  <w:vAlign w:val="center"/>
                </w:tcPr>
                <w:p w14:paraId="25177728">
                  <w:pPr>
                    <w:widowControl/>
                    <w:jc w:val="center"/>
                    <w:textAlignment w:val="center"/>
                    <w:rPr>
                      <w:color w:val="auto"/>
                      <w:sz w:val="18"/>
                      <w:szCs w:val="18"/>
                      <w:highlight w:val="none"/>
                    </w:rPr>
                  </w:pPr>
                  <w:r>
                    <w:rPr>
                      <w:color w:val="auto"/>
                      <w:kern w:val="0"/>
                      <w:sz w:val="18"/>
                      <w:szCs w:val="18"/>
                      <w:highlight w:val="none"/>
                      <w:lang w:bidi="ar"/>
                    </w:rPr>
                    <w:t>纯水制备系统</w:t>
                  </w:r>
                </w:p>
              </w:tc>
              <w:tc>
                <w:tcPr>
                  <w:tcW w:w="2625" w:type="pct"/>
                  <w:tcBorders>
                    <w:tl2br w:val="nil"/>
                    <w:tr2bl w:val="nil"/>
                  </w:tcBorders>
                  <w:vAlign w:val="center"/>
                </w:tcPr>
                <w:p w14:paraId="7D5742EF">
                  <w:pPr>
                    <w:widowControl/>
                    <w:jc w:val="both"/>
                    <w:textAlignment w:val="center"/>
                    <w:rPr>
                      <w:rFonts w:hint="eastAsia" w:eastAsia="宋体"/>
                      <w:color w:val="auto"/>
                      <w:sz w:val="18"/>
                      <w:szCs w:val="18"/>
                      <w:highlight w:val="none"/>
                      <w:lang w:eastAsia="zh-CN"/>
                    </w:rPr>
                  </w:pPr>
                  <w:r>
                    <w:rPr>
                      <w:color w:val="auto"/>
                      <w:kern w:val="0"/>
                      <w:sz w:val="18"/>
                      <w:szCs w:val="18"/>
                      <w:highlight w:val="none"/>
                      <w:lang w:bidi="ar"/>
                    </w:rPr>
                    <w:t>项目新建一套</w:t>
                  </w:r>
                  <w:r>
                    <w:rPr>
                      <w:rFonts w:hint="default"/>
                      <w:color w:val="auto"/>
                      <w:kern w:val="0"/>
                      <w:sz w:val="18"/>
                      <w:szCs w:val="18"/>
                      <w:highlight w:val="none"/>
                      <w:lang w:eastAsia="zh-CN" w:bidi="ar"/>
                    </w:rPr>
                    <w:t>“</w:t>
                  </w:r>
                  <w:r>
                    <w:rPr>
                      <w:rFonts w:hint="default"/>
                      <w:color w:val="auto"/>
                      <w:kern w:val="0"/>
                      <w:sz w:val="18"/>
                      <w:szCs w:val="18"/>
                      <w:highlight w:val="none"/>
                      <w:lang w:val="en-US" w:eastAsia="zh-CN" w:bidi="ar"/>
                    </w:rPr>
                    <w:t>一级RO+EDI</w:t>
                  </w:r>
                  <w:r>
                    <w:rPr>
                      <w:rFonts w:hint="default"/>
                      <w:color w:val="auto"/>
                      <w:kern w:val="0"/>
                      <w:sz w:val="18"/>
                      <w:szCs w:val="18"/>
                      <w:highlight w:val="none"/>
                      <w:lang w:eastAsia="zh-CN" w:bidi="ar"/>
                    </w:rPr>
                    <w:t>”</w:t>
                  </w:r>
                  <w:r>
                    <w:rPr>
                      <w:color w:val="auto"/>
                      <w:kern w:val="0"/>
                      <w:sz w:val="18"/>
                      <w:szCs w:val="18"/>
                      <w:highlight w:val="none"/>
                      <w:lang w:bidi="ar"/>
                    </w:rPr>
                    <w:t>纯水制备设施，</w:t>
                  </w:r>
                  <w:r>
                    <w:rPr>
                      <w:rFonts w:hint="default"/>
                      <w:color w:val="auto"/>
                      <w:kern w:val="0"/>
                      <w:sz w:val="18"/>
                      <w:szCs w:val="18"/>
                      <w:highlight w:val="none"/>
                      <w:lang w:val="en-US" w:eastAsia="zh-CN" w:bidi="ar"/>
                    </w:rPr>
                    <w:t>按实际需求运行</w:t>
                  </w:r>
                  <w:r>
                    <w:rPr>
                      <w:rStyle w:val="148"/>
                      <w:rFonts w:hint="default" w:ascii="Times New Roman" w:hAnsi="Times New Roman" w:cs="Times New Roman"/>
                      <w:color w:val="auto"/>
                      <w:sz w:val="18"/>
                      <w:szCs w:val="18"/>
                      <w:highlight w:val="none"/>
                      <w:lang w:bidi="ar"/>
                    </w:rPr>
                    <w:t>，年纯水制备量为</w:t>
                  </w:r>
                  <w:r>
                    <w:rPr>
                      <w:rFonts w:hint="default"/>
                      <w:color w:val="auto"/>
                      <w:kern w:val="0"/>
                      <w:sz w:val="18"/>
                      <w:szCs w:val="18"/>
                      <w:highlight w:val="none"/>
                      <w:lang w:val="en-US" w:eastAsia="zh-CN" w:bidi="ar"/>
                    </w:rPr>
                    <w:t>12</w:t>
                  </w:r>
                  <w:r>
                    <w:rPr>
                      <w:color w:val="auto"/>
                      <w:kern w:val="0"/>
                      <w:sz w:val="18"/>
                      <w:szCs w:val="18"/>
                      <w:highlight w:val="none"/>
                      <w:lang w:bidi="ar"/>
                    </w:rPr>
                    <w:t xml:space="preserve"> t/a</w:t>
                  </w:r>
                  <w:r>
                    <w:rPr>
                      <w:rFonts w:hint="eastAsia"/>
                      <w:color w:val="auto"/>
                      <w:kern w:val="0"/>
                      <w:sz w:val="18"/>
                      <w:szCs w:val="18"/>
                      <w:highlight w:val="none"/>
                      <w:lang w:eastAsia="zh-CN" w:bidi="ar"/>
                    </w:rPr>
                    <w:t>。</w:t>
                  </w:r>
                </w:p>
              </w:tc>
              <w:tc>
                <w:tcPr>
                  <w:tcW w:w="564" w:type="pct"/>
                  <w:tcBorders>
                    <w:tl2br w:val="nil"/>
                    <w:tr2bl w:val="nil"/>
                  </w:tcBorders>
                  <w:vAlign w:val="center"/>
                </w:tcPr>
                <w:p w14:paraId="7C42A1CA">
                  <w:pPr>
                    <w:widowControl/>
                    <w:jc w:val="center"/>
                    <w:textAlignment w:val="center"/>
                    <w:rPr>
                      <w:color w:val="auto"/>
                      <w:sz w:val="18"/>
                      <w:szCs w:val="18"/>
                      <w:highlight w:val="none"/>
                    </w:rPr>
                  </w:pPr>
                  <w:r>
                    <w:rPr>
                      <w:color w:val="auto"/>
                      <w:kern w:val="0"/>
                      <w:sz w:val="18"/>
                      <w:szCs w:val="18"/>
                      <w:highlight w:val="none"/>
                      <w:lang w:bidi="ar"/>
                    </w:rPr>
                    <w:t>0.25 t/h</w:t>
                  </w:r>
                </w:p>
              </w:tc>
              <w:tc>
                <w:tcPr>
                  <w:tcW w:w="426" w:type="pct"/>
                  <w:tcBorders>
                    <w:tl2br w:val="nil"/>
                    <w:tr2bl w:val="nil"/>
                  </w:tcBorders>
                  <w:vAlign w:val="center"/>
                </w:tcPr>
                <w:p w14:paraId="3B41EDB3">
                  <w:pPr>
                    <w:widowControl/>
                    <w:jc w:val="center"/>
                    <w:textAlignment w:val="center"/>
                    <w:rPr>
                      <w:color w:val="auto"/>
                      <w:sz w:val="18"/>
                      <w:szCs w:val="18"/>
                      <w:highlight w:val="none"/>
                    </w:rPr>
                  </w:pPr>
                  <w:r>
                    <w:rPr>
                      <w:color w:val="auto"/>
                      <w:kern w:val="0"/>
                      <w:sz w:val="18"/>
                      <w:szCs w:val="18"/>
                      <w:highlight w:val="none"/>
                      <w:lang w:bidi="ar"/>
                    </w:rPr>
                    <w:t>新建</w:t>
                  </w:r>
                </w:p>
              </w:tc>
            </w:tr>
            <w:tr w14:paraId="0E848F1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275" w:type="pct"/>
                  <w:tcBorders>
                    <w:tl2br w:val="nil"/>
                    <w:tr2bl w:val="nil"/>
                  </w:tcBorders>
                  <w:vAlign w:val="center"/>
                </w:tcPr>
                <w:p w14:paraId="384111AC">
                  <w:pPr>
                    <w:widowControl/>
                    <w:jc w:val="center"/>
                    <w:textAlignment w:val="center"/>
                    <w:rPr>
                      <w:color w:val="auto"/>
                      <w:sz w:val="18"/>
                      <w:szCs w:val="18"/>
                      <w:highlight w:val="none"/>
                    </w:rPr>
                  </w:pPr>
                  <w:r>
                    <w:rPr>
                      <w:color w:val="auto"/>
                      <w:kern w:val="0"/>
                      <w:sz w:val="18"/>
                      <w:szCs w:val="18"/>
                      <w:highlight w:val="none"/>
                      <w:lang w:bidi="ar"/>
                    </w:rPr>
                    <w:t>10</w:t>
                  </w:r>
                </w:p>
              </w:tc>
              <w:tc>
                <w:tcPr>
                  <w:tcW w:w="396" w:type="pct"/>
                  <w:vMerge w:val="continue"/>
                  <w:tcBorders>
                    <w:tl2br w:val="nil"/>
                    <w:tr2bl w:val="nil"/>
                  </w:tcBorders>
                  <w:vAlign w:val="center"/>
                </w:tcPr>
                <w:p w14:paraId="6BC9E2C8">
                  <w:pPr>
                    <w:widowControl/>
                    <w:jc w:val="center"/>
                    <w:rPr>
                      <w:color w:val="auto"/>
                      <w:sz w:val="18"/>
                      <w:szCs w:val="18"/>
                      <w:highlight w:val="none"/>
                    </w:rPr>
                  </w:pPr>
                </w:p>
              </w:tc>
              <w:tc>
                <w:tcPr>
                  <w:tcW w:w="710" w:type="pct"/>
                  <w:tcBorders>
                    <w:tl2br w:val="nil"/>
                    <w:tr2bl w:val="nil"/>
                  </w:tcBorders>
                  <w:vAlign w:val="center"/>
                </w:tcPr>
                <w:p w14:paraId="3FA97983">
                  <w:pPr>
                    <w:widowControl/>
                    <w:jc w:val="center"/>
                    <w:textAlignment w:val="center"/>
                    <w:rPr>
                      <w:color w:val="auto"/>
                      <w:sz w:val="18"/>
                      <w:szCs w:val="18"/>
                      <w:highlight w:val="none"/>
                    </w:rPr>
                  </w:pPr>
                  <w:r>
                    <w:rPr>
                      <w:color w:val="auto"/>
                      <w:kern w:val="0"/>
                      <w:sz w:val="18"/>
                      <w:szCs w:val="18"/>
                      <w:highlight w:val="none"/>
                      <w:lang w:bidi="ar"/>
                    </w:rPr>
                    <w:t>排水</w:t>
                  </w:r>
                </w:p>
              </w:tc>
              <w:tc>
                <w:tcPr>
                  <w:tcW w:w="2625" w:type="pct"/>
                  <w:tcBorders>
                    <w:tl2br w:val="nil"/>
                    <w:tr2bl w:val="nil"/>
                  </w:tcBorders>
                  <w:shd w:val="clear" w:color="auto" w:fill="auto"/>
                  <w:vAlign w:val="center"/>
                </w:tcPr>
                <w:p w14:paraId="412A8F2A">
                  <w:pPr>
                    <w:widowControl/>
                    <w:jc w:val="both"/>
                    <w:textAlignment w:val="center"/>
                    <w:rPr>
                      <w:rFonts w:hint="eastAsia" w:eastAsia="宋体"/>
                      <w:color w:val="auto"/>
                      <w:sz w:val="18"/>
                      <w:szCs w:val="18"/>
                      <w:highlight w:val="none"/>
                      <w:lang w:eastAsia="zh-CN"/>
                    </w:rPr>
                  </w:pPr>
                  <w:r>
                    <w:rPr>
                      <w:color w:val="auto"/>
                      <w:kern w:val="0"/>
                      <w:sz w:val="18"/>
                      <w:szCs w:val="18"/>
                      <w:highlight w:val="none"/>
                      <w:lang w:bidi="ar"/>
                    </w:rPr>
                    <w:t>雨、污分流，雨水经雨水管网收集后排入厂外市政管网；生产废水经处理后，与经化粪池预处理的生活污水一并纳管，送良渚污水处理厂集中处理</w:t>
                  </w:r>
                  <w:r>
                    <w:rPr>
                      <w:rFonts w:hint="eastAsia"/>
                      <w:color w:val="auto"/>
                      <w:kern w:val="0"/>
                      <w:sz w:val="18"/>
                      <w:szCs w:val="18"/>
                      <w:highlight w:val="none"/>
                      <w:lang w:eastAsia="zh-CN" w:bidi="ar"/>
                    </w:rPr>
                    <w:t>。</w:t>
                  </w:r>
                </w:p>
              </w:tc>
              <w:tc>
                <w:tcPr>
                  <w:tcW w:w="564" w:type="pct"/>
                  <w:tcBorders>
                    <w:tl2br w:val="nil"/>
                    <w:tr2bl w:val="nil"/>
                  </w:tcBorders>
                  <w:shd w:val="clear" w:color="auto" w:fill="auto"/>
                  <w:vAlign w:val="center"/>
                </w:tcPr>
                <w:p w14:paraId="56120980">
                  <w:pPr>
                    <w:widowControl/>
                    <w:jc w:val="center"/>
                    <w:textAlignment w:val="center"/>
                    <w:rPr>
                      <w:color w:val="auto"/>
                      <w:sz w:val="18"/>
                      <w:szCs w:val="18"/>
                      <w:highlight w:val="none"/>
                    </w:rPr>
                  </w:pPr>
                  <w:r>
                    <w:rPr>
                      <w:rFonts w:hint="eastAsia"/>
                      <w:color w:val="auto"/>
                      <w:kern w:val="0"/>
                      <w:sz w:val="18"/>
                      <w:szCs w:val="18"/>
                      <w:highlight w:val="none"/>
                      <w:shd w:val="clear"/>
                      <w:lang w:val="en-US" w:eastAsia="zh-CN" w:bidi="ar"/>
                    </w:rPr>
                    <w:t>199</w:t>
                  </w:r>
                  <w:r>
                    <w:rPr>
                      <w:color w:val="auto"/>
                      <w:kern w:val="0"/>
                      <w:sz w:val="18"/>
                      <w:szCs w:val="18"/>
                      <w:highlight w:val="none"/>
                      <w:shd w:val="clear"/>
                      <w:lang w:bidi="ar"/>
                    </w:rPr>
                    <w:t>t/a</w:t>
                  </w:r>
                </w:p>
              </w:tc>
              <w:tc>
                <w:tcPr>
                  <w:tcW w:w="426" w:type="pct"/>
                  <w:tcBorders>
                    <w:tl2br w:val="nil"/>
                    <w:tr2bl w:val="nil"/>
                  </w:tcBorders>
                  <w:vAlign w:val="center"/>
                </w:tcPr>
                <w:p w14:paraId="0F0EE91C">
                  <w:pPr>
                    <w:widowControl/>
                    <w:jc w:val="center"/>
                    <w:textAlignment w:val="center"/>
                    <w:rPr>
                      <w:color w:val="auto"/>
                      <w:sz w:val="18"/>
                      <w:szCs w:val="18"/>
                      <w:highlight w:val="none"/>
                    </w:rPr>
                  </w:pPr>
                  <w:r>
                    <w:rPr>
                      <w:color w:val="auto"/>
                      <w:kern w:val="0"/>
                      <w:sz w:val="18"/>
                      <w:szCs w:val="18"/>
                      <w:highlight w:val="none"/>
                      <w:lang w:bidi="ar"/>
                    </w:rPr>
                    <w:t>依托</w:t>
                  </w:r>
                </w:p>
              </w:tc>
            </w:tr>
            <w:tr w14:paraId="21D4EA9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275" w:type="pct"/>
                  <w:tcBorders>
                    <w:tl2br w:val="nil"/>
                    <w:tr2bl w:val="nil"/>
                  </w:tcBorders>
                  <w:vAlign w:val="center"/>
                </w:tcPr>
                <w:p w14:paraId="3D9B7815">
                  <w:pPr>
                    <w:widowControl/>
                    <w:jc w:val="center"/>
                    <w:textAlignment w:val="center"/>
                    <w:rPr>
                      <w:color w:val="auto"/>
                      <w:sz w:val="18"/>
                      <w:szCs w:val="18"/>
                      <w:highlight w:val="none"/>
                    </w:rPr>
                  </w:pPr>
                  <w:r>
                    <w:rPr>
                      <w:color w:val="auto"/>
                      <w:kern w:val="0"/>
                      <w:sz w:val="18"/>
                      <w:szCs w:val="18"/>
                      <w:highlight w:val="none"/>
                      <w:lang w:bidi="ar"/>
                    </w:rPr>
                    <w:t>11</w:t>
                  </w:r>
                </w:p>
              </w:tc>
              <w:tc>
                <w:tcPr>
                  <w:tcW w:w="396" w:type="pct"/>
                  <w:vMerge w:val="continue"/>
                  <w:tcBorders>
                    <w:tl2br w:val="nil"/>
                    <w:tr2bl w:val="nil"/>
                  </w:tcBorders>
                  <w:vAlign w:val="center"/>
                </w:tcPr>
                <w:p w14:paraId="542E8D08">
                  <w:pPr>
                    <w:widowControl/>
                    <w:jc w:val="center"/>
                    <w:rPr>
                      <w:color w:val="auto"/>
                      <w:sz w:val="18"/>
                      <w:szCs w:val="18"/>
                      <w:highlight w:val="none"/>
                    </w:rPr>
                  </w:pPr>
                </w:p>
              </w:tc>
              <w:tc>
                <w:tcPr>
                  <w:tcW w:w="710" w:type="pct"/>
                  <w:tcBorders>
                    <w:tl2br w:val="nil"/>
                    <w:tr2bl w:val="nil"/>
                  </w:tcBorders>
                  <w:vAlign w:val="center"/>
                </w:tcPr>
                <w:p w14:paraId="52D10A27">
                  <w:pPr>
                    <w:widowControl/>
                    <w:jc w:val="center"/>
                    <w:textAlignment w:val="center"/>
                    <w:rPr>
                      <w:color w:val="auto"/>
                      <w:sz w:val="18"/>
                      <w:szCs w:val="18"/>
                      <w:highlight w:val="none"/>
                    </w:rPr>
                  </w:pPr>
                  <w:r>
                    <w:rPr>
                      <w:color w:val="auto"/>
                      <w:kern w:val="0"/>
                      <w:sz w:val="18"/>
                      <w:szCs w:val="18"/>
                      <w:highlight w:val="none"/>
                      <w:lang w:bidi="ar"/>
                    </w:rPr>
                    <w:t>循环水系统</w:t>
                  </w:r>
                </w:p>
              </w:tc>
              <w:tc>
                <w:tcPr>
                  <w:tcW w:w="2625" w:type="pct"/>
                  <w:tcBorders>
                    <w:tl2br w:val="nil"/>
                    <w:tr2bl w:val="nil"/>
                  </w:tcBorders>
                  <w:vAlign w:val="center"/>
                </w:tcPr>
                <w:p w14:paraId="1CBA050E">
                  <w:pPr>
                    <w:widowControl/>
                    <w:jc w:val="both"/>
                    <w:textAlignment w:val="center"/>
                    <w:rPr>
                      <w:rFonts w:hint="eastAsia" w:eastAsia="宋体"/>
                      <w:color w:val="auto"/>
                      <w:sz w:val="18"/>
                      <w:szCs w:val="18"/>
                      <w:highlight w:val="none"/>
                      <w:lang w:eastAsia="zh-CN"/>
                    </w:rPr>
                  </w:pPr>
                  <w:r>
                    <w:rPr>
                      <w:color w:val="auto"/>
                      <w:kern w:val="0"/>
                      <w:sz w:val="18"/>
                      <w:szCs w:val="18"/>
                      <w:highlight w:val="none"/>
                      <w:lang w:bidi="ar"/>
                    </w:rPr>
                    <w:t>设置1</w:t>
                  </w:r>
                  <w:r>
                    <w:rPr>
                      <w:rStyle w:val="148"/>
                      <w:rFonts w:hint="default" w:ascii="Times New Roman" w:hAnsi="Times New Roman" w:cs="Times New Roman"/>
                      <w:color w:val="auto"/>
                      <w:sz w:val="18"/>
                      <w:szCs w:val="18"/>
                      <w:highlight w:val="none"/>
                      <w:lang w:bidi="ar"/>
                    </w:rPr>
                    <w:t>台</w:t>
                  </w:r>
                  <w:r>
                    <w:rPr>
                      <w:rStyle w:val="148"/>
                      <w:rFonts w:hint="default" w:ascii="Times New Roman" w:hAnsi="Times New Roman" w:cs="Times New Roman"/>
                      <w:color w:val="auto"/>
                      <w:sz w:val="18"/>
                      <w:szCs w:val="18"/>
                      <w:highlight w:val="none"/>
                      <w:lang w:val="en-US" w:eastAsia="zh-CN" w:bidi="ar"/>
                    </w:rPr>
                    <w:t>常温</w:t>
                  </w:r>
                  <w:r>
                    <w:rPr>
                      <w:rStyle w:val="148"/>
                      <w:rFonts w:hint="default" w:ascii="Times New Roman" w:hAnsi="Times New Roman" w:cs="Times New Roman"/>
                      <w:color w:val="auto"/>
                      <w:sz w:val="18"/>
                      <w:szCs w:val="18"/>
                      <w:highlight w:val="none"/>
                      <w:lang w:bidi="ar"/>
                    </w:rPr>
                    <w:t>冷水机，运行时间约</w:t>
                  </w:r>
                  <w:r>
                    <w:rPr>
                      <w:color w:val="auto"/>
                      <w:kern w:val="0"/>
                      <w:sz w:val="18"/>
                      <w:szCs w:val="18"/>
                      <w:highlight w:val="none"/>
                      <w:lang w:bidi="ar"/>
                    </w:rPr>
                    <w:t>4 h/d</w:t>
                  </w:r>
                  <w:r>
                    <w:rPr>
                      <w:rStyle w:val="148"/>
                      <w:rFonts w:hint="default" w:ascii="Times New Roman" w:hAnsi="Times New Roman" w:cs="Times New Roman"/>
                      <w:color w:val="auto"/>
                      <w:sz w:val="18"/>
                      <w:szCs w:val="18"/>
                      <w:highlight w:val="none"/>
                      <w:lang w:bidi="ar"/>
                    </w:rPr>
                    <w:t>，用于砂磨、喷雾干燥工序</w:t>
                  </w:r>
                  <w:r>
                    <w:rPr>
                      <w:rStyle w:val="148"/>
                      <w:rFonts w:hint="eastAsia" w:cs="Times New Roman"/>
                      <w:color w:val="auto"/>
                      <w:sz w:val="18"/>
                      <w:szCs w:val="18"/>
                      <w:highlight w:val="none"/>
                      <w:lang w:val="en-US" w:eastAsia="zh-CN" w:bidi="ar"/>
                    </w:rPr>
                    <w:t>间接</w:t>
                  </w:r>
                  <w:r>
                    <w:rPr>
                      <w:rStyle w:val="148"/>
                      <w:rFonts w:hint="default" w:ascii="Times New Roman" w:hAnsi="Times New Roman" w:cs="Times New Roman"/>
                      <w:color w:val="auto"/>
                      <w:sz w:val="18"/>
                      <w:szCs w:val="18"/>
                      <w:highlight w:val="none"/>
                      <w:lang w:bidi="ar"/>
                    </w:rPr>
                    <w:t>冷却；循环水定期补充损耗，定期外排</w:t>
                  </w:r>
                  <w:r>
                    <w:rPr>
                      <w:rStyle w:val="148"/>
                      <w:rFonts w:hint="eastAsia" w:cs="Times New Roman"/>
                      <w:color w:val="auto"/>
                      <w:sz w:val="18"/>
                      <w:szCs w:val="18"/>
                      <w:highlight w:val="none"/>
                      <w:lang w:eastAsia="zh-CN" w:bidi="ar"/>
                    </w:rPr>
                    <w:t>。</w:t>
                  </w:r>
                </w:p>
              </w:tc>
              <w:tc>
                <w:tcPr>
                  <w:tcW w:w="564" w:type="pct"/>
                  <w:tcBorders>
                    <w:tl2br w:val="nil"/>
                    <w:tr2bl w:val="nil"/>
                  </w:tcBorders>
                  <w:vAlign w:val="center"/>
                </w:tcPr>
                <w:p w14:paraId="5F72B6C4">
                  <w:pPr>
                    <w:widowControl/>
                    <w:jc w:val="center"/>
                    <w:textAlignment w:val="center"/>
                    <w:rPr>
                      <w:color w:val="auto"/>
                      <w:sz w:val="18"/>
                      <w:szCs w:val="18"/>
                      <w:highlight w:val="none"/>
                    </w:rPr>
                  </w:pPr>
                  <w:r>
                    <w:rPr>
                      <w:rFonts w:hint="default"/>
                      <w:color w:val="auto"/>
                      <w:kern w:val="0"/>
                      <w:sz w:val="18"/>
                      <w:szCs w:val="18"/>
                      <w:highlight w:val="none"/>
                      <w:lang w:val="en-US" w:eastAsia="zh-CN" w:bidi="ar"/>
                    </w:rPr>
                    <w:t xml:space="preserve">9.2 </w:t>
                  </w:r>
                  <w:r>
                    <w:rPr>
                      <w:color w:val="auto"/>
                      <w:kern w:val="0"/>
                      <w:sz w:val="18"/>
                      <w:szCs w:val="18"/>
                      <w:highlight w:val="none"/>
                      <w:lang w:bidi="ar"/>
                    </w:rPr>
                    <w:t>m³/h</w:t>
                  </w:r>
                </w:p>
              </w:tc>
              <w:tc>
                <w:tcPr>
                  <w:tcW w:w="426" w:type="pct"/>
                  <w:tcBorders>
                    <w:tl2br w:val="nil"/>
                    <w:tr2bl w:val="nil"/>
                  </w:tcBorders>
                  <w:vAlign w:val="center"/>
                </w:tcPr>
                <w:p w14:paraId="2A4F9A39">
                  <w:pPr>
                    <w:widowControl/>
                    <w:jc w:val="center"/>
                    <w:textAlignment w:val="center"/>
                    <w:rPr>
                      <w:color w:val="auto"/>
                      <w:sz w:val="18"/>
                      <w:szCs w:val="18"/>
                      <w:highlight w:val="none"/>
                    </w:rPr>
                  </w:pPr>
                  <w:r>
                    <w:rPr>
                      <w:color w:val="auto"/>
                      <w:kern w:val="0"/>
                      <w:sz w:val="18"/>
                      <w:szCs w:val="18"/>
                      <w:highlight w:val="none"/>
                      <w:lang w:bidi="ar"/>
                    </w:rPr>
                    <w:t>新建</w:t>
                  </w:r>
                </w:p>
              </w:tc>
            </w:tr>
            <w:tr w14:paraId="24D900B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275" w:type="pct"/>
                  <w:tcBorders>
                    <w:tl2br w:val="nil"/>
                    <w:tr2bl w:val="nil"/>
                  </w:tcBorders>
                  <w:vAlign w:val="center"/>
                </w:tcPr>
                <w:p w14:paraId="6385824C">
                  <w:pPr>
                    <w:widowControl/>
                    <w:jc w:val="center"/>
                    <w:textAlignment w:val="center"/>
                    <w:rPr>
                      <w:color w:val="auto"/>
                      <w:sz w:val="18"/>
                      <w:szCs w:val="18"/>
                      <w:highlight w:val="none"/>
                    </w:rPr>
                  </w:pPr>
                  <w:r>
                    <w:rPr>
                      <w:color w:val="auto"/>
                      <w:kern w:val="0"/>
                      <w:sz w:val="18"/>
                      <w:szCs w:val="18"/>
                      <w:highlight w:val="none"/>
                      <w:lang w:bidi="ar"/>
                    </w:rPr>
                    <w:t>12</w:t>
                  </w:r>
                </w:p>
              </w:tc>
              <w:tc>
                <w:tcPr>
                  <w:tcW w:w="396" w:type="pct"/>
                  <w:vMerge w:val="continue"/>
                  <w:tcBorders>
                    <w:tl2br w:val="nil"/>
                    <w:tr2bl w:val="nil"/>
                  </w:tcBorders>
                  <w:vAlign w:val="center"/>
                </w:tcPr>
                <w:p w14:paraId="585C3ED1">
                  <w:pPr>
                    <w:widowControl/>
                    <w:jc w:val="center"/>
                    <w:rPr>
                      <w:color w:val="auto"/>
                      <w:sz w:val="18"/>
                      <w:szCs w:val="18"/>
                      <w:highlight w:val="none"/>
                    </w:rPr>
                  </w:pPr>
                </w:p>
              </w:tc>
              <w:tc>
                <w:tcPr>
                  <w:tcW w:w="710" w:type="pct"/>
                  <w:tcBorders>
                    <w:tl2br w:val="nil"/>
                    <w:tr2bl w:val="nil"/>
                  </w:tcBorders>
                  <w:vAlign w:val="center"/>
                </w:tcPr>
                <w:p w14:paraId="017E83CE">
                  <w:pPr>
                    <w:widowControl/>
                    <w:jc w:val="center"/>
                    <w:textAlignment w:val="center"/>
                    <w:rPr>
                      <w:color w:val="auto"/>
                      <w:sz w:val="18"/>
                      <w:szCs w:val="18"/>
                      <w:highlight w:val="none"/>
                    </w:rPr>
                  </w:pPr>
                  <w:r>
                    <w:rPr>
                      <w:color w:val="auto"/>
                      <w:kern w:val="0"/>
                      <w:sz w:val="18"/>
                      <w:szCs w:val="18"/>
                      <w:highlight w:val="none"/>
                      <w:lang w:bidi="ar"/>
                    </w:rPr>
                    <w:t>供电</w:t>
                  </w:r>
                </w:p>
              </w:tc>
              <w:tc>
                <w:tcPr>
                  <w:tcW w:w="2625" w:type="pct"/>
                  <w:tcBorders>
                    <w:tl2br w:val="nil"/>
                    <w:tr2bl w:val="nil"/>
                  </w:tcBorders>
                  <w:shd w:val="clear" w:color="auto" w:fill="auto"/>
                  <w:vAlign w:val="center"/>
                </w:tcPr>
                <w:p w14:paraId="6DDC5C93">
                  <w:pPr>
                    <w:widowControl/>
                    <w:jc w:val="both"/>
                    <w:textAlignment w:val="center"/>
                    <w:rPr>
                      <w:rFonts w:hint="eastAsia" w:eastAsia="宋体"/>
                      <w:color w:val="auto"/>
                      <w:sz w:val="18"/>
                      <w:szCs w:val="18"/>
                      <w:highlight w:val="none"/>
                      <w:lang w:eastAsia="zh-CN"/>
                    </w:rPr>
                  </w:pPr>
                  <w:r>
                    <w:rPr>
                      <w:color w:val="auto"/>
                      <w:kern w:val="0"/>
                      <w:sz w:val="18"/>
                      <w:szCs w:val="18"/>
                      <w:highlight w:val="none"/>
                      <w:lang w:bidi="ar"/>
                    </w:rPr>
                    <w:t>由市政电网统一配送，项目设置1</w:t>
                  </w:r>
                  <w:r>
                    <w:rPr>
                      <w:rStyle w:val="148"/>
                      <w:rFonts w:hint="default" w:ascii="Times New Roman" w:hAnsi="Times New Roman" w:cs="Times New Roman"/>
                      <w:color w:val="auto"/>
                      <w:sz w:val="18"/>
                      <w:szCs w:val="18"/>
                      <w:highlight w:val="none"/>
                      <w:lang w:bidi="ar"/>
                    </w:rPr>
                    <w:t>个强弱电间，位于平面图左上方</w:t>
                  </w:r>
                  <w:r>
                    <w:rPr>
                      <w:rStyle w:val="148"/>
                      <w:rFonts w:hint="eastAsia" w:cs="Times New Roman"/>
                      <w:color w:val="auto"/>
                      <w:sz w:val="18"/>
                      <w:szCs w:val="18"/>
                      <w:highlight w:val="none"/>
                      <w:lang w:eastAsia="zh-CN" w:bidi="ar"/>
                    </w:rPr>
                    <w:t>。</w:t>
                  </w:r>
                </w:p>
              </w:tc>
              <w:tc>
                <w:tcPr>
                  <w:tcW w:w="564" w:type="pct"/>
                  <w:tcBorders>
                    <w:tl2br w:val="nil"/>
                    <w:tr2bl w:val="nil"/>
                  </w:tcBorders>
                  <w:shd w:val="clear" w:color="auto" w:fill="auto"/>
                  <w:vAlign w:val="center"/>
                </w:tcPr>
                <w:p w14:paraId="3F84377D">
                  <w:pPr>
                    <w:widowControl/>
                    <w:jc w:val="center"/>
                    <w:textAlignment w:val="center"/>
                    <w:rPr>
                      <w:color w:val="auto"/>
                      <w:sz w:val="18"/>
                      <w:szCs w:val="18"/>
                      <w:highlight w:val="none"/>
                    </w:rPr>
                  </w:pPr>
                  <w:r>
                    <w:rPr>
                      <w:rFonts w:hint="default"/>
                      <w:color w:val="auto"/>
                      <w:kern w:val="0"/>
                      <w:sz w:val="18"/>
                      <w:szCs w:val="18"/>
                      <w:highlight w:val="none"/>
                      <w:shd w:val="clear"/>
                      <w:lang w:val="en-US" w:eastAsia="zh-CN" w:bidi="ar"/>
                    </w:rPr>
                    <w:t>10万</w:t>
                  </w:r>
                  <w:r>
                    <w:rPr>
                      <w:color w:val="auto"/>
                      <w:kern w:val="0"/>
                      <w:sz w:val="18"/>
                      <w:szCs w:val="18"/>
                      <w:highlight w:val="none"/>
                      <w:shd w:val="clear"/>
                      <w:lang w:bidi="ar"/>
                    </w:rPr>
                    <w:t xml:space="preserve"> kWh/a</w:t>
                  </w:r>
                </w:p>
              </w:tc>
              <w:tc>
                <w:tcPr>
                  <w:tcW w:w="426" w:type="pct"/>
                  <w:tcBorders>
                    <w:tl2br w:val="nil"/>
                    <w:tr2bl w:val="nil"/>
                  </w:tcBorders>
                  <w:shd w:val="clear" w:color="auto" w:fill="auto"/>
                  <w:vAlign w:val="center"/>
                </w:tcPr>
                <w:p w14:paraId="3B198CBA">
                  <w:pPr>
                    <w:widowControl/>
                    <w:jc w:val="center"/>
                    <w:textAlignment w:val="center"/>
                    <w:rPr>
                      <w:color w:val="auto"/>
                      <w:sz w:val="18"/>
                      <w:szCs w:val="18"/>
                      <w:highlight w:val="none"/>
                    </w:rPr>
                  </w:pPr>
                  <w:r>
                    <w:rPr>
                      <w:color w:val="auto"/>
                      <w:kern w:val="0"/>
                      <w:sz w:val="18"/>
                      <w:szCs w:val="18"/>
                      <w:highlight w:val="none"/>
                      <w:lang w:bidi="ar"/>
                    </w:rPr>
                    <w:t>依托</w:t>
                  </w:r>
                </w:p>
              </w:tc>
            </w:tr>
            <w:tr w14:paraId="253844A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275" w:type="pct"/>
                  <w:tcBorders>
                    <w:tl2br w:val="nil"/>
                    <w:tr2bl w:val="nil"/>
                  </w:tcBorders>
                  <w:vAlign w:val="center"/>
                </w:tcPr>
                <w:p w14:paraId="47629793">
                  <w:pPr>
                    <w:widowControl/>
                    <w:jc w:val="center"/>
                    <w:textAlignment w:val="center"/>
                    <w:rPr>
                      <w:color w:val="auto"/>
                      <w:sz w:val="18"/>
                      <w:szCs w:val="18"/>
                      <w:highlight w:val="none"/>
                    </w:rPr>
                  </w:pPr>
                  <w:r>
                    <w:rPr>
                      <w:color w:val="auto"/>
                      <w:kern w:val="0"/>
                      <w:sz w:val="18"/>
                      <w:szCs w:val="18"/>
                      <w:highlight w:val="none"/>
                      <w:lang w:bidi="ar"/>
                    </w:rPr>
                    <w:t>13</w:t>
                  </w:r>
                </w:p>
              </w:tc>
              <w:tc>
                <w:tcPr>
                  <w:tcW w:w="396" w:type="pct"/>
                  <w:vMerge w:val="continue"/>
                  <w:tcBorders>
                    <w:tl2br w:val="nil"/>
                    <w:tr2bl w:val="nil"/>
                  </w:tcBorders>
                  <w:vAlign w:val="center"/>
                </w:tcPr>
                <w:p w14:paraId="396622D9">
                  <w:pPr>
                    <w:widowControl/>
                    <w:jc w:val="center"/>
                    <w:rPr>
                      <w:color w:val="auto"/>
                      <w:sz w:val="18"/>
                      <w:szCs w:val="18"/>
                      <w:highlight w:val="none"/>
                    </w:rPr>
                  </w:pPr>
                </w:p>
              </w:tc>
              <w:tc>
                <w:tcPr>
                  <w:tcW w:w="710" w:type="pct"/>
                  <w:tcBorders>
                    <w:tl2br w:val="nil"/>
                    <w:tr2bl w:val="nil"/>
                  </w:tcBorders>
                  <w:vAlign w:val="center"/>
                </w:tcPr>
                <w:p w14:paraId="5612D094">
                  <w:pPr>
                    <w:widowControl/>
                    <w:jc w:val="center"/>
                    <w:textAlignment w:val="center"/>
                    <w:rPr>
                      <w:color w:val="auto"/>
                      <w:sz w:val="18"/>
                      <w:szCs w:val="18"/>
                      <w:highlight w:val="none"/>
                    </w:rPr>
                  </w:pPr>
                  <w:r>
                    <w:rPr>
                      <w:color w:val="auto"/>
                      <w:kern w:val="0"/>
                      <w:sz w:val="18"/>
                      <w:szCs w:val="18"/>
                      <w:highlight w:val="none"/>
                      <w:lang w:bidi="ar"/>
                    </w:rPr>
                    <w:t>压缩空气系统</w:t>
                  </w:r>
                </w:p>
              </w:tc>
              <w:tc>
                <w:tcPr>
                  <w:tcW w:w="2625" w:type="pct"/>
                  <w:tcBorders>
                    <w:tl2br w:val="nil"/>
                    <w:tr2bl w:val="nil"/>
                  </w:tcBorders>
                  <w:vAlign w:val="center"/>
                </w:tcPr>
                <w:p w14:paraId="3720A30C">
                  <w:pPr>
                    <w:widowControl/>
                    <w:jc w:val="both"/>
                    <w:textAlignment w:val="center"/>
                    <w:rPr>
                      <w:rFonts w:hint="eastAsia" w:eastAsia="宋体"/>
                      <w:color w:val="auto"/>
                      <w:sz w:val="18"/>
                      <w:szCs w:val="18"/>
                      <w:highlight w:val="none"/>
                      <w:lang w:eastAsia="zh-CN"/>
                    </w:rPr>
                  </w:pPr>
                  <w:r>
                    <w:rPr>
                      <w:color w:val="auto"/>
                      <w:kern w:val="0"/>
                      <w:sz w:val="18"/>
                      <w:szCs w:val="18"/>
                      <w:highlight w:val="none"/>
                      <w:lang w:bidi="ar"/>
                    </w:rPr>
                    <w:t>项目设置一台无油螺杆空压机</w:t>
                  </w:r>
                  <w:r>
                    <w:rPr>
                      <w:rFonts w:hint="eastAsia"/>
                      <w:color w:val="auto"/>
                      <w:kern w:val="0"/>
                      <w:sz w:val="18"/>
                      <w:szCs w:val="18"/>
                      <w:highlight w:val="none"/>
                      <w:lang w:eastAsia="zh-CN" w:bidi="ar"/>
                    </w:rPr>
                    <w:t>。</w:t>
                  </w:r>
                </w:p>
              </w:tc>
              <w:tc>
                <w:tcPr>
                  <w:tcW w:w="564" w:type="pct"/>
                  <w:tcBorders>
                    <w:tl2br w:val="nil"/>
                    <w:tr2bl w:val="nil"/>
                  </w:tcBorders>
                  <w:vAlign w:val="center"/>
                </w:tcPr>
                <w:p w14:paraId="2F70E1D4">
                  <w:pPr>
                    <w:widowControl/>
                    <w:jc w:val="center"/>
                    <w:textAlignment w:val="center"/>
                    <w:rPr>
                      <w:color w:val="auto"/>
                      <w:sz w:val="18"/>
                      <w:szCs w:val="18"/>
                      <w:highlight w:val="none"/>
                    </w:rPr>
                  </w:pPr>
                  <w:r>
                    <w:rPr>
                      <w:color w:val="auto"/>
                      <w:kern w:val="0"/>
                      <w:sz w:val="18"/>
                      <w:szCs w:val="18"/>
                      <w:highlight w:val="none"/>
                      <w:lang w:bidi="ar"/>
                    </w:rPr>
                    <w:t>6 m³/min</w:t>
                  </w:r>
                </w:p>
              </w:tc>
              <w:tc>
                <w:tcPr>
                  <w:tcW w:w="426" w:type="pct"/>
                  <w:tcBorders>
                    <w:tl2br w:val="nil"/>
                    <w:tr2bl w:val="nil"/>
                  </w:tcBorders>
                  <w:vAlign w:val="center"/>
                </w:tcPr>
                <w:p w14:paraId="4933B564">
                  <w:pPr>
                    <w:widowControl/>
                    <w:jc w:val="center"/>
                    <w:textAlignment w:val="center"/>
                    <w:rPr>
                      <w:color w:val="auto"/>
                      <w:sz w:val="18"/>
                      <w:szCs w:val="18"/>
                      <w:highlight w:val="none"/>
                    </w:rPr>
                  </w:pPr>
                  <w:r>
                    <w:rPr>
                      <w:color w:val="auto"/>
                      <w:kern w:val="0"/>
                      <w:sz w:val="18"/>
                      <w:szCs w:val="18"/>
                      <w:highlight w:val="none"/>
                      <w:lang w:bidi="ar"/>
                    </w:rPr>
                    <w:t>新建</w:t>
                  </w:r>
                </w:p>
              </w:tc>
            </w:tr>
            <w:tr w14:paraId="65CF7DD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275" w:type="pct"/>
                  <w:tcBorders>
                    <w:tl2br w:val="nil"/>
                    <w:tr2bl w:val="nil"/>
                  </w:tcBorders>
                  <w:vAlign w:val="center"/>
                </w:tcPr>
                <w:p w14:paraId="55693960">
                  <w:pPr>
                    <w:widowControl/>
                    <w:jc w:val="center"/>
                    <w:textAlignment w:val="center"/>
                    <w:rPr>
                      <w:color w:val="auto"/>
                      <w:sz w:val="18"/>
                      <w:szCs w:val="18"/>
                      <w:highlight w:val="none"/>
                    </w:rPr>
                  </w:pPr>
                  <w:r>
                    <w:rPr>
                      <w:color w:val="auto"/>
                      <w:kern w:val="0"/>
                      <w:sz w:val="18"/>
                      <w:szCs w:val="18"/>
                      <w:highlight w:val="none"/>
                      <w:lang w:bidi="ar"/>
                    </w:rPr>
                    <w:t>14</w:t>
                  </w:r>
                </w:p>
              </w:tc>
              <w:tc>
                <w:tcPr>
                  <w:tcW w:w="396" w:type="pct"/>
                  <w:vMerge w:val="continue"/>
                  <w:tcBorders>
                    <w:tl2br w:val="nil"/>
                    <w:tr2bl w:val="nil"/>
                  </w:tcBorders>
                  <w:vAlign w:val="center"/>
                </w:tcPr>
                <w:p w14:paraId="1F3D9867">
                  <w:pPr>
                    <w:widowControl/>
                    <w:jc w:val="center"/>
                    <w:rPr>
                      <w:color w:val="auto"/>
                      <w:sz w:val="18"/>
                      <w:szCs w:val="18"/>
                      <w:highlight w:val="none"/>
                    </w:rPr>
                  </w:pPr>
                </w:p>
              </w:tc>
              <w:tc>
                <w:tcPr>
                  <w:tcW w:w="710" w:type="pct"/>
                  <w:tcBorders>
                    <w:tl2br w:val="nil"/>
                    <w:tr2bl w:val="nil"/>
                  </w:tcBorders>
                  <w:vAlign w:val="center"/>
                </w:tcPr>
                <w:p w14:paraId="27CF8CF7">
                  <w:pPr>
                    <w:widowControl/>
                    <w:jc w:val="center"/>
                    <w:textAlignment w:val="center"/>
                    <w:rPr>
                      <w:color w:val="auto"/>
                      <w:sz w:val="18"/>
                      <w:szCs w:val="18"/>
                      <w:highlight w:val="none"/>
                    </w:rPr>
                  </w:pPr>
                  <w:r>
                    <w:rPr>
                      <w:color w:val="auto"/>
                      <w:kern w:val="0"/>
                      <w:sz w:val="18"/>
                      <w:szCs w:val="18"/>
                      <w:highlight w:val="none"/>
                      <w:lang w:bidi="ar"/>
                    </w:rPr>
                    <w:t>氮气供应系统</w:t>
                  </w:r>
                </w:p>
              </w:tc>
              <w:tc>
                <w:tcPr>
                  <w:tcW w:w="2625" w:type="pct"/>
                  <w:tcBorders>
                    <w:tl2br w:val="nil"/>
                    <w:tr2bl w:val="nil"/>
                  </w:tcBorders>
                  <w:vAlign w:val="center"/>
                </w:tcPr>
                <w:p w14:paraId="7ABCF41E">
                  <w:pPr>
                    <w:widowControl/>
                    <w:jc w:val="both"/>
                    <w:textAlignment w:val="center"/>
                    <w:rPr>
                      <w:rFonts w:hint="eastAsia" w:eastAsia="宋体"/>
                      <w:color w:val="auto"/>
                      <w:sz w:val="18"/>
                      <w:szCs w:val="18"/>
                      <w:highlight w:val="none"/>
                      <w:lang w:eastAsia="zh-CN"/>
                    </w:rPr>
                  </w:pPr>
                  <w:r>
                    <w:rPr>
                      <w:color w:val="auto"/>
                      <w:kern w:val="0"/>
                      <w:sz w:val="18"/>
                      <w:szCs w:val="18"/>
                      <w:highlight w:val="none"/>
                      <w:lang w:bidi="ar"/>
                    </w:rPr>
                    <w:t>设置氮气制备设施，GN2</w:t>
                  </w:r>
                  <w:r>
                    <w:rPr>
                      <w:rStyle w:val="148"/>
                      <w:rFonts w:hint="default" w:ascii="Times New Roman" w:hAnsi="Times New Roman" w:cs="Times New Roman"/>
                      <w:color w:val="auto"/>
                      <w:sz w:val="18"/>
                      <w:szCs w:val="18"/>
                      <w:highlight w:val="none"/>
                      <w:lang w:bidi="ar"/>
                    </w:rPr>
                    <w:t>（普通氮气）由</w:t>
                  </w:r>
                  <w:r>
                    <w:rPr>
                      <w:rStyle w:val="148"/>
                      <w:rFonts w:hint="default" w:ascii="Times New Roman" w:hAnsi="Times New Roman" w:cs="Times New Roman"/>
                      <w:color w:val="auto"/>
                      <w:sz w:val="18"/>
                      <w:szCs w:val="18"/>
                      <w:highlight w:val="none"/>
                      <w:lang w:val="en-US" w:eastAsia="zh-CN" w:bidi="ar"/>
                    </w:rPr>
                    <w:t>变压吸附制备</w:t>
                  </w:r>
                  <w:r>
                    <w:rPr>
                      <w:rStyle w:val="148"/>
                      <w:rFonts w:hint="default" w:ascii="Times New Roman" w:hAnsi="Times New Roman" w:cs="Times New Roman"/>
                      <w:color w:val="auto"/>
                      <w:sz w:val="18"/>
                      <w:szCs w:val="18"/>
                      <w:highlight w:val="none"/>
                      <w:lang w:bidi="ar"/>
                    </w:rPr>
                    <w:t>，</w:t>
                  </w:r>
                  <w:r>
                    <w:rPr>
                      <w:color w:val="auto"/>
                      <w:kern w:val="0"/>
                      <w:sz w:val="18"/>
                      <w:szCs w:val="18"/>
                      <w:highlight w:val="none"/>
                      <w:lang w:bidi="ar"/>
                    </w:rPr>
                    <w:t>PN2</w:t>
                  </w:r>
                  <w:r>
                    <w:rPr>
                      <w:rStyle w:val="148"/>
                      <w:rFonts w:hint="default" w:ascii="Times New Roman" w:hAnsi="Times New Roman" w:cs="Times New Roman"/>
                      <w:color w:val="auto"/>
                      <w:sz w:val="18"/>
                      <w:szCs w:val="18"/>
                      <w:highlight w:val="none"/>
                      <w:lang w:bidi="ar"/>
                    </w:rPr>
                    <w:t>（工艺纯化氮气）由</w:t>
                  </w:r>
                  <w:r>
                    <w:rPr>
                      <w:color w:val="auto"/>
                      <w:kern w:val="0"/>
                      <w:sz w:val="18"/>
                      <w:szCs w:val="18"/>
                      <w:highlight w:val="none"/>
                      <w:lang w:bidi="ar"/>
                    </w:rPr>
                    <w:t>GN2</w:t>
                  </w:r>
                  <w:r>
                    <w:rPr>
                      <w:rStyle w:val="148"/>
                      <w:rFonts w:hint="default" w:ascii="Times New Roman" w:hAnsi="Times New Roman" w:cs="Times New Roman"/>
                      <w:color w:val="auto"/>
                      <w:sz w:val="18"/>
                      <w:szCs w:val="18"/>
                      <w:highlight w:val="none"/>
                      <w:lang w:bidi="ar"/>
                    </w:rPr>
                    <w:t>经过小型纯化器纯化后供应</w:t>
                  </w:r>
                  <w:r>
                    <w:rPr>
                      <w:rStyle w:val="148"/>
                      <w:rFonts w:hint="eastAsia" w:cs="Times New Roman"/>
                      <w:color w:val="auto"/>
                      <w:sz w:val="18"/>
                      <w:szCs w:val="18"/>
                      <w:highlight w:val="none"/>
                      <w:lang w:eastAsia="zh-CN" w:bidi="ar"/>
                    </w:rPr>
                    <w:t>。</w:t>
                  </w:r>
                </w:p>
              </w:tc>
              <w:tc>
                <w:tcPr>
                  <w:tcW w:w="564" w:type="pct"/>
                  <w:tcBorders>
                    <w:tl2br w:val="nil"/>
                    <w:tr2bl w:val="nil"/>
                  </w:tcBorders>
                  <w:vAlign w:val="center"/>
                </w:tcPr>
                <w:p w14:paraId="7ED2B464">
                  <w:pPr>
                    <w:widowControl/>
                    <w:jc w:val="center"/>
                    <w:textAlignment w:val="center"/>
                    <w:rPr>
                      <w:color w:val="auto"/>
                      <w:sz w:val="18"/>
                      <w:szCs w:val="18"/>
                      <w:highlight w:val="none"/>
                    </w:rPr>
                  </w:pPr>
                  <w:r>
                    <w:rPr>
                      <w:color w:val="auto"/>
                      <w:kern w:val="0"/>
                      <w:sz w:val="18"/>
                      <w:szCs w:val="18"/>
                      <w:highlight w:val="none"/>
                      <w:lang w:bidi="ar"/>
                    </w:rPr>
                    <w:t>40 m³/h</w:t>
                  </w:r>
                </w:p>
              </w:tc>
              <w:tc>
                <w:tcPr>
                  <w:tcW w:w="426" w:type="pct"/>
                  <w:tcBorders>
                    <w:tl2br w:val="nil"/>
                    <w:tr2bl w:val="nil"/>
                  </w:tcBorders>
                  <w:vAlign w:val="center"/>
                </w:tcPr>
                <w:p w14:paraId="1D933592">
                  <w:pPr>
                    <w:widowControl/>
                    <w:jc w:val="center"/>
                    <w:textAlignment w:val="center"/>
                    <w:rPr>
                      <w:color w:val="auto"/>
                      <w:sz w:val="18"/>
                      <w:szCs w:val="18"/>
                      <w:highlight w:val="none"/>
                    </w:rPr>
                  </w:pPr>
                  <w:r>
                    <w:rPr>
                      <w:color w:val="auto"/>
                      <w:kern w:val="0"/>
                      <w:sz w:val="18"/>
                      <w:szCs w:val="18"/>
                      <w:highlight w:val="none"/>
                      <w:lang w:bidi="ar"/>
                    </w:rPr>
                    <w:t>新建</w:t>
                  </w:r>
                </w:p>
              </w:tc>
            </w:tr>
            <w:tr w14:paraId="19422D0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275" w:type="pct"/>
                  <w:tcBorders>
                    <w:tl2br w:val="nil"/>
                    <w:tr2bl w:val="nil"/>
                  </w:tcBorders>
                  <w:vAlign w:val="center"/>
                </w:tcPr>
                <w:p w14:paraId="5A7A751A">
                  <w:pPr>
                    <w:widowControl/>
                    <w:jc w:val="center"/>
                    <w:textAlignment w:val="center"/>
                    <w:rPr>
                      <w:color w:val="auto"/>
                      <w:sz w:val="18"/>
                      <w:szCs w:val="18"/>
                      <w:highlight w:val="none"/>
                    </w:rPr>
                  </w:pPr>
                  <w:r>
                    <w:rPr>
                      <w:color w:val="auto"/>
                      <w:kern w:val="0"/>
                      <w:sz w:val="18"/>
                      <w:szCs w:val="18"/>
                      <w:highlight w:val="none"/>
                      <w:lang w:bidi="ar"/>
                    </w:rPr>
                    <w:t>15</w:t>
                  </w:r>
                </w:p>
              </w:tc>
              <w:tc>
                <w:tcPr>
                  <w:tcW w:w="396" w:type="pct"/>
                  <w:vMerge w:val="continue"/>
                  <w:tcBorders>
                    <w:tl2br w:val="nil"/>
                    <w:tr2bl w:val="nil"/>
                  </w:tcBorders>
                  <w:vAlign w:val="center"/>
                </w:tcPr>
                <w:p w14:paraId="02DB8655">
                  <w:pPr>
                    <w:widowControl/>
                    <w:jc w:val="center"/>
                    <w:rPr>
                      <w:color w:val="auto"/>
                      <w:sz w:val="18"/>
                      <w:szCs w:val="18"/>
                      <w:highlight w:val="none"/>
                    </w:rPr>
                  </w:pPr>
                </w:p>
              </w:tc>
              <w:tc>
                <w:tcPr>
                  <w:tcW w:w="710" w:type="pct"/>
                  <w:tcBorders>
                    <w:tl2br w:val="nil"/>
                    <w:tr2bl w:val="nil"/>
                  </w:tcBorders>
                  <w:vAlign w:val="center"/>
                </w:tcPr>
                <w:p w14:paraId="2A779A5D">
                  <w:pPr>
                    <w:widowControl/>
                    <w:jc w:val="center"/>
                    <w:textAlignment w:val="center"/>
                    <w:rPr>
                      <w:color w:val="auto"/>
                      <w:sz w:val="18"/>
                      <w:szCs w:val="18"/>
                      <w:highlight w:val="none"/>
                    </w:rPr>
                  </w:pPr>
                  <w:r>
                    <w:rPr>
                      <w:color w:val="auto"/>
                      <w:kern w:val="0"/>
                      <w:sz w:val="18"/>
                      <w:szCs w:val="18"/>
                      <w:highlight w:val="none"/>
                      <w:lang w:bidi="ar"/>
                    </w:rPr>
                    <w:t>新风系统</w:t>
                  </w:r>
                </w:p>
              </w:tc>
              <w:tc>
                <w:tcPr>
                  <w:tcW w:w="2625" w:type="pct"/>
                  <w:tcBorders>
                    <w:tl2br w:val="nil"/>
                    <w:tr2bl w:val="nil"/>
                  </w:tcBorders>
                  <w:vAlign w:val="center"/>
                </w:tcPr>
                <w:p w14:paraId="61E00648">
                  <w:pPr>
                    <w:widowControl/>
                    <w:jc w:val="both"/>
                    <w:textAlignment w:val="center"/>
                    <w:rPr>
                      <w:rFonts w:hint="eastAsia" w:eastAsia="宋体"/>
                      <w:color w:val="auto"/>
                      <w:sz w:val="18"/>
                      <w:szCs w:val="18"/>
                      <w:highlight w:val="none"/>
                      <w:lang w:eastAsia="zh-CN"/>
                    </w:rPr>
                  </w:pPr>
                  <w:r>
                    <w:rPr>
                      <w:color w:val="auto"/>
                      <w:kern w:val="0"/>
                      <w:sz w:val="18"/>
                      <w:szCs w:val="18"/>
                      <w:highlight w:val="none"/>
                      <w:lang w:bidi="ar"/>
                    </w:rPr>
                    <w:t>本项目布置洁净车间（千级），每层楼单独设置新风系统和回风系统，送风中新风占比约15%</w:t>
                  </w:r>
                  <w:r>
                    <w:rPr>
                      <w:rStyle w:val="148"/>
                      <w:rFonts w:hint="default" w:ascii="Times New Roman" w:hAnsi="Times New Roman" w:cs="Times New Roman"/>
                      <w:color w:val="auto"/>
                      <w:sz w:val="18"/>
                      <w:szCs w:val="18"/>
                      <w:highlight w:val="none"/>
                      <w:lang w:bidi="ar"/>
                    </w:rPr>
                    <w:t>。外界空气经新风系统抽取过滤后送入洁净车间，绝大部分进入内部，小部分进入灰区。进入洁净车间空气通过废气收集装置抽往楼顶处理后排放，未收集的废气和洁净车间环境空气、灰区和回风夹道空气通过回风系统重新进入新风系统进行过滤，最终无组织排放。</w:t>
                  </w:r>
                </w:p>
              </w:tc>
              <w:tc>
                <w:tcPr>
                  <w:tcW w:w="564" w:type="pct"/>
                  <w:tcBorders>
                    <w:tl2br w:val="nil"/>
                    <w:tr2bl w:val="nil"/>
                  </w:tcBorders>
                  <w:vAlign w:val="center"/>
                </w:tcPr>
                <w:p w14:paraId="10D94553">
                  <w:pPr>
                    <w:widowControl/>
                    <w:jc w:val="center"/>
                    <w:rPr>
                      <w:color w:val="auto"/>
                      <w:sz w:val="18"/>
                      <w:szCs w:val="18"/>
                      <w:highlight w:val="none"/>
                    </w:rPr>
                  </w:pPr>
                  <w:r>
                    <w:rPr>
                      <w:rFonts w:hint="default"/>
                      <w:color w:val="auto"/>
                      <w:sz w:val="18"/>
                      <w:szCs w:val="18"/>
                      <w:highlight w:val="none"/>
                    </w:rPr>
                    <w:t>/</w:t>
                  </w:r>
                </w:p>
              </w:tc>
              <w:tc>
                <w:tcPr>
                  <w:tcW w:w="426" w:type="pct"/>
                  <w:tcBorders>
                    <w:tl2br w:val="nil"/>
                    <w:tr2bl w:val="nil"/>
                  </w:tcBorders>
                  <w:vAlign w:val="center"/>
                </w:tcPr>
                <w:p w14:paraId="602F3C4A">
                  <w:pPr>
                    <w:widowControl/>
                    <w:jc w:val="center"/>
                    <w:textAlignment w:val="center"/>
                    <w:rPr>
                      <w:color w:val="auto"/>
                      <w:sz w:val="18"/>
                      <w:szCs w:val="18"/>
                      <w:highlight w:val="none"/>
                    </w:rPr>
                  </w:pPr>
                  <w:r>
                    <w:rPr>
                      <w:color w:val="auto"/>
                      <w:kern w:val="0"/>
                      <w:sz w:val="18"/>
                      <w:szCs w:val="18"/>
                      <w:highlight w:val="none"/>
                      <w:lang w:bidi="ar"/>
                    </w:rPr>
                    <w:t>新建</w:t>
                  </w:r>
                </w:p>
              </w:tc>
            </w:tr>
            <w:tr w14:paraId="57B1E64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275" w:type="pct"/>
                  <w:tcBorders>
                    <w:tl2br w:val="nil"/>
                    <w:tr2bl w:val="nil"/>
                  </w:tcBorders>
                  <w:vAlign w:val="center"/>
                </w:tcPr>
                <w:p w14:paraId="5C9680CB">
                  <w:pPr>
                    <w:widowControl/>
                    <w:jc w:val="center"/>
                    <w:textAlignment w:val="center"/>
                    <w:rPr>
                      <w:color w:val="auto"/>
                      <w:sz w:val="18"/>
                      <w:szCs w:val="18"/>
                      <w:highlight w:val="none"/>
                    </w:rPr>
                  </w:pPr>
                  <w:r>
                    <w:rPr>
                      <w:color w:val="auto"/>
                      <w:kern w:val="0"/>
                      <w:sz w:val="18"/>
                      <w:szCs w:val="18"/>
                      <w:highlight w:val="none"/>
                      <w:lang w:bidi="ar"/>
                    </w:rPr>
                    <w:t>16</w:t>
                  </w:r>
                </w:p>
              </w:tc>
              <w:tc>
                <w:tcPr>
                  <w:tcW w:w="396" w:type="pct"/>
                  <w:vMerge w:val="continue"/>
                  <w:tcBorders>
                    <w:tl2br w:val="nil"/>
                    <w:tr2bl w:val="nil"/>
                  </w:tcBorders>
                  <w:vAlign w:val="center"/>
                </w:tcPr>
                <w:p w14:paraId="10B6E3BB">
                  <w:pPr>
                    <w:widowControl/>
                    <w:jc w:val="center"/>
                    <w:rPr>
                      <w:color w:val="auto"/>
                      <w:sz w:val="18"/>
                      <w:szCs w:val="18"/>
                      <w:highlight w:val="none"/>
                    </w:rPr>
                  </w:pPr>
                </w:p>
              </w:tc>
              <w:tc>
                <w:tcPr>
                  <w:tcW w:w="710" w:type="pct"/>
                  <w:tcBorders>
                    <w:tl2br w:val="nil"/>
                    <w:tr2bl w:val="nil"/>
                  </w:tcBorders>
                  <w:vAlign w:val="center"/>
                </w:tcPr>
                <w:p w14:paraId="55F2B82C">
                  <w:pPr>
                    <w:widowControl/>
                    <w:jc w:val="center"/>
                    <w:textAlignment w:val="center"/>
                    <w:rPr>
                      <w:color w:val="auto"/>
                      <w:sz w:val="18"/>
                      <w:szCs w:val="18"/>
                      <w:highlight w:val="none"/>
                    </w:rPr>
                  </w:pPr>
                  <w:r>
                    <w:rPr>
                      <w:color w:val="auto"/>
                      <w:kern w:val="0"/>
                      <w:sz w:val="18"/>
                      <w:szCs w:val="18"/>
                      <w:highlight w:val="none"/>
                      <w:lang w:bidi="ar"/>
                    </w:rPr>
                    <w:t>消防设施</w:t>
                  </w:r>
                </w:p>
              </w:tc>
              <w:tc>
                <w:tcPr>
                  <w:tcW w:w="2625" w:type="pct"/>
                  <w:tcBorders>
                    <w:tl2br w:val="nil"/>
                    <w:tr2bl w:val="nil"/>
                  </w:tcBorders>
                  <w:shd w:val="clear" w:color="auto" w:fill="auto"/>
                  <w:vAlign w:val="center"/>
                </w:tcPr>
                <w:p w14:paraId="193704CC">
                  <w:pPr>
                    <w:widowControl/>
                    <w:jc w:val="both"/>
                    <w:textAlignment w:val="center"/>
                    <w:rPr>
                      <w:rFonts w:hint="default" w:eastAsia="宋体"/>
                      <w:color w:val="auto"/>
                      <w:sz w:val="18"/>
                      <w:szCs w:val="18"/>
                      <w:highlight w:val="none"/>
                      <w:lang w:val="en-US" w:eastAsia="zh-CN"/>
                    </w:rPr>
                  </w:pPr>
                  <w:r>
                    <w:rPr>
                      <w:rFonts w:hint="default"/>
                      <w:color w:val="auto"/>
                      <w:kern w:val="0"/>
                      <w:sz w:val="18"/>
                      <w:szCs w:val="18"/>
                      <w:highlight w:val="none"/>
                      <w:shd w:val="clear"/>
                      <w:lang w:val="en-US" w:eastAsia="zh-CN" w:bidi="ar"/>
                    </w:rPr>
                    <w:t>配备消防栓和灭火器</w:t>
                  </w:r>
                  <w:r>
                    <w:rPr>
                      <w:rFonts w:hint="eastAsia"/>
                      <w:color w:val="auto"/>
                      <w:kern w:val="0"/>
                      <w:sz w:val="18"/>
                      <w:szCs w:val="18"/>
                      <w:highlight w:val="none"/>
                      <w:shd w:val="clear"/>
                      <w:lang w:val="en-US" w:eastAsia="zh-CN" w:bidi="ar"/>
                    </w:rPr>
                    <w:t>。</w:t>
                  </w:r>
                </w:p>
              </w:tc>
              <w:tc>
                <w:tcPr>
                  <w:tcW w:w="564" w:type="pct"/>
                  <w:tcBorders>
                    <w:tl2br w:val="nil"/>
                    <w:tr2bl w:val="nil"/>
                  </w:tcBorders>
                  <w:vAlign w:val="center"/>
                </w:tcPr>
                <w:p w14:paraId="002A97D6">
                  <w:pPr>
                    <w:widowControl/>
                    <w:jc w:val="center"/>
                    <w:rPr>
                      <w:color w:val="auto"/>
                      <w:sz w:val="18"/>
                      <w:szCs w:val="18"/>
                      <w:highlight w:val="none"/>
                    </w:rPr>
                  </w:pPr>
                  <w:r>
                    <w:rPr>
                      <w:rFonts w:hint="default"/>
                      <w:color w:val="auto"/>
                      <w:sz w:val="18"/>
                      <w:szCs w:val="18"/>
                      <w:highlight w:val="none"/>
                    </w:rPr>
                    <w:t>/</w:t>
                  </w:r>
                </w:p>
              </w:tc>
              <w:tc>
                <w:tcPr>
                  <w:tcW w:w="426" w:type="pct"/>
                  <w:tcBorders>
                    <w:tl2br w:val="nil"/>
                    <w:tr2bl w:val="nil"/>
                  </w:tcBorders>
                  <w:vAlign w:val="center"/>
                </w:tcPr>
                <w:p w14:paraId="06BC6CDF">
                  <w:pPr>
                    <w:widowControl/>
                    <w:jc w:val="center"/>
                    <w:rPr>
                      <w:color w:val="auto"/>
                      <w:sz w:val="18"/>
                      <w:szCs w:val="18"/>
                      <w:highlight w:val="none"/>
                    </w:rPr>
                  </w:pPr>
                </w:p>
              </w:tc>
            </w:tr>
            <w:tr w14:paraId="6772D15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275" w:type="pct"/>
                  <w:tcBorders>
                    <w:tl2br w:val="nil"/>
                    <w:tr2bl w:val="nil"/>
                  </w:tcBorders>
                  <w:vAlign w:val="center"/>
                </w:tcPr>
                <w:p w14:paraId="61483B53">
                  <w:pPr>
                    <w:widowControl/>
                    <w:jc w:val="center"/>
                    <w:textAlignment w:val="center"/>
                    <w:rPr>
                      <w:color w:val="auto"/>
                      <w:sz w:val="18"/>
                      <w:szCs w:val="18"/>
                      <w:highlight w:val="none"/>
                    </w:rPr>
                  </w:pPr>
                  <w:r>
                    <w:rPr>
                      <w:color w:val="auto"/>
                      <w:kern w:val="0"/>
                      <w:sz w:val="18"/>
                      <w:szCs w:val="18"/>
                      <w:highlight w:val="none"/>
                      <w:lang w:bidi="ar"/>
                    </w:rPr>
                    <w:t>17</w:t>
                  </w:r>
                </w:p>
              </w:tc>
              <w:tc>
                <w:tcPr>
                  <w:tcW w:w="396" w:type="pct"/>
                  <w:vMerge w:val="restart"/>
                  <w:tcBorders>
                    <w:tl2br w:val="nil"/>
                    <w:tr2bl w:val="nil"/>
                  </w:tcBorders>
                  <w:noWrap/>
                  <w:vAlign w:val="center"/>
                </w:tcPr>
                <w:p w14:paraId="435A6DB8">
                  <w:pPr>
                    <w:widowControl/>
                    <w:jc w:val="center"/>
                    <w:textAlignment w:val="center"/>
                    <w:rPr>
                      <w:color w:val="auto"/>
                      <w:sz w:val="18"/>
                      <w:szCs w:val="18"/>
                      <w:highlight w:val="none"/>
                    </w:rPr>
                  </w:pPr>
                  <w:r>
                    <w:rPr>
                      <w:color w:val="auto"/>
                      <w:kern w:val="0"/>
                      <w:sz w:val="18"/>
                      <w:szCs w:val="18"/>
                      <w:highlight w:val="none"/>
                      <w:lang w:bidi="ar"/>
                    </w:rPr>
                    <w:t>储运工程</w:t>
                  </w:r>
                </w:p>
              </w:tc>
              <w:tc>
                <w:tcPr>
                  <w:tcW w:w="710" w:type="pct"/>
                  <w:tcBorders>
                    <w:tl2br w:val="nil"/>
                    <w:tr2bl w:val="nil"/>
                  </w:tcBorders>
                  <w:vAlign w:val="center"/>
                </w:tcPr>
                <w:p w14:paraId="7DDB1A0E">
                  <w:pPr>
                    <w:widowControl/>
                    <w:jc w:val="center"/>
                    <w:textAlignment w:val="center"/>
                    <w:rPr>
                      <w:color w:val="auto"/>
                      <w:sz w:val="18"/>
                      <w:szCs w:val="18"/>
                      <w:highlight w:val="none"/>
                    </w:rPr>
                  </w:pPr>
                  <w:r>
                    <w:rPr>
                      <w:color w:val="auto"/>
                      <w:kern w:val="0"/>
                      <w:sz w:val="18"/>
                      <w:szCs w:val="18"/>
                      <w:highlight w:val="none"/>
                      <w:lang w:bidi="ar"/>
                    </w:rPr>
                    <w:t>原料仓库</w:t>
                  </w:r>
                </w:p>
              </w:tc>
              <w:tc>
                <w:tcPr>
                  <w:tcW w:w="2625" w:type="pct"/>
                  <w:tcBorders>
                    <w:tl2br w:val="nil"/>
                    <w:tr2bl w:val="nil"/>
                  </w:tcBorders>
                  <w:shd w:val="clear" w:color="auto" w:fill="auto"/>
                  <w:vAlign w:val="center"/>
                </w:tcPr>
                <w:p w14:paraId="050130B4">
                  <w:pPr>
                    <w:widowControl/>
                    <w:jc w:val="both"/>
                    <w:textAlignment w:val="center"/>
                    <w:rPr>
                      <w:rFonts w:hint="eastAsia" w:eastAsia="宋体"/>
                      <w:color w:val="auto"/>
                      <w:sz w:val="18"/>
                      <w:szCs w:val="18"/>
                      <w:highlight w:val="none"/>
                      <w:lang w:eastAsia="zh-CN"/>
                    </w:rPr>
                  </w:pPr>
                  <w:r>
                    <w:rPr>
                      <w:color w:val="auto"/>
                      <w:kern w:val="0"/>
                      <w:sz w:val="18"/>
                      <w:szCs w:val="18"/>
                      <w:highlight w:val="none"/>
                      <w:lang w:bidi="ar"/>
                    </w:rPr>
                    <w:t>用于储存原料</w:t>
                  </w:r>
                  <w:r>
                    <w:rPr>
                      <w:rFonts w:hint="eastAsia"/>
                      <w:color w:val="auto"/>
                      <w:kern w:val="0"/>
                      <w:sz w:val="18"/>
                      <w:szCs w:val="18"/>
                      <w:highlight w:val="none"/>
                      <w:lang w:eastAsia="zh-CN" w:bidi="ar"/>
                    </w:rPr>
                    <w:t>。</w:t>
                  </w:r>
                </w:p>
              </w:tc>
              <w:tc>
                <w:tcPr>
                  <w:tcW w:w="564" w:type="pct"/>
                  <w:tcBorders>
                    <w:tl2br w:val="nil"/>
                    <w:tr2bl w:val="nil"/>
                  </w:tcBorders>
                  <w:vAlign w:val="center"/>
                </w:tcPr>
                <w:p w14:paraId="6B92AAE4">
                  <w:pPr>
                    <w:widowControl/>
                    <w:jc w:val="center"/>
                    <w:textAlignment w:val="center"/>
                    <w:rPr>
                      <w:color w:val="auto"/>
                      <w:sz w:val="18"/>
                      <w:szCs w:val="18"/>
                      <w:highlight w:val="none"/>
                    </w:rPr>
                  </w:pPr>
                  <w:r>
                    <w:rPr>
                      <w:color w:val="auto"/>
                      <w:kern w:val="0"/>
                      <w:sz w:val="18"/>
                      <w:szCs w:val="18"/>
                      <w:highlight w:val="none"/>
                      <w:lang w:bidi="ar"/>
                    </w:rPr>
                    <w:t>40 m²</w:t>
                  </w:r>
                </w:p>
              </w:tc>
              <w:tc>
                <w:tcPr>
                  <w:tcW w:w="426" w:type="pct"/>
                  <w:tcBorders>
                    <w:tl2br w:val="nil"/>
                    <w:tr2bl w:val="nil"/>
                  </w:tcBorders>
                  <w:vAlign w:val="center"/>
                </w:tcPr>
                <w:p w14:paraId="3A0935EF">
                  <w:pPr>
                    <w:widowControl/>
                    <w:jc w:val="center"/>
                    <w:textAlignment w:val="center"/>
                    <w:rPr>
                      <w:color w:val="auto"/>
                      <w:sz w:val="18"/>
                      <w:szCs w:val="18"/>
                      <w:highlight w:val="none"/>
                    </w:rPr>
                  </w:pPr>
                  <w:r>
                    <w:rPr>
                      <w:color w:val="auto"/>
                      <w:kern w:val="0"/>
                      <w:sz w:val="18"/>
                      <w:szCs w:val="18"/>
                      <w:highlight w:val="none"/>
                      <w:lang w:bidi="ar"/>
                    </w:rPr>
                    <w:t>新建</w:t>
                  </w:r>
                </w:p>
              </w:tc>
            </w:tr>
            <w:tr w14:paraId="76468E2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275" w:type="pct"/>
                  <w:tcBorders>
                    <w:tl2br w:val="nil"/>
                    <w:tr2bl w:val="nil"/>
                  </w:tcBorders>
                  <w:vAlign w:val="center"/>
                </w:tcPr>
                <w:p w14:paraId="5359B4D5">
                  <w:pPr>
                    <w:widowControl/>
                    <w:jc w:val="center"/>
                    <w:textAlignment w:val="center"/>
                    <w:rPr>
                      <w:color w:val="auto"/>
                      <w:sz w:val="18"/>
                      <w:szCs w:val="18"/>
                      <w:highlight w:val="none"/>
                    </w:rPr>
                  </w:pPr>
                  <w:r>
                    <w:rPr>
                      <w:color w:val="auto"/>
                      <w:kern w:val="0"/>
                      <w:sz w:val="18"/>
                      <w:szCs w:val="18"/>
                      <w:highlight w:val="none"/>
                      <w:lang w:bidi="ar"/>
                    </w:rPr>
                    <w:t>18</w:t>
                  </w:r>
                </w:p>
              </w:tc>
              <w:tc>
                <w:tcPr>
                  <w:tcW w:w="396" w:type="pct"/>
                  <w:vMerge w:val="continue"/>
                  <w:tcBorders>
                    <w:tl2br w:val="nil"/>
                    <w:tr2bl w:val="nil"/>
                  </w:tcBorders>
                  <w:noWrap/>
                  <w:vAlign w:val="center"/>
                </w:tcPr>
                <w:p w14:paraId="181B14E2">
                  <w:pPr>
                    <w:widowControl/>
                    <w:jc w:val="center"/>
                    <w:rPr>
                      <w:color w:val="auto"/>
                      <w:sz w:val="18"/>
                      <w:szCs w:val="18"/>
                      <w:highlight w:val="none"/>
                    </w:rPr>
                  </w:pPr>
                </w:p>
              </w:tc>
              <w:tc>
                <w:tcPr>
                  <w:tcW w:w="710" w:type="pct"/>
                  <w:tcBorders>
                    <w:tl2br w:val="nil"/>
                    <w:tr2bl w:val="nil"/>
                  </w:tcBorders>
                  <w:vAlign w:val="center"/>
                </w:tcPr>
                <w:p w14:paraId="1A70227E">
                  <w:pPr>
                    <w:widowControl/>
                    <w:jc w:val="center"/>
                    <w:textAlignment w:val="center"/>
                    <w:rPr>
                      <w:color w:val="auto"/>
                      <w:sz w:val="18"/>
                      <w:szCs w:val="18"/>
                      <w:highlight w:val="none"/>
                    </w:rPr>
                  </w:pPr>
                  <w:r>
                    <w:rPr>
                      <w:color w:val="auto"/>
                      <w:kern w:val="0"/>
                      <w:sz w:val="18"/>
                      <w:szCs w:val="18"/>
                      <w:highlight w:val="none"/>
                      <w:lang w:bidi="ar"/>
                    </w:rPr>
                    <w:t>危险化学品储存</w:t>
                  </w:r>
                </w:p>
              </w:tc>
              <w:tc>
                <w:tcPr>
                  <w:tcW w:w="2625" w:type="pct"/>
                  <w:tcBorders>
                    <w:tl2br w:val="nil"/>
                    <w:tr2bl w:val="nil"/>
                  </w:tcBorders>
                  <w:shd w:val="clear" w:color="auto" w:fill="auto"/>
                  <w:vAlign w:val="center"/>
                </w:tcPr>
                <w:p w14:paraId="6769288B">
                  <w:pPr>
                    <w:widowControl/>
                    <w:jc w:val="both"/>
                    <w:textAlignment w:val="center"/>
                    <w:rPr>
                      <w:color w:val="auto"/>
                      <w:sz w:val="18"/>
                      <w:szCs w:val="18"/>
                      <w:highlight w:val="none"/>
                    </w:rPr>
                  </w:pPr>
                  <w:r>
                    <w:rPr>
                      <w:color w:val="auto"/>
                      <w:kern w:val="0"/>
                      <w:sz w:val="18"/>
                      <w:szCs w:val="18"/>
                      <w:highlight w:val="none"/>
                      <w:lang w:bidi="ar"/>
                    </w:rPr>
                    <w:t>本项目使用危险化学品量极少，故仅在扣电实验室设置危险化学品柜，双锁管理，配有相关标识。</w:t>
                  </w:r>
                </w:p>
              </w:tc>
              <w:tc>
                <w:tcPr>
                  <w:tcW w:w="564" w:type="pct"/>
                  <w:tcBorders>
                    <w:tl2br w:val="nil"/>
                    <w:tr2bl w:val="nil"/>
                  </w:tcBorders>
                  <w:vAlign w:val="center"/>
                </w:tcPr>
                <w:p w14:paraId="2A1BFA28">
                  <w:pPr>
                    <w:widowControl/>
                    <w:jc w:val="center"/>
                    <w:rPr>
                      <w:color w:val="auto"/>
                      <w:sz w:val="18"/>
                      <w:szCs w:val="18"/>
                      <w:highlight w:val="none"/>
                    </w:rPr>
                  </w:pPr>
                </w:p>
              </w:tc>
              <w:tc>
                <w:tcPr>
                  <w:tcW w:w="426" w:type="pct"/>
                  <w:tcBorders>
                    <w:tl2br w:val="nil"/>
                    <w:tr2bl w:val="nil"/>
                  </w:tcBorders>
                  <w:vAlign w:val="center"/>
                </w:tcPr>
                <w:p w14:paraId="645B5A21">
                  <w:pPr>
                    <w:widowControl/>
                    <w:jc w:val="center"/>
                    <w:textAlignment w:val="center"/>
                    <w:rPr>
                      <w:color w:val="auto"/>
                      <w:sz w:val="18"/>
                      <w:szCs w:val="18"/>
                      <w:highlight w:val="none"/>
                    </w:rPr>
                  </w:pPr>
                  <w:r>
                    <w:rPr>
                      <w:color w:val="auto"/>
                      <w:kern w:val="0"/>
                      <w:sz w:val="18"/>
                      <w:szCs w:val="18"/>
                      <w:highlight w:val="none"/>
                      <w:lang w:bidi="ar"/>
                    </w:rPr>
                    <w:t>新建</w:t>
                  </w:r>
                </w:p>
              </w:tc>
            </w:tr>
            <w:tr w14:paraId="2C41356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275" w:type="pct"/>
                  <w:tcBorders>
                    <w:tl2br w:val="nil"/>
                    <w:tr2bl w:val="nil"/>
                  </w:tcBorders>
                  <w:vAlign w:val="center"/>
                </w:tcPr>
                <w:p w14:paraId="589F08ED">
                  <w:pPr>
                    <w:widowControl/>
                    <w:jc w:val="center"/>
                    <w:textAlignment w:val="center"/>
                    <w:rPr>
                      <w:color w:val="auto"/>
                      <w:sz w:val="18"/>
                      <w:szCs w:val="18"/>
                      <w:highlight w:val="none"/>
                    </w:rPr>
                  </w:pPr>
                  <w:r>
                    <w:rPr>
                      <w:color w:val="auto"/>
                      <w:kern w:val="0"/>
                      <w:sz w:val="18"/>
                      <w:szCs w:val="18"/>
                      <w:highlight w:val="none"/>
                      <w:lang w:bidi="ar"/>
                    </w:rPr>
                    <w:t>19</w:t>
                  </w:r>
                </w:p>
              </w:tc>
              <w:tc>
                <w:tcPr>
                  <w:tcW w:w="396" w:type="pct"/>
                  <w:vMerge w:val="continue"/>
                  <w:tcBorders>
                    <w:tl2br w:val="nil"/>
                    <w:tr2bl w:val="nil"/>
                  </w:tcBorders>
                  <w:noWrap/>
                  <w:vAlign w:val="center"/>
                </w:tcPr>
                <w:p w14:paraId="2FA00333">
                  <w:pPr>
                    <w:widowControl/>
                    <w:jc w:val="center"/>
                    <w:rPr>
                      <w:color w:val="auto"/>
                      <w:sz w:val="18"/>
                      <w:szCs w:val="18"/>
                      <w:highlight w:val="none"/>
                    </w:rPr>
                  </w:pPr>
                </w:p>
              </w:tc>
              <w:tc>
                <w:tcPr>
                  <w:tcW w:w="710" w:type="pct"/>
                  <w:tcBorders>
                    <w:tl2br w:val="nil"/>
                    <w:tr2bl w:val="nil"/>
                  </w:tcBorders>
                  <w:vAlign w:val="center"/>
                </w:tcPr>
                <w:p w14:paraId="0A2DEE4A">
                  <w:pPr>
                    <w:widowControl/>
                    <w:jc w:val="center"/>
                    <w:textAlignment w:val="center"/>
                    <w:rPr>
                      <w:color w:val="auto"/>
                      <w:sz w:val="18"/>
                      <w:szCs w:val="18"/>
                      <w:highlight w:val="none"/>
                    </w:rPr>
                  </w:pPr>
                  <w:r>
                    <w:rPr>
                      <w:color w:val="auto"/>
                      <w:kern w:val="0"/>
                      <w:sz w:val="18"/>
                      <w:szCs w:val="18"/>
                      <w:highlight w:val="none"/>
                      <w:lang w:bidi="ar"/>
                    </w:rPr>
                    <w:t>成品库</w:t>
                  </w:r>
                </w:p>
              </w:tc>
              <w:tc>
                <w:tcPr>
                  <w:tcW w:w="2625" w:type="pct"/>
                  <w:tcBorders>
                    <w:tl2br w:val="nil"/>
                    <w:tr2bl w:val="nil"/>
                  </w:tcBorders>
                  <w:shd w:val="clear" w:color="auto" w:fill="auto"/>
                  <w:vAlign w:val="center"/>
                </w:tcPr>
                <w:p w14:paraId="55736578">
                  <w:pPr>
                    <w:widowControl/>
                    <w:jc w:val="both"/>
                    <w:textAlignment w:val="center"/>
                    <w:rPr>
                      <w:rFonts w:hint="eastAsia" w:eastAsia="宋体"/>
                      <w:color w:val="auto"/>
                      <w:sz w:val="18"/>
                      <w:szCs w:val="18"/>
                      <w:highlight w:val="none"/>
                      <w:lang w:eastAsia="zh-CN"/>
                    </w:rPr>
                  </w:pPr>
                  <w:r>
                    <w:rPr>
                      <w:color w:val="auto"/>
                      <w:kern w:val="0"/>
                      <w:sz w:val="18"/>
                      <w:szCs w:val="18"/>
                      <w:highlight w:val="none"/>
                      <w:lang w:bidi="ar"/>
                    </w:rPr>
                    <w:t>用于暂存制备完成的成品</w:t>
                  </w:r>
                  <w:r>
                    <w:rPr>
                      <w:rFonts w:hint="eastAsia"/>
                      <w:color w:val="auto"/>
                      <w:kern w:val="0"/>
                      <w:sz w:val="18"/>
                      <w:szCs w:val="18"/>
                      <w:highlight w:val="none"/>
                      <w:lang w:eastAsia="zh-CN" w:bidi="ar"/>
                    </w:rPr>
                    <w:t>。</w:t>
                  </w:r>
                </w:p>
              </w:tc>
              <w:tc>
                <w:tcPr>
                  <w:tcW w:w="564" w:type="pct"/>
                  <w:tcBorders>
                    <w:tl2br w:val="nil"/>
                    <w:tr2bl w:val="nil"/>
                  </w:tcBorders>
                  <w:vAlign w:val="center"/>
                </w:tcPr>
                <w:p w14:paraId="3E583FAC">
                  <w:pPr>
                    <w:widowControl/>
                    <w:jc w:val="center"/>
                    <w:textAlignment w:val="center"/>
                    <w:rPr>
                      <w:color w:val="auto"/>
                      <w:sz w:val="18"/>
                      <w:szCs w:val="18"/>
                      <w:highlight w:val="none"/>
                    </w:rPr>
                  </w:pPr>
                  <w:r>
                    <w:rPr>
                      <w:color w:val="auto"/>
                      <w:kern w:val="0"/>
                      <w:sz w:val="18"/>
                      <w:szCs w:val="18"/>
                      <w:highlight w:val="none"/>
                      <w:lang w:bidi="ar"/>
                    </w:rPr>
                    <w:t>45 m²</w:t>
                  </w:r>
                </w:p>
              </w:tc>
              <w:tc>
                <w:tcPr>
                  <w:tcW w:w="426" w:type="pct"/>
                  <w:tcBorders>
                    <w:tl2br w:val="nil"/>
                    <w:tr2bl w:val="nil"/>
                  </w:tcBorders>
                  <w:vAlign w:val="center"/>
                </w:tcPr>
                <w:p w14:paraId="4811684D">
                  <w:pPr>
                    <w:widowControl/>
                    <w:jc w:val="center"/>
                    <w:textAlignment w:val="center"/>
                    <w:rPr>
                      <w:color w:val="auto"/>
                      <w:sz w:val="18"/>
                      <w:szCs w:val="18"/>
                      <w:highlight w:val="none"/>
                    </w:rPr>
                  </w:pPr>
                  <w:r>
                    <w:rPr>
                      <w:color w:val="auto"/>
                      <w:kern w:val="0"/>
                      <w:sz w:val="18"/>
                      <w:szCs w:val="18"/>
                      <w:highlight w:val="none"/>
                      <w:lang w:bidi="ar"/>
                    </w:rPr>
                    <w:t>新建</w:t>
                  </w:r>
                </w:p>
              </w:tc>
            </w:tr>
            <w:tr w14:paraId="6FF7785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275" w:type="pct"/>
                  <w:tcBorders>
                    <w:tl2br w:val="nil"/>
                    <w:tr2bl w:val="nil"/>
                  </w:tcBorders>
                  <w:vAlign w:val="center"/>
                </w:tcPr>
                <w:p w14:paraId="05937AC4">
                  <w:pPr>
                    <w:widowControl/>
                    <w:jc w:val="center"/>
                    <w:textAlignment w:val="center"/>
                    <w:rPr>
                      <w:color w:val="auto"/>
                      <w:sz w:val="18"/>
                      <w:szCs w:val="18"/>
                      <w:highlight w:val="none"/>
                    </w:rPr>
                  </w:pPr>
                  <w:r>
                    <w:rPr>
                      <w:color w:val="auto"/>
                      <w:kern w:val="0"/>
                      <w:sz w:val="18"/>
                      <w:szCs w:val="18"/>
                      <w:highlight w:val="none"/>
                      <w:lang w:bidi="ar"/>
                    </w:rPr>
                    <w:t>20</w:t>
                  </w:r>
                </w:p>
              </w:tc>
              <w:tc>
                <w:tcPr>
                  <w:tcW w:w="396" w:type="pct"/>
                  <w:vMerge w:val="restart"/>
                  <w:tcBorders>
                    <w:tl2br w:val="nil"/>
                    <w:tr2bl w:val="nil"/>
                  </w:tcBorders>
                  <w:vAlign w:val="center"/>
                </w:tcPr>
                <w:p w14:paraId="5019943E">
                  <w:pPr>
                    <w:widowControl/>
                    <w:jc w:val="center"/>
                    <w:textAlignment w:val="center"/>
                    <w:rPr>
                      <w:color w:val="auto"/>
                      <w:sz w:val="18"/>
                      <w:szCs w:val="18"/>
                      <w:highlight w:val="none"/>
                    </w:rPr>
                  </w:pPr>
                  <w:r>
                    <w:rPr>
                      <w:color w:val="auto"/>
                      <w:kern w:val="0"/>
                      <w:sz w:val="18"/>
                      <w:szCs w:val="18"/>
                      <w:highlight w:val="none"/>
                      <w:lang w:bidi="ar"/>
                    </w:rPr>
                    <w:t>环保工程</w:t>
                  </w:r>
                </w:p>
              </w:tc>
              <w:tc>
                <w:tcPr>
                  <w:tcW w:w="710" w:type="pct"/>
                  <w:tcBorders>
                    <w:tl2br w:val="nil"/>
                    <w:tr2bl w:val="nil"/>
                  </w:tcBorders>
                  <w:vAlign w:val="center"/>
                </w:tcPr>
                <w:p w14:paraId="5443B1E5">
                  <w:pPr>
                    <w:widowControl/>
                    <w:jc w:val="center"/>
                    <w:textAlignment w:val="center"/>
                    <w:rPr>
                      <w:color w:val="auto"/>
                      <w:sz w:val="18"/>
                      <w:szCs w:val="18"/>
                      <w:highlight w:val="none"/>
                    </w:rPr>
                  </w:pPr>
                  <w:r>
                    <w:rPr>
                      <w:color w:val="auto"/>
                      <w:kern w:val="0"/>
                      <w:sz w:val="18"/>
                      <w:szCs w:val="18"/>
                      <w:highlight w:val="none"/>
                      <w:lang w:bidi="ar"/>
                    </w:rPr>
                    <w:t>废气处理设施</w:t>
                  </w:r>
                </w:p>
              </w:tc>
              <w:tc>
                <w:tcPr>
                  <w:tcW w:w="2625" w:type="pct"/>
                  <w:tcBorders>
                    <w:tl2br w:val="nil"/>
                    <w:tr2bl w:val="nil"/>
                  </w:tcBorders>
                  <w:shd w:val="clear" w:color="auto" w:fill="auto"/>
                  <w:vAlign w:val="center"/>
                </w:tcPr>
                <w:p w14:paraId="7CF5479C">
                  <w:pPr>
                    <w:widowControl/>
                    <w:jc w:val="both"/>
                    <w:textAlignment w:val="center"/>
                    <w:rPr>
                      <w:rFonts w:hint="default"/>
                      <w:color w:val="auto"/>
                      <w:sz w:val="18"/>
                      <w:szCs w:val="18"/>
                      <w:highlight w:val="none"/>
                      <w:lang w:val="en-US"/>
                    </w:rPr>
                  </w:pPr>
                  <w:r>
                    <w:rPr>
                      <w:color w:val="auto"/>
                      <w:kern w:val="0"/>
                      <w:sz w:val="18"/>
                      <w:szCs w:val="18"/>
                      <w:highlight w:val="none"/>
                      <w:lang w:bidi="ar"/>
                    </w:rPr>
                    <w:t>喷雾干燥器、气流粉碎机设有布袋除尘装置</w:t>
                  </w:r>
                  <w:r>
                    <w:rPr>
                      <w:rFonts w:hint="default"/>
                      <w:color w:val="auto"/>
                      <w:sz w:val="18"/>
                      <w:szCs w:val="18"/>
                      <w:highlight w:val="none"/>
                      <w:lang w:eastAsia="zh-CN"/>
                    </w:rPr>
                    <w:t>；</w:t>
                  </w:r>
                  <w:r>
                    <w:rPr>
                      <w:rFonts w:hint="default"/>
                      <w:color w:val="auto"/>
                      <w:sz w:val="18"/>
                      <w:szCs w:val="18"/>
                      <w:highlight w:val="none"/>
                      <w:lang w:val="en-US" w:eastAsia="zh-CN"/>
                    </w:rPr>
                    <w:t>废气由密闭管道收集，经过1套“</w:t>
                  </w:r>
                  <w:r>
                    <w:rPr>
                      <w:rFonts w:hint="eastAsia"/>
                      <w:color w:val="auto"/>
                      <w:sz w:val="18"/>
                      <w:szCs w:val="18"/>
                      <w:highlight w:val="none"/>
                      <w:lang w:val="en-US" w:eastAsia="zh-CN"/>
                    </w:rPr>
                    <w:t>水</w:t>
                  </w:r>
                  <w:r>
                    <w:rPr>
                      <w:rFonts w:hint="default"/>
                      <w:color w:val="auto"/>
                      <w:sz w:val="18"/>
                      <w:szCs w:val="18"/>
                      <w:highlight w:val="none"/>
                      <w:lang w:val="en-US" w:eastAsia="zh-CN"/>
                    </w:rPr>
                    <w:t>喷淋+除雾</w:t>
                  </w:r>
                  <w:r>
                    <w:rPr>
                      <w:rFonts w:hint="eastAsia"/>
                      <w:color w:val="auto"/>
                      <w:sz w:val="18"/>
                      <w:szCs w:val="18"/>
                      <w:highlight w:val="none"/>
                      <w:lang w:val="en-US" w:eastAsia="zh-CN"/>
                    </w:rPr>
                    <w:t>除湿</w:t>
                  </w:r>
                  <w:r>
                    <w:rPr>
                      <w:rFonts w:hint="default"/>
                      <w:color w:val="auto"/>
                      <w:sz w:val="18"/>
                      <w:szCs w:val="18"/>
                      <w:highlight w:val="none"/>
                      <w:lang w:val="en-US" w:eastAsia="zh-CN"/>
                    </w:rPr>
                    <w:t>+一级活性炭吸附”装置处理，由50 m高排气筒排放</w:t>
                  </w:r>
                  <w:r>
                    <w:rPr>
                      <w:rFonts w:hint="eastAsia"/>
                      <w:color w:val="auto"/>
                      <w:sz w:val="18"/>
                      <w:szCs w:val="18"/>
                      <w:highlight w:val="none"/>
                      <w:lang w:val="en-US" w:eastAsia="zh-CN"/>
                    </w:rPr>
                    <w:t>。</w:t>
                  </w:r>
                </w:p>
              </w:tc>
              <w:tc>
                <w:tcPr>
                  <w:tcW w:w="564" w:type="pct"/>
                  <w:tcBorders>
                    <w:tl2br w:val="nil"/>
                    <w:tr2bl w:val="nil"/>
                  </w:tcBorders>
                  <w:vAlign w:val="center"/>
                </w:tcPr>
                <w:p w14:paraId="7DD4C20D">
                  <w:pPr>
                    <w:widowControl/>
                    <w:jc w:val="center"/>
                    <w:rPr>
                      <w:color w:val="auto"/>
                      <w:sz w:val="18"/>
                      <w:szCs w:val="18"/>
                      <w:highlight w:val="none"/>
                    </w:rPr>
                  </w:pPr>
                  <w:r>
                    <w:rPr>
                      <w:rFonts w:hint="default"/>
                      <w:color w:val="auto"/>
                      <w:sz w:val="18"/>
                      <w:szCs w:val="18"/>
                      <w:highlight w:val="none"/>
                    </w:rPr>
                    <w:t>/</w:t>
                  </w:r>
                </w:p>
              </w:tc>
              <w:tc>
                <w:tcPr>
                  <w:tcW w:w="426" w:type="pct"/>
                  <w:tcBorders>
                    <w:tl2br w:val="nil"/>
                    <w:tr2bl w:val="nil"/>
                  </w:tcBorders>
                  <w:vAlign w:val="center"/>
                </w:tcPr>
                <w:p w14:paraId="12CAB0A8">
                  <w:pPr>
                    <w:widowControl/>
                    <w:jc w:val="center"/>
                    <w:rPr>
                      <w:color w:val="auto"/>
                      <w:sz w:val="18"/>
                      <w:szCs w:val="18"/>
                      <w:highlight w:val="none"/>
                    </w:rPr>
                  </w:pPr>
                  <w:r>
                    <w:rPr>
                      <w:rFonts w:hint="default"/>
                      <w:color w:val="auto"/>
                      <w:sz w:val="18"/>
                      <w:szCs w:val="18"/>
                      <w:highlight w:val="none"/>
                    </w:rPr>
                    <w:t>新建</w:t>
                  </w:r>
                </w:p>
              </w:tc>
            </w:tr>
            <w:tr w14:paraId="735F7DA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275" w:type="pct"/>
                  <w:tcBorders>
                    <w:tl2br w:val="nil"/>
                    <w:tr2bl w:val="nil"/>
                  </w:tcBorders>
                  <w:vAlign w:val="center"/>
                </w:tcPr>
                <w:p w14:paraId="75A1212C">
                  <w:pPr>
                    <w:widowControl/>
                    <w:jc w:val="center"/>
                    <w:textAlignment w:val="center"/>
                    <w:rPr>
                      <w:color w:val="auto"/>
                      <w:sz w:val="18"/>
                      <w:szCs w:val="18"/>
                      <w:highlight w:val="none"/>
                    </w:rPr>
                  </w:pPr>
                  <w:r>
                    <w:rPr>
                      <w:color w:val="auto"/>
                      <w:kern w:val="0"/>
                      <w:sz w:val="18"/>
                      <w:szCs w:val="18"/>
                      <w:highlight w:val="none"/>
                      <w:lang w:bidi="ar"/>
                    </w:rPr>
                    <w:t>21</w:t>
                  </w:r>
                </w:p>
              </w:tc>
              <w:tc>
                <w:tcPr>
                  <w:tcW w:w="396" w:type="pct"/>
                  <w:vMerge w:val="continue"/>
                  <w:tcBorders>
                    <w:tl2br w:val="nil"/>
                    <w:tr2bl w:val="nil"/>
                  </w:tcBorders>
                  <w:vAlign w:val="center"/>
                </w:tcPr>
                <w:p w14:paraId="14223A65">
                  <w:pPr>
                    <w:widowControl/>
                    <w:jc w:val="center"/>
                    <w:rPr>
                      <w:color w:val="auto"/>
                      <w:sz w:val="18"/>
                      <w:szCs w:val="18"/>
                      <w:highlight w:val="none"/>
                    </w:rPr>
                  </w:pPr>
                </w:p>
              </w:tc>
              <w:tc>
                <w:tcPr>
                  <w:tcW w:w="710" w:type="pct"/>
                  <w:tcBorders>
                    <w:tl2br w:val="nil"/>
                    <w:tr2bl w:val="nil"/>
                  </w:tcBorders>
                  <w:vAlign w:val="center"/>
                </w:tcPr>
                <w:p w14:paraId="5BA60653">
                  <w:pPr>
                    <w:widowControl/>
                    <w:jc w:val="center"/>
                    <w:textAlignment w:val="center"/>
                    <w:rPr>
                      <w:color w:val="auto"/>
                      <w:sz w:val="18"/>
                      <w:szCs w:val="18"/>
                      <w:highlight w:val="none"/>
                    </w:rPr>
                  </w:pPr>
                  <w:r>
                    <w:rPr>
                      <w:color w:val="auto"/>
                      <w:kern w:val="0"/>
                      <w:sz w:val="18"/>
                      <w:szCs w:val="18"/>
                      <w:highlight w:val="none"/>
                      <w:lang w:bidi="ar"/>
                    </w:rPr>
                    <w:t>废水处理设施</w:t>
                  </w:r>
                </w:p>
              </w:tc>
              <w:tc>
                <w:tcPr>
                  <w:tcW w:w="2625" w:type="pct"/>
                  <w:tcBorders>
                    <w:tl2br w:val="nil"/>
                    <w:tr2bl w:val="nil"/>
                  </w:tcBorders>
                  <w:shd w:val="clear" w:color="auto" w:fill="auto"/>
                  <w:vAlign w:val="center"/>
                </w:tcPr>
                <w:p w14:paraId="40BB1159">
                  <w:pPr>
                    <w:widowControl/>
                    <w:jc w:val="both"/>
                    <w:textAlignment w:val="center"/>
                    <w:rPr>
                      <w:rFonts w:hint="eastAsia" w:eastAsia="宋体"/>
                      <w:color w:val="auto"/>
                      <w:sz w:val="18"/>
                      <w:szCs w:val="18"/>
                      <w:highlight w:val="none"/>
                      <w:lang w:eastAsia="zh-CN"/>
                    </w:rPr>
                  </w:pPr>
                  <w:r>
                    <w:rPr>
                      <w:color w:val="auto"/>
                      <w:kern w:val="0"/>
                      <w:sz w:val="18"/>
                      <w:szCs w:val="18"/>
                      <w:highlight w:val="none"/>
                      <w:lang w:bidi="ar"/>
                    </w:rPr>
                    <w:t>设</w:t>
                  </w:r>
                  <w:r>
                    <w:rPr>
                      <w:rFonts w:hint="default"/>
                      <w:color w:val="auto"/>
                      <w:kern w:val="0"/>
                      <w:sz w:val="18"/>
                      <w:szCs w:val="18"/>
                      <w:highlight w:val="none"/>
                      <w:lang w:val="en-US" w:eastAsia="zh-CN" w:bidi="ar"/>
                    </w:rPr>
                    <w:t>置1</w:t>
                  </w:r>
                  <w:r>
                    <w:rPr>
                      <w:color w:val="auto"/>
                      <w:kern w:val="0"/>
                      <w:sz w:val="18"/>
                      <w:szCs w:val="18"/>
                      <w:highlight w:val="none"/>
                      <w:lang w:bidi="ar"/>
                    </w:rPr>
                    <w:t>个</w:t>
                  </w:r>
                  <w:r>
                    <w:rPr>
                      <w:rFonts w:hint="default"/>
                      <w:color w:val="auto"/>
                      <w:sz w:val="18"/>
                      <w:szCs w:val="18"/>
                      <w:highlight w:val="none"/>
                    </w:rPr>
                    <w:t>1.2×0.8×0.8 m</w:t>
                  </w:r>
                  <w:r>
                    <w:rPr>
                      <w:color w:val="auto"/>
                      <w:kern w:val="0"/>
                      <w:sz w:val="18"/>
                      <w:szCs w:val="18"/>
                      <w:highlight w:val="none"/>
                      <w:lang w:bidi="ar"/>
                    </w:rPr>
                    <w:t>沉淀水箱</w:t>
                  </w:r>
                  <w:r>
                    <w:rPr>
                      <w:rFonts w:hint="eastAsia"/>
                      <w:color w:val="auto"/>
                      <w:kern w:val="0"/>
                      <w:sz w:val="18"/>
                      <w:szCs w:val="18"/>
                      <w:highlight w:val="none"/>
                      <w:lang w:eastAsia="zh-CN" w:bidi="ar"/>
                    </w:rPr>
                    <w:t>。</w:t>
                  </w:r>
                </w:p>
              </w:tc>
              <w:tc>
                <w:tcPr>
                  <w:tcW w:w="564" w:type="pct"/>
                  <w:tcBorders>
                    <w:tl2br w:val="nil"/>
                    <w:tr2bl w:val="nil"/>
                  </w:tcBorders>
                  <w:vAlign w:val="center"/>
                </w:tcPr>
                <w:p w14:paraId="6D772470">
                  <w:pPr>
                    <w:widowControl/>
                    <w:jc w:val="center"/>
                    <w:rPr>
                      <w:color w:val="auto"/>
                      <w:sz w:val="18"/>
                      <w:szCs w:val="18"/>
                      <w:highlight w:val="none"/>
                    </w:rPr>
                  </w:pPr>
                  <w:r>
                    <w:rPr>
                      <w:rFonts w:hint="default"/>
                      <w:color w:val="auto"/>
                      <w:sz w:val="18"/>
                      <w:szCs w:val="18"/>
                      <w:highlight w:val="none"/>
                    </w:rPr>
                    <w:t>/</w:t>
                  </w:r>
                </w:p>
              </w:tc>
              <w:tc>
                <w:tcPr>
                  <w:tcW w:w="426" w:type="pct"/>
                  <w:tcBorders>
                    <w:tl2br w:val="nil"/>
                    <w:tr2bl w:val="nil"/>
                  </w:tcBorders>
                  <w:vAlign w:val="center"/>
                </w:tcPr>
                <w:p w14:paraId="470B0D9C">
                  <w:pPr>
                    <w:widowControl/>
                    <w:jc w:val="center"/>
                    <w:rPr>
                      <w:color w:val="auto"/>
                      <w:sz w:val="18"/>
                      <w:szCs w:val="18"/>
                      <w:highlight w:val="none"/>
                    </w:rPr>
                  </w:pPr>
                  <w:r>
                    <w:rPr>
                      <w:rFonts w:hint="default"/>
                      <w:color w:val="auto"/>
                      <w:sz w:val="18"/>
                      <w:szCs w:val="18"/>
                      <w:highlight w:val="none"/>
                    </w:rPr>
                    <w:t>新建</w:t>
                  </w:r>
                </w:p>
              </w:tc>
            </w:tr>
            <w:tr w14:paraId="7300B16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275" w:type="pct"/>
                  <w:tcBorders>
                    <w:tl2br w:val="nil"/>
                    <w:tr2bl w:val="nil"/>
                  </w:tcBorders>
                  <w:vAlign w:val="center"/>
                </w:tcPr>
                <w:p w14:paraId="73CC06D0">
                  <w:pPr>
                    <w:widowControl/>
                    <w:jc w:val="center"/>
                    <w:textAlignment w:val="center"/>
                    <w:rPr>
                      <w:color w:val="auto"/>
                      <w:sz w:val="18"/>
                      <w:szCs w:val="18"/>
                      <w:highlight w:val="none"/>
                    </w:rPr>
                  </w:pPr>
                  <w:r>
                    <w:rPr>
                      <w:color w:val="auto"/>
                      <w:kern w:val="0"/>
                      <w:sz w:val="18"/>
                      <w:szCs w:val="18"/>
                      <w:highlight w:val="none"/>
                      <w:lang w:bidi="ar"/>
                    </w:rPr>
                    <w:t>22</w:t>
                  </w:r>
                </w:p>
              </w:tc>
              <w:tc>
                <w:tcPr>
                  <w:tcW w:w="396" w:type="pct"/>
                  <w:vMerge w:val="continue"/>
                  <w:tcBorders>
                    <w:tl2br w:val="nil"/>
                    <w:tr2bl w:val="nil"/>
                  </w:tcBorders>
                  <w:vAlign w:val="center"/>
                </w:tcPr>
                <w:p w14:paraId="27F90F2C">
                  <w:pPr>
                    <w:widowControl/>
                    <w:jc w:val="center"/>
                    <w:rPr>
                      <w:color w:val="auto"/>
                      <w:sz w:val="18"/>
                      <w:szCs w:val="18"/>
                      <w:highlight w:val="none"/>
                    </w:rPr>
                  </w:pPr>
                </w:p>
              </w:tc>
              <w:tc>
                <w:tcPr>
                  <w:tcW w:w="710" w:type="pct"/>
                  <w:tcBorders>
                    <w:tl2br w:val="nil"/>
                    <w:tr2bl w:val="nil"/>
                  </w:tcBorders>
                  <w:vAlign w:val="center"/>
                </w:tcPr>
                <w:p w14:paraId="016CEC39">
                  <w:pPr>
                    <w:widowControl/>
                    <w:jc w:val="center"/>
                    <w:textAlignment w:val="center"/>
                    <w:rPr>
                      <w:color w:val="auto"/>
                      <w:sz w:val="18"/>
                      <w:szCs w:val="18"/>
                      <w:highlight w:val="none"/>
                    </w:rPr>
                  </w:pPr>
                  <w:r>
                    <w:rPr>
                      <w:color w:val="auto"/>
                      <w:kern w:val="0"/>
                      <w:sz w:val="18"/>
                      <w:szCs w:val="18"/>
                      <w:highlight w:val="none"/>
                      <w:lang w:bidi="ar"/>
                    </w:rPr>
                    <w:t>固废堆放区</w:t>
                  </w:r>
                </w:p>
              </w:tc>
              <w:tc>
                <w:tcPr>
                  <w:tcW w:w="2625" w:type="pct"/>
                  <w:tcBorders>
                    <w:tl2br w:val="nil"/>
                    <w:tr2bl w:val="nil"/>
                  </w:tcBorders>
                  <w:shd w:val="clear" w:color="auto" w:fill="auto"/>
                  <w:vAlign w:val="center"/>
                </w:tcPr>
                <w:p w14:paraId="7B035AE0">
                  <w:pPr>
                    <w:widowControl/>
                    <w:jc w:val="both"/>
                    <w:textAlignment w:val="center"/>
                    <w:rPr>
                      <w:rFonts w:hint="default"/>
                      <w:color w:val="auto"/>
                      <w:sz w:val="18"/>
                      <w:szCs w:val="18"/>
                      <w:highlight w:val="none"/>
                    </w:rPr>
                  </w:pPr>
                  <w:r>
                    <w:rPr>
                      <w:color w:val="auto"/>
                      <w:kern w:val="0"/>
                      <w:sz w:val="18"/>
                      <w:szCs w:val="18"/>
                      <w:highlight w:val="none"/>
                      <w:lang w:bidi="ar"/>
                    </w:rPr>
                    <w:t>位于平面图右下角</w:t>
                  </w:r>
                  <w:r>
                    <w:rPr>
                      <w:rFonts w:hint="default"/>
                      <w:color w:val="auto"/>
                      <w:kern w:val="0"/>
                      <w:sz w:val="18"/>
                      <w:szCs w:val="18"/>
                      <w:highlight w:val="none"/>
                      <w:lang w:eastAsia="zh-CN" w:bidi="ar"/>
                    </w:rPr>
                    <w:t>，</w:t>
                  </w:r>
                  <w:r>
                    <w:rPr>
                      <w:rFonts w:hint="default"/>
                      <w:color w:val="auto"/>
                      <w:kern w:val="0"/>
                      <w:sz w:val="18"/>
                      <w:szCs w:val="18"/>
                      <w:highlight w:val="none"/>
                      <w:lang w:val="en-US" w:eastAsia="zh-CN" w:bidi="ar"/>
                    </w:rPr>
                    <w:t>位于房间内部</w:t>
                  </w:r>
                  <w:r>
                    <w:rPr>
                      <w:rFonts w:hint="eastAsia"/>
                      <w:color w:val="auto"/>
                      <w:kern w:val="0"/>
                      <w:sz w:val="18"/>
                      <w:szCs w:val="18"/>
                      <w:highlight w:val="none"/>
                      <w:lang w:val="en-US" w:eastAsia="zh-CN" w:bidi="ar"/>
                    </w:rPr>
                    <w:t>。</w:t>
                  </w:r>
                </w:p>
              </w:tc>
              <w:tc>
                <w:tcPr>
                  <w:tcW w:w="564" w:type="pct"/>
                  <w:tcBorders>
                    <w:tl2br w:val="nil"/>
                    <w:tr2bl w:val="nil"/>
                  </w:tcBorders>
                  <w:vAlign w:val="center"/>
                </w:tcPr>
                <w:p w14:paraId="50DD53F5">
                  <w:pPr>
                    <w:widowControl/>
                    <w:jc w:val="center"/>
                    <w:textAlignment w:val="center"/>
                    <w:rPr>
                      <w:color w:val="auto"/>
                      <w:sz w:val="18"/>
                      <w:szCs w:val="18"/>
                      <w:highlight w:val="none"/>
                    </w:rPr>
                  </w:pPr>
                  <w:r>
                    <w:rPr>
                      <w:color w:val="auto"/>
                      <w:kern w:val="0"/>
                      <w:sz w:val="18"/>
                      <w:szCs w:val="18"/>
                      <w:highlight w:val="none"/>
                      <w:lang w:bidi="ar"/>
                    </w:rPr>
                    <w:t>40 m²</w:t>
                  </w:r>
                </w:p>
              </w:tc>
              <w:tc>
                <w:tcPr>
                  <w:tcW w:w="426" w:type="pct"/>
                  <w:tcBorders>
                    <w:tl2br w:val="nil"/>
                    <w:tr2bl w:val="nil"/>
                  </w:tcBorders>
                  <w:vAlign w:val="center"/>
                </w:tcPr>
                <w:p w14:paraId="7515AABD">
                  <w:pPr>
                    <w:widowControl/>
                    <w:jc w:val="center"/>
                    <w:textAlignment w:val="center"/>
                    <w:rPr>
                      <w:color w:val="auto"/>
                      <w:sz w:val="18"/>
                      <w:szCs w:val="18"/>
                      <w:highlight w:val="none"/>
                    </w:rPr>
                  </w:pPr>
                  <w:r>
                    <w:rPr>
                      <w:color w:val="auto"/>
                      <w:kern w:val="0"/>
                      <w:sz w:val="18"/>
                      <w:szCs w:val="18"/>
                      <w:highlight w:val="none"/>
                      <w:lang w:bidi="ar"/>
                    </w:rPr>
                    <w:t>新建</w:t>
                  </w:r>
                </w:p>
              </w:tc>
            </w:tr>
            <w:tr w14:paraId="18572D1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275" w:type="pct"/>
                  <w:tcBorders>
                    <w:tl2br w:val="nil"/>
                    <w:tr2bl w:val="nil"/>
                  </w:tcBorders>
                  <w:vAlign w:val="center"/>
                </w:tcPr>
                <w:p w14:paraId="1718376F">
                  <w:pPr>
                    <w:widowControl/>
                    <w:jc w:val="center"/>
                    <w:textAlignment w:val="center"/>
                    <w:rPr>
                      <w:color w:val="auto"/>
                      <w:sz w:val="18"/>
                      <w:szCs w:val="18"/>
                      <w:highlight w:val="none"/>
                    </w:rPr>
                  </w:pPr>
                  <w:r>
                    <w:rPr>
                      <w:color w:val="auto"/>
                      <w:kern w:val="0"/>
                      <w:sz w:val="18"/>
                      <w:szCs w:val="18"/>
                      <w:highlight w:val="none"/>
                      <w:lang w:bidi="ar"/>
                    </w:rPr>
                    <w:t>23</w:t>
                  </w:r>
                </w:p>
              </w:tc>
              <w:tc>
                <w:tcPr>
                  <w:tcW w:w="396" w:type="pct"/>
                  <w:vMerge w:val="continue"/>
                  <w:tcBorders>
                    <w:tl2br w:val="nil"/>
                    <w:tr2bl w:val="nil"/>
                  </w:tcBorders>
                  <w:vAlign w:val="center"/>
                </w:tcPr>
                <w:p w14:paraId="3644BFD9">
                  <w:pPr>
                    <w:widowControl/>
                    <w:jc w:val="center"/>
                    <w:rPr>
                      <w:color w:val="auto"/>
                      <w:sz w:val="18"/>
                      <w:szCs w:val="18"/>
                      <w:highlight w:val="none"/>
                    </w:rPr>
                  </w:pPr>
                </w:p>
              </w:tc>
              <w:tc>
                <w:tcPr>
                  <w:tcW w:w="710" w:type="pct"/>
                  <w:tcBorders>
                    <w:tl2br w:val="nil"/>
                    <w:tr2bl w:val="nil"/>
                  </w:tcBorders>
                  <w:vAlign w:val="center"/>
                </w:tcPr>
                <w:p w14:paraId="52354799">
                  <w:pPr>
                    <w:widowControl/>
                    <w:jc w:val="center"/>
                    <w:textAlignment w:val="center"/>
                    <w:rPr>
                      <w:color w:val="auto"/>
                      <w:sz w:val="18"/>
                      <w:szCs w:val="18"/>
                      <w:highlight w:val="none"/>
                    </w:rPr>
                  </w:pPr>
                  <w:r>
                    <w:rPr>
                      <w:color w:val="auto"/>
                      <w:kern w:val="0"/>
                      <w:sz w:val="18"/>
                      <w:szCs w:val="18"/>
                      <w:highlight w:val="none"/>
                      <w:lang w:bidi="ar"/>
                    </w:rPr>
                    <w:t>危废暂存间</w:t>
                  </w:r>
                </w:p>
              </w:tc>
              <w:tc>
                <w:tcPr>
                  <w:tcW w:w="2625" w:type="pct"/>
                  <w:tcBorders>
                    <w:tl2br w:val="nil"/>
                    <w:tr2bl w:val="nil"/>
                  </w:tcBorders>
                  <w:shd w:val="clear" w:color="auto" w:fill="auto"/>
                  <w:vAlign w:val="center"/>
                </w:tcPr>
                <w:p w14:paraId="0C1342AC">
                  <w:pPr>
                    <w:widowControl/>
                    <w:jc w:val="both"/>
                    <w:textAlignment w:val="center"/>
                    <w:rPr>
                      <w:rFonts w:hint="default"/>
                      <w:color w:val="auto"/>
                      <w:sz w:val="18"/>
                      <w:szCs w:val="18"/>
                      <w:highlight w:val="none"/>
                    </w:rPr>
                  </w:pPr>
                  <w:r>
                    <w:rPr>
                      <w:color w:val="auto"/>
                      <w:kern w:val="0"/>
                      <w:sz w:val="18"/>
                      <w:szCs w:val="18"/>
                      <w:highlight w:val="none"/>
                      <w:lang w:bidi="ar"/>
                    </w:rPr>
                    <w:t>位于平面图右下角</w:t>
                  </w:r>
                  <w:r>
                    <w:rPr>
                      <w:rFonts w:hint="default"/>
                      <w:color w:val="auto"/>
                      <w:kern w:val="0"/>
                      <w:sz w:val="18"/>
                      <w:szCs w:val="18"/>
                      <w:highlight w:val="none"/>
                      <w:lang w:eastAsia="zh-CN" w:bidi="ar"/>
                    </w:rPr>
                    <w:t>，</w:t>
                  </w:r>
                  <w:r>
                    <w:rPr>
                      <w:rFonts w:hint="default"/>
                      <w:color w:val="auto"/>
                      <w:kern w:val="0"/>
                      <w:sz w:val="18"/>
                      <w:szCs w:val="18"/>
                      <w:highlight w:val="none"/>
                      <w:lang w:val="en-US" w:eastAsia="zh-CN" w:bidi="ar"/>
                    </w:rPr>
                    <w:t>位于房间内部，做好地面防渗措施和标识管理</w:t>
                  </w:r>
                  <w:r>
                    <w:rPr>
                      <w:rFonts w:hint="eastAsia"/>
                      <w:color w:val="auto"/>
                      <w:kern w:val="0"/>
                      <w:sz w:val="18"/>
                      <w:szCs w:val="18"/>
                      <w:highlight w:val="none"/>
                      <w:lang w:val="en-US" w:eastAsia="zh-CN" w:bidi="ar"/>
                    </w:rPr>
                    <w:t>。</w:t>
                  </w:r>
                </w:p>
              </w:tc>
              <w:tc>
                <w:tcPr>
                  <w:tcW w:w="564" w:type="pct"/>
                  <w:tcBorders>
                    <w:tl2br w:val="nil"/>
                    <w:tr2bl w:val="nil"/>
                  </w:tcBorders>
                  <w:vAlign w:val="center"/>
                </w:tcPr>
                <w:p w14:paraId="4707AF55">
                  <w:pPr>
                    <w:widowControl/>
                    <w:jc w:val="center"/>
                    <w:textAlignment w:val="center"/>
                    <w:rPr>
                      <w:color w:val="auto"/>
                      <w:sz w:val="18"/>
                      <w:szCs w:val="18"/>
                      <w:highlight w:val="none"/>
                    </w:rPr>
                  </w:pPr>
                  <w:r>
                    <w:rPr>
                      <w:color w:val="auto"/>
                      <w:kern w:val="0"/>
                      <w:sz w:val="18"/>
                      <w:szCs w:val="18"/>
                      <w:highlight w:val="none"/>
                      <w:lang w:bidi="ar"/>
                    </w:rPr>
                    <w:t>10 m²</w:t>
                  </w:r>
                </w:p>
              </w:tc>
              <w:tc>
                <w:tcPr>
                  <w:tcW w:w="426" w:type="pct"/>
                  <w:tcBorders>
                    <w:tl2br w:val="nil"/>
                    <w:tr2bl w:val="nil"/>
                  </w:tcBorders>
                  <w:vAlign w:val="center"/>
                </w:tcPr>
                <w:p w14:paraId="732264E0">
                  <w:pPr>
                    <w:widowControl/>
                    <w:jc w:val="center"/>
                    <w:textAlignment w:val="center"/>
                    <w:rPr>
                      <w:color w:val="auto"/>
                      <w:sz w:val="18"/>
                      <w:szCs w:val="18"/>
                      <w:highlight w:val="none"/>
                    </w:rPr>
                  </w:pPr>
                  <w:r>
                    <w:rPr>
                      <w:color w:val="auto"/>
                      <w:kern w:val="0"/>
                      <w:sz w:val="18"/>
                      <w:szCs w:val="18"/>
                      <w:highlight w:val="none"/>
                      <w:lang w:bidi="ar"/>
                    </w:rPr>
                    <w:t>新建</w:t>
                  </w:r>
                </w:p>
              </w:tc>
            </w:tr>
          </w:tbl>
          <w:p w14:paraId="10A30692">
            <w:pPr>
              <w:keepNext/>
              <w:keepLines/>
              <w:spacing w:line="360" w:lineRule="auto"/>
              <w:rPr>
                <w:b/>
                <w:bCs/>
                <w:color w:val="auto"/>
                <w:sz w:val="22"/>
                <w:szCs w:val="22"/>
                <w:highlight w:val="none"/>
              </w:rPr>
            </w:pPr>
          </w:p>
          <w:p w14:paraId="44CA3268">
            <w:pPr>
              <w:keepNext/>
              <w:keepLines/>
              <w:spacing w:line="360" w:lineRule="auto"/>
              <w:rPr>
                <w:b/>
                <w:bCs/>
                <w:color w:val="auto"/>
                <w:sz w:val="22"/>
                <w:szCs w:val="22"/>
                <w:highlight w:val="none"/>
              </w:rPr>
            </w:pPr>
            <w:r>
              <w:rPr>
                <w:b/>
                <w:bCs/>
                <w:color w:val="auto"/>
                <w:sz w:val="22"/>
                <w:szCs w:val="22"/>
                <w:highlight w:val="none"/>
              </w:rPr>
              <w:t>2.</w:t>
            </w:r>
            <w:r>
              <w:rPr>
                <w:rFonts w:hint="default"/>
                <w:b/>
                <w:bCs/>
                <w:color w:val="auto"/>
                <w:sz w:val="22"/>
                <w:szCs w:val="22"/>
                <w:highlight w:val="none"/>
              </w:rPr>
              <w:t>1.</w:t>
            </w:r>
            <w:r>
              <w:rPr>
                <w:b/>
                <w:bCs/>
                <w:color w:val="auto"/>
                <w:sz w:val="22"/>
                <w:szCs w:val="22"/>
                <w:highlight w:val="none"/>
              </w:rPr>
              <w:t>3</w:t>
            </w:r>
            <w:bookmarkEnd w:id="24"/>
            <w:bookmarkEnd w:id="25"/>
            <w:r>
              <w:rPr>
                <w:rFonts w:hint="default"/>
                <w:b/>
                <w:bCs/>
                <w:color w:val="auto"/>
                <w:sz w:val="22"/>
                <w:szCs w:val="22"/>
                <w:highlight w:val="none"/>
              </w:rPr>
              <w:t xml:space="preserve"> </w:t>
            </w:r>
            <w:r>
              <w:rPr>
                <w:rFonts w:hint="default"/>
                <w:b/>
                <w:bCs/>
                <w:color w:val="auto"/>
                <w:sz w:val="22"/>
                <w:szCs w:val="22"/>
                <w:highlight w:val="none"/>
                <w:lang w:val="en-US" w:eastAsia="zh-CN"/>
              </w:rPr>
              <w:t xml:space="preserve"> </w:t>
            </w:r>
            <w:r>
              <w:rPr>
                <w:rFonts w:hint="default"/>
                <w:b/>
                <w:bCs/>
                <w:color w:val="auto"/>
                <w:sz w:val="22"/>
                <w:szCs w:val="22"/>
                <w:highlight w:val="none"/>
              </w:rPr>
              <w:t>研发方案</w:t>
            </w:r>
          </w:p>
          <w:p w14:paraId="1C1A1745">
            <w:pPr>
              <w:keepNext/>
              <w:keepLines/>
              <w:spacing w:line="360" w:lineRule="auto"/>
              <w:ind w:firstLine="420" w:firstLineChars="200"/>
              <w:rPr>
                <w:color w:val="auto"/>
                <w:szCs w:val="21"/>
                <w:highlight w:val="none"/>
              </w:rPr>
            </w:pPr>
            <w:bookmarkStart w:id="26" w:name="_Toc21871"/>
            <w:bookmarkStart w:id="27" w:name="_Toc20514"/>
            <w:r>
              <w:rPr>
                <w:rFonts w:hint="default"/>
                <w:color w:val="auto"/>
                <w:szCs w:val="21"/>
                <w:highlight w:val="none"/>
              </w:rPr>
              <w:t>本项目主要进行钠离子电池NaSICON结构聚阴离子正极材料加工、测试等方面实验。测试完正极材料去向，作为固体废物处置。测试材料的制备量如表</w:t>
            </w:r>
            <w:r>
              <w:rPr>
                <w:rFonts w:hint="default"/>
                <w:color w:val="auto"/>
                <w:szCs w:val="21"/>
                <w:highlight w:val="none"/>
                <w:lang w:val="en-US" w:eastAsia="zh-CN"/>
              </w:rPr>
              <w:t>2-3所示。</w:t>
            </w:r>
          </w:p>
          <w:p w14:paraId="7A6EF762">
            <w:pPr>
              <w:pStyle w:val="49"/>
              <w:keepNext w:val="0"/>
              <w:keepLines w:val="0"/>
              <w:pageBreakBefore w:val="0"/>
              <w:widowControl w:val="0"/>
              <w:numPr>
                <w:ilvl w:val="0"/>
                <w:numId w:val="3"/>
              </w:numPr>
              <w:kinsoku/>
              <w:wordWrap/>
              <w:overflowPunct/>
              <w:topLinePunct w:val="0"/>
              <w:autoSpaceDE/>
              <w:autoSpaceDN/>
              <w:bidi w:val="0"/>
              <w:adjustRightInd w:val="0"/>
              <w:snapToGrid w:val="0"/>
              <w:spacing w:line="360" w:lineRule="auto"/>
              <w:ind w:left="420" w:hanging="420" w:firstLineChars="0"/>
              <w:jc w:val="center"/>
              <w:textAlignment w:val="auto"/>
              <w:rPr>
                <w:rFonts w:hint="default" w:ascii="Times New Roman" w:hAnsi="Times New Roman" w:eastAsia="黑体" w:cs="Times New Roman"/>
                <w:b w:val="0"/>
                <w:bCs w:val="0"/>
                <w:color w:val="auto"/>
                <w:szCs w:val="21"/>
                <w:highlight w:val="none"/>
              </w:rPr>
            </w:pPr>
            <w:r>
              <w:rPr>
                <w:rFonts w:hint="default" w:ascii="Times New Roman" w:hAnsi="Times New Roman" w:eastAsia="黑体" w:cs="Times New Roman"/>
                <w:b w:val="0"/>
                <w:bCs w:val="0"/>
                <w:color w:val="auto"/>
                <w:szCs w:val="21"/>
                <w:highlight w:val="none"/>
              </w:rPr>
              <w:t>项目研发方案一览表</w:t>
            </w:r>
          </w:p>
          <w:tbl>
            <w:tblPr>
              <w:tblStyle w:val="25"/>
              <w:tblW w:w="4998"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40"/>
              <w:gridCol w:w="2046"/>
              <w:gridCol w:w="640"/>
              <w:gridCol w:w="841"/>
              <w:gridCol w:w="3853"/>
            </w:tblGrid>
            <w:tr w14:paraId="5A35230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99" w:type="pct"/>
                  <w:tcBorders>
                    <w:tl2br w:val="nil"/>
                    <w:tr2bl w:val="nil"/>
                  </w:tcBorders>
                  <w:vAlign w:val="top"/>
                </w:tcPr>
                <w:p w14:paraId="32EB4E49">
                  <w:pPr>
                    <w:jc w:val="center"/>
                    <w:rPr>
                      <w:color w:val="auto"/>
                      <w:sz w:val="18"/>
                      <w:szCs w:val="18"/>
                      <w:highlight w:val="none"/>
                    </w:rPr>
                  </w:pPr>
                  <w:r>
                    <w:rPr>
                      <w:color w:val="auto"/>
                      <w:sz w:val="18"/>
                      <w:szCs w:val="18"/>
                      <w:highlight w:val="none"/>
                    </w:rPr>
                    <w:t>序号</w:t>
                  </w:r>
                </w:p>
              </w:tc>
              <w:tc>
                <w:tcPr>
                  <w:tcW w:w="1275" w:type="pct"/>
                  <w:tcBorders>
                    <w:tl2br w:val="nil"/>
                    <w:tr2bl w:val="nil"/>
                  </w:tcBorders>
                  <w:vAlign w:val="top"/>
                </w:tcPr>
                <w:p w14:paraId="6040F0C8">
                  <w:pPr>
                    <w:jc w:val="center"/>
                    <w:rPr>
                      <w:color w:val="auto"/>
                      <w:sz w:val="18"/>
                      <w:szCs w:val="18"/>
                      <w:highlight w:val="none"/>
                    </w:rPr>
                  </w:pPr>
                  <w:r>
                    <w:rPr>
                      <w:color w:val="auto"/>
                      <w:sz w:val="18"/>
                      <w:szCs w:val="18"/>
                      <w:highlight w:val="none"/>
                    </w:rPr>
                    <w:t>制备内容</w:t>
                  </w:r>
                </w:p>
              </w:tc>
              <w:tc>
                <w:tcPr>
                  <w:tcW w:w="399" w:type="pct"/>
                  <w:tcBorders>
                    <w:tl2br w:val="nil"/>
                    <w:tr2bl w:val="nil"/>
                  </w:tcBorders>
                  <w:vAlign w:val="top"/>
                </w:tcPr>
                <w:p w14:paraId="08607758">
                  <w:pPr>
                    <w:jc w:val="center"/>
                    <w:rPr>
                      <w:color w:val="auto"/>
                      <w:sz w:val="18"/>
                      <w:szCs w:val="18"/>
                      <w:highlight w:val="none"/>
                    </w:rPr>
                  </w:pPr>
                  <w:r>
                    <w:rPr>
                      <w:color w:val="auto"/>
                      <w:sz w:val="18"/>
                      <w:szCs w:val="18"/>
                      <w:highlight w:val="none"/>
                    </w:rPr>
                    <w:t>单位</w:t>
                  </w:r>
                </w:p>
              </w:tc>
              <w:tc>
                <w:tcPr>
                  <w:tcW w:w="524" w:type="pct"/>
                  <w:tcBorders>
                    <w:tl2br w:val="nil"/>
                    <w:tr2bl w:val="nil"/>
                  </w:tcBorders>
                  <w:vAlign w:val="top"/>
                </w:tcPr>
                <w:p w14:paraId="42D2E876">
                  <w:pPr>
                    <w:jc w:val="center"/>
                    <w:rPr>
                      <w:color w:val="auto"/>
                      <w:sz w:val="18"/>
                      <w:szCs w:val="18"/>
                      <w:highlight w:val="none"/>
                    </w:rPr>
                  </w:pPr>
                  <w:r>
                    <w:rPr>
                      <w:color w:val="auto"/>
                      <w:sz w:val="18"/>
                      <w:szCs w:val="18"/>
                      <w:highlight w:val="none"/>
                    </w:rPr>
                    <w:t>制备量</w:t>
                  </w:r>
                </w:p>
              </w:tc>
              <w:tc>
                <w:tcPr>
                  <w:tcW w:w="2400" w:type="pct"/>
                  <w:tcBorders>
                    <w:tl2br w:val="nil"/>
                    <w:tr2bl w:val="nil"/>
                  </w:tcBorders>
                  <w:vAlign w:val="top"/>
                </w:tcPr>
                <w:p w14:paraId="33A241C5">
                  <w:pPr>
                    <w:jc w:val="center"/>
                    <w:rPr>
                      <w:color w:val="auto"/>
                      <w:sz w:val="18"/>
                      <w:szCs w:val="18"/>
                      <w:highlight w:val="none"/>
                    </w:rPr>
                  </w:pPr>
                  <w:r>
                    <w:rPr>
                      <w:color w:val="auto"/>
                      <w:sz w:val="18"/>
                      <w:szCs w:val="18"/>
                      <w:highlight w:val="none"/>
                    </w:rPr>
                    <w:t>备注</w:t>
                  </w:r>
                </w:p>
              </w:tc>
            </w:tr>
            <w:tr w14:paraId="2CB665E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99" w:type="pct"/>
                  <w:tcBorders>
                    <w:tl2br w:val="nil"/>
                    <w:tr2bl w:val="nil"/>
                  </w:tcBorders>
                  <w:vAlign w:val="top"/>
                </w:tcPr>
                <w:p w14:paraId="1225ADA5">
                  <w:pPr>
                    <w:jc w:val="center"/>
                    <w:rPr>
                      <w:color w:val="auto"/>
                      <w:sz w:val="18"/>
                      <w:szCs w:val="18"/>
                      <w:highlight w:val="none"/>
                    </w:rPr>
                  </w:pPr>
                  <w:r>
                    <w:rPr>
                      <w:color w:val="auto"/>
                      <w:sz w:val="18"/>
                      <w:szCs w:val="18"/>
                      <w:highlight w:val="none"/>
                    </w:rPr>
                    <w:t>1</w:t>
                  </w:r>
                </w:p>
              </w:tc>
              <w:tc>
                <w:tcPr>
                  <w:tcW w:w="1275" w:type="pct"/>
                  <w:tcBorders>
                    <w:tl2br w:val="nil"/>
                    <w:tr2bl w:val="nil"/>
                  </w:tcBorders>
                  <w:vAlign w:val="top"/>
                </w:tcPr>
                <w:p w14:paraId="7C0A42E1">
                  <w:pPr>
                    <w:jc w:val="center"/>
                    <w:rPr>
                      <w:color w:val="auto"/>
                      <w:sz w:val="18"/>
                      <w:szCs w:val="18"/>
                      <w:highlight w:val="none"/>
                    </w:rPr>
                  </w:pPr>
                  <w:r>
                    <w:rPr>
                      <w:color w:val="auto"/>
                      <w:sz w:val="18"/>
                      <w:szCs w:val="18"/>
                      <w:highlight w:val="none"/>
                    </w:rPr>
                    <w:t>钠离子电池正极材料</w:t>
                  </w:r>
                </w:p>
              </w:tc>
              <w:tc>
                <w:tcPr>
                  <w:tcW w:w="399" w:type="pct"/>
                  <w:tcBorders>
                    <w:tl2br w:val="nil"/>
                    <w:tr2bl w:val="nil"/>
                  </w:tcBorders>
                  <w:vAlign w:val="top"/>
                </w:tcPr>
                <w:p w14:paraId="619D5A96">
                  <w:pPr>
                    <w:jc w:val="center"/>
                    <w:rPr>
                      <w:color w:val="auto"/>
                      <w:sz w:val="18"/>
                      <w:szCs w:val="18"/>
                      <w:highlight w:val="none"/>
                    </w:rPr>
                  </w:pPr>
                  <w:r>
                    <w:rPr>
                      <w:color w:val="auto"/>
                      <w:sz w:val="18"/>
                      <w:szCs w:val="18"/>
                      <w:highlight w:val="none"/>
                    </w:rPr>
                    <w:t>kg/a</w:t>
                  </w:r>
                </w:p>
              </w:tc>
              <w:tc>
                <w:tcPr>
                  <w:tcW w:w="524" w:type="pct"/>
                  <w:tcBorders>
                    <w:tl2br w:val="nil"/>
                    <w:tr2bl w:val="nil"/>
                  </w:tcBorders>
                  <w:vAlign w:val="top"/>
                </w:tcPr>
                <w:p w14:paraId="7042E5CA">
                  <w:pPr>
                    <w:jc w:val="center"/>
                    <w:rPr>
                      <w:color w:val="auto"/>
                      <w:sz w:val="18"/>
                      <w:szCs w:val="18"/>
                      <w:highlight w:val="none"/>
                    </w:rPr>
                  </w:pPr>
                  <w:r>
                    <w:rPr>
                      <w:color w:val="auto"/>
                      <w:sz w:val="18"/>
                      <w:szCs w:val="18"/>
                      <w:highlight w:val="none"/>
                    </w:rPr>
                    <w:t>1000</w:t>
                  </w:r>
                </w:p>
              </w:tc>
              <w:tc>
                <w:tcPr>
                  <w:tcW w:w="2400" w:type="pct"/>
                  <w:tcBorders>
                    <w:tl2br w:val="nil"/>
                    <w:tr2bl w:val="nil"/>
                  </w:tcBorders>
                  <w:vAlign w:val="top"/>
                </w:tcPr>
                <w:p w14:paraId="4BCCCFBC">
                  <w:pPr>
                    <w:jc w:val="center"/>
                    <w:rPr>
                      <w:color w:val="auto"/>
                      <w:sz w:val="18"/>
                      <w:szCs w:val="18"/>
                      <w:highlight w:val="none"/>
                    </w:rPr>
                  </w:pPr>
                  <w:r>
                    <w:rPr>
                      <w:color w:val="auto"/>
                      <w:sz w:val="18"/>
                      <w:szCs w:val="18"/>
                      <w:highlight w:val="none"/>
                    </w:rPr>
                    <w:t>用于粒径分布测试和组装钠离子扣式电池</w:t>
                  </w:r>
                </w:p>
              </w:tc>
            </w:tr>
            <w:tr w14:paraId="115DF12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99" w:type="pct"/>
                  <w:tcBorders>
                    <w:tl2br w:val="nil"/>
                    <w:tr2bl w:val="nil"/>
                  </w:tcBorders>
                  <w:vAlign w:val="top"/>
                </w:tcPr>
                <w:p w14:paraId="1A6D1048">
                  <w:pPr>
                    <w:jc w:val="center"/>
                    <w:rPr>
                      <w:color w:val="auto"/>
                      <w:sz w:val="18"/>
                      <w:szCs w:val="18"/>
                      <w:highlight w:val="none"/>
                    </w:rPr>
                  </w:pPr>
                  <w:r>
                    <w:rPr>
                      <w:color w:val="auto"/>
                      <w:sz w:val="18"/>
                      <w:szCs w:val="18"/>
                      <w:highlight w:val="none"/>
                    </w:rPr>
                    <w:t>2</w:t>
                  </w:r>
                </w:p>
              </w:tc>
              <w:tc>
                <w:tcPr>
                  <w:tcW w:w="1275" w:type="pct"/>
                  <w:tcBorders>
                    <w:tl2br w:val="nil"/>
                    <w:tr2bl w:val="nil"/>
                  </w:tcBorders>
                  <w:vAlign w:val="top"/>
                </w:tcPr>
                <w:p w14:paraId="0FD79494">
                  <w:pPr>
                    <w:jc w:val="center"/>
                    <w:rPr>
                      <w:color w:val="auto"/>
                      <w:sz w:val="18"/>
                      <w:szCs w:val="18"/>
                      <w:highlight w:val="none"/>
                    </w:rPr>
                  </w:pPr>
                  <w:r>
                    <w:rPr>
                      <w:color w:val="auto"/>
                      <w:sz w:val="18"/>
                      <w:szCs w:val="18"/>
                      <w:highlight w:val="none"/>
                    </w:rPr>
                    <w:t>钠离子扣式电池</w:t>
                  </w:r>
                </w:p>
              </w:tc>
              <w:tc>
                <w:tcPr>
                  <w:tcW w:w="399" w:type="pct"/>
                  <w:tcBorders>
                    <w:tl2br w:val="nil"/>
                    <w:tr2bl w:val="nil"/>
                  </w:tcBorders>
                  <w:vAlign w:val="top"/>
                </w:tcPr>
                <w:p w14:paraId="4C1B5D4C">
                  <w:pPr>
                    <w:jc w:val="center"/>
                    <w:rPr>
                      <w:color w:val="auto"/>
                      <w:sz w:val="18"/>
                      <w:szCs w:val="18"/>
                      <w:highlight w:val="none"/>
                    </w:rPr>
                  </w:pPr>
                  <w:r>
                    <w:rPr>
                      <w:color w:val="auto"/>
                      <w:sz w:val="18"/>
                      <w:szCs w:val="18"/>
                      <w:highlight w:val="none"/>
                    </w:rPr>
                    <w:t>个/a</w:t>
                  </w:r>
                </w:p>
              </w:tc>
              <w:tc>
                <w:tcPr>
                  <w:tcW w:w="524" w:type="pct"/>
                  <w:tcBorders>
                    <w:tl2br w:val="nil"/>
                    <w:tr2bl w:val="nil"/>
                  </w:tcBorders>
                  <w:vAlign w:val="top"/>
                </w:tcPr>
                <w:p w14:paraId="68EB27EE">
                  <w:pPr>
                    <w:jc w:val="center"/>
                    <w:rPr>
                      <w:rFonts w:eastAsiaTheme="minorEastAsia"/>
                      <w:color w:val="auto"/>
                      <w:sz w:val="18"/>
                      <w:szCs w:val="18"/>
                      <w:highlight w:val="none"/>
                    </w:rPr>
                  </w:pPr>
                  <w:r>
                    <w:rPr>
                      <w:rFonts w:hint="default"/>
                      <w:color w:val="auto"/>
                      <w:sz w:val="18"/>
                      <w:szCs w:val="18"/>
                      <w:highlight w:val="none"/>
                    </w:rPr>
                    <w:t>2000</w:t>
                  </w:r>
                </w:p>
              </w:tc>
              <w:tc>
                <w:tcPr>
                  <w:tcW w:w="2400" w:type="pct"/>
                  <w:tcBorders>
                    <w:tl2br w:val="nil"/>
                    <w:tr2bl w:val="nil"/>
                  </w:tcBorders>
                  <w:vAlign w:val="top"/>
                </w:tcPr>
                <w:p w14:paraId="0D90A3B7">
                  <w:pPr>
                    <w:jc w:val="center"/>
                    <w:rPr>
                      <w:color w:val="auto"/>
                      <w:sz w:val="18"/>
                      <w:szCs w:val="18"/>
                      <w:highlight w:val="none"/>
                    </w:rPr>
                  </w:pPr>
                  <w:r>
                    <w:rPr>
                      <w:color w:val="auto"/>
                      <w:sz w:val="18"/>
                      <w:szCs w:val="18"/>
                      <w:highlight w:val="none"/>
                    </w:rPr>
                    <w:t>用于恒流充放电测试</w:t>
                  </w:r>
                </w:p>
              </w:tc>
            </w:tr>
          </w:tbl>
          <w:p w14:paraId="0E135CDC">
            <w:pPr>
              <w:pStyle w:val="49"/>
              <w:keepNext w:val="0"/>
              <w:keepLines w:val="0"/>
              <w:pageBreakBefore w:val="0"/>
              <w:widowControl w:val="0"/>
              <w:kinsoku/>
              <w:wordWrap/>
              <w:overflowPunct/>
              <w:topLinePunct w:val="0"/>
              <w:autoSpaceDE/>
              <w:autoSpaceDN/>
              <w:bidi w:val="0"/>
              <w:adjustRightInd w:val="0"/>
              <w:snapToGrid w:val="0"/>
              <w:spacing w:line="360" w:lineRule="auto"/>
              <w:ind w:firstLine="0" w:firstLineChars="0"/>
              <w:textAlignment w:val="auto"/>
              <w:rPr>
                <w:b/>
                <w:bCs/>
                <w:color w:val="auto"/>
                <w:sz w:val="22"/>
                <w:szCs w:val="22"/>
                <w:highlight w:val="none"/>
              </w:rPr>
            </w:pPr>
            <w:r>
              <w:rPr>
                <w:rFonts w:hint="default"/>
                <w:b/>
                <w:bCs/>
                <w:color w:val="auto"/>
                <w:sz w:val="22"/>
                <w:szCs w:val="22"/>
                <w:highlight w:val="none"/>
              </w:rPr>
              <w:t xml:space="preserve">2.1.4 </w:t>
            </w:r>
            <w:r>
              <w:rPr>
                <w:rFonts w:hint="default"/>
                <w:b/>
                <w:bCs/>
                <w:color w:val="auto"/>
                <w:sz w:val="22"/>
                <w:szCs w:val="22"/>
                <w:highlight w:val="none"/>
                <w:lang w:val="en-US" w:eastAsia="zh-CN"/>
              </w:rPr>
              <w:t xml:space="preserve"> </w:t>
            </w:r>
            <w:r>
              <w:rPr>
                <w:rFonts w:hint="default"/>
                <w:b/>
                <w:bCs/>
                <w:color w:val="auto"/>
                <w:sz w:val="22"/>
                <w:szCs w:val="22"/>
                <w:highlight w:val="none"/>
              </w:rPr>
              <w:t>研发设备</w:t>
            </w:r>
          </w:p>
          <w:p w14:paraId="12B1D643">
            <w:pPr>
              <w:spacing w:line="360" w:lineRule="auto"/>
              <w:ind w:firstLine="420" w:firstLineChars="200"/>
              <w:rPr>
                <w:color w:val="auto"/>
                <w:highlight w:val="none"/>
              </w:rPr>
            </w:pPr>
            <w:r>
              <w:rPr>
                <w:rFonts w:hint="default"/>
                <w:color w:val="auto"/>
                <w:highlight w:val="none"/>
              </w:rPr>
              <w:t>本项目制备材料、测试所需设备如表</w:t>
            </w:r>
            <w:r>
              <w:rPr>
                <w:rFonts w:hint="default"/>
                <w:color w:val="auto"/>
                <w:highlight w:val="none"/>
                <w:lang w:val="en-US" w:eastAsia="zh-CN"/>
              </w:rPr>
              <w:t>2-4所示。</w:t>
            </w:r>
          </w:p>
          <w:p w14:paraId="74787292">
            <w:pPr>
              <w:pStyle w:val="49"/>
              <w:keepNext w:val="0"/>
              <w:keepLines w:val="0"/>
              <w:pageBreakBefore w:val="0"/>
              <w:widowControl w:val="0"/>
              <w:numPr>
                <w:ilvl w:val="0"/>
                <w:numId w:val="3"/>
              </w:numPr>
              <w:kinsoku/>
              <w:wordWrap/>
              <w:overflowPunct/>
              <w:topLinePunct w:val="0"/>
              <w:autoSpaceDE/>
              <w:autoSpaceDN/>
              <w:bidi w:val="0"/>
              <w:adjustRightInd w:val="0"/>
              <w:snapToGrid w:val="0"/>
              <w:spacing w:line="360" w:lineRule="auto"/>
              <w:ind w:left="420" w:hanging="420" w:firstLineChars="0"/>
              <w:jc w:val="center"/>
              <w:textAlignment w:val="auto"/>
              <w:rPr>
                <w:b/>
                <w:bCs/>
                <w:color w:val="auto"/>
                <w:szCs w:val="21"/>
                <w:highlight w:val="none"/>
              </w:rPr>
            </w:pPr>
            <w:r>
              <w:rPr>
                <w:rFonts w:hint="default" w:ascii="Times New Roman" w:hAnsi="Times New Roman" w:eastAsia="黑体" w:cs="Times New Roman"/>
                <w:b w:val="0"/>
                <w:bCs w:val="0"/>
                <w:color w:val="auto"/>
                <w:szCs w:val="21"/>
                <w:highlight w:val="none"/>
              </w:rPr>
              <w:t>项目研发设备一览表</w:t>
            </w:r>
          </w:p>
          <w:p w14:paraId="7A8488CB">
            <w:pPr>
              <w:pStyle w:val="49"/>
              <w:adjustRightInd w:val="0"/>
              <w:snapToGrid w:val="0"/>
              <w:spacing w:line="360" w:lineRule="auto"/>
              <w:ind w:firstLine="0" w:firstLineChars="0"/>
              <w:rPr>
                <w:b/>
                <w:bCs/>
                <w:color w:val="auto"/>
                <w:szCs w:val="21"/>
                <w:highlight w:val="none"/>
              </w:rPr>
            </w:pPr>
          </w:p>
          <w:p w14:paraId="023E8A64">
            <w:pPr>
              <w:pStyle w:val="49"/>
              <w:keepNext w:val="0"/>
              <w:keepLines w:val="0"/>
              <w:pageBreakBefore w:val="0"/>
              <w:widowControl w:val="0"/>
              <w:kinsoku/>
              <w:wordWrap/>
              <w:overflowPunct/>
              <w:topLinePunct w:val="0"/>
              <w:autoSpaceDE/>
              <w:autoSpaceDN/>
              <w:bidi w:val="0"/>
              <w:adjustRightInd w:val="0"/>
              <w:snapToGrid w:val="0"/>
              <w:spacing w:line="360" w:lineRule="auto"/>
              <w:ind w:firstLine="0" w:firstLineChars="0"/>
              <w:textAlignment w:val="auto"/>
              <w:rPr>
                <w:b/>
                <w:bCs/>
                <w:color w:val="auto"/>
                <w:sz w:val="22"/>
                <w:szCs w:val="22"/>
                <w:highlight w:val="none"/>
              </w:rPr>
            </w:pPr>
            <w:r>
              <w:rPr>
                <w:rFonts w:hint="default"/>
                <w:b/>
                <w:bCs/>
                <w:color w:val="auto"/>
                <w:sz w:val="22"/>
                <w:szCs w:val="22"/>
                <w:highlight w:val="none"/>
              </w:rPr>
              <w:t xml:space="preserve">2.1.5 </w:t>
            </w:r>
            <w:r>
              <w:rPr>
                <w:rFonts w:hint="default"/>
                <w:b/>
                <w:bCs/>
                <w:color w:val="auto"/>
                <w:sz w:val="22"/>
                <w:szCs w:val="22"/>
                <w:highlight w:val="none"/>
                <w:lang w:val="en-US" w:eastAsia="zh-CN"/>
              </w:rPr>
              <w:t xml:space="preserve"> </w:t>
            </w:r>
            <w:r>
              <w:rPr>
                <w:rFonts w:hint="default"/>
                <w:b/>
                <w:bCs/>
                <w:color w:val="auto"/>
                <w:sz w:val="22"/>
                <w:szCs w:val="22"/>
                <w:highlight w:val="none"/>
              </w:rPr>
              <w:t>主要原辅材料消耗</w:t>
            </w:r>
          </w:p>
          <w:p w14:paraId="35C4F88A">
            <w:pPr>
              <w:pStyle w:val="49"/>
              <w:keepNext w:val="0"/>
              <w:keepLines w:val="0"/>
              <w:pageBreakBefore w:val="0"/>
              <w:widowControl w:val="0"/>
              <w:kinsoku/>
              <w:wordWrap/>
              <w:overflowPunct/>
              <w:topLinePunct w:val="0"/>
              <w:autoSpaceDE/>
              <w:autoSpaceDN/>
              <w:bidi w:val="0"/>
              <w:adjustRightInd w:val="0"/>
              <w:snapToGrid w:val="0"/>
              <w:spacing w:line="360" w:lineRule="auto"/>
              <w:ind w:left="0" w:leftChars="0" w:firstLine="420" w:firstLineChars="200"/>
              <w:textAlignment w:val="auto"/>
              <w:rPr>
                <w:rFonts w:hint="default"/>
                <w:color w:val="auto"/>
                <w:szCs w:val="21"/>
                <w:highlight w:val="none"/>
                <w:lang w:val="en-US" w:eastAsia="zh-CN"/>
              </w:rPr>
            </w:pPr>
            <w:r>
              <w:rPr>
                <w:rFonts w:hint="default"/>
                <w:color w:val="auto"/>
                <w:szCs w:val="21"/>
                <w:highlight w:val="none"/>
              </w:rPr>
              <w:t>本项目主要原辅材料消耗情况如</w:t>
            </w:r>
            <w:r>
              <w:rPr>
                <w:rFonts w:hint="default"/>
                <w:color w:val="auto"/>
                <w:szCs w:val="21"/>
                <w:highlight w:val="none"/>
                <w:lang w:val="en-US" w:eastAsia="zh-CN"/>
              </w:rPr>
              <w:t>表2-5所示。</w:t>
            </w:r>
          </w:p>
          <w:bookmarkEnd w:id="26"/>
          <w:bookmarkEnd w:id="27"/>
          <w:p w14:paraId="40FB9AA1">
            <w:pPr>
              <w:pStyle w:val="49"/>
              <w:keepNext w:val="0"/>
              <w:keepLines w:val="0"/>
              <w:pageBreakBefore w:val="0"/>
              <w:widowControl w:val="0"/>
              <w:numPr>
                <w:ilvl w:val="0"/>
                <w:numId w:val="3"/>
              </w:numPr>
              <w:kinsoku/>
              <w:wordWrap/>
              <w:overflowPunct/>
              <w:topLinePunct w:val="0"/>
              <w:autoSpaceDE/>
              <w:autoSpaceDN/>
              <w:bidi w:val="0"/>
              <w:adjustRightInd w:val="0"/>
              <w:snapToGrid w:val="0"/>
              <w:spacing w:line="360" w:lineRule="auto"/>
              <w:ind w:left="420" w:hanging="420" w:firstLineChars="0"/>
              <w:jc w:val="center"/>
              <w:textAlignment w:val="auto"/>
              <w:rPr>
                <w:b/>
                <w:bCs/>
                <w:color w:val="auto"/>
                <w:szCs w:val="21"/>
                <w:highlight w:val="none"/>
              </w:rPr>
            </w:pPr>
            <w:r>
              <w:rPr>
                <w:rFonts w:hint="default" w:ascii="Times New Roman" w:hAnsi="Times New Roman" w:eastAsia="黑体" w:cs="Times New Roman"/>
                <w:b w:val="0"/>
                <w:bCs w:val="0"/>
                <w:color w:val="auto"/>
                <w:szCs w:val="21"/>
                <w:highlight w:val="none"/>
              </w:rPr>
              <w:t>项目主要原辅材料消耗一览表</w:t>
            </w:r>
          </w:p>
          <w:p w14:paraId="571ABDA0">
            <w:pPr>
              <w:pStyle w:val="49"/>
              <w:keepNext w:val="0"/>
              <w:keepLines w:val="0"/>
              <w:pageBreakBefore w:val="0"/>
              <w:widowControl w:val="0"/>
              <w:kinsoku/>
              <w:wordWrap/>
              <w:overflowPunct/>
              <w:topLinePunct w:val="0"/>
              <w:autoSpaceDE/>
              <w:autoSpaceDN/>
              <w:bidi w:val="0"/>
              <w:adjustRightInd w:val="0"/>
              <w:snapToGrid w:val="0"/>
              <w:spacing w:line="360" w:lineRule="auto"/>
              <w:ind w:left="0" w:leftChars="0" w:firstLine="0" w:firstLineChars="0"/>
              <w:textAlignment w:val="auto"/>
              <w:rPr>
                <w:b/>
                <w:bCs/>
                <w:color w:val="auto"/>
                <w:szCs w:val="21"/>
                <w:highlight w:val="none"/>
              </w:rPr>
            </w:pPr>
          </w:p>
          <w:p w14:paraId="3436EFD6">
            <w:pPr>
              <w:pStyle w:val="49"/>
              <w:adjustRightInd w:val="0"/>
              <w:snapToGrid w:val="0"/>
              <w:ind w:firstLine="420" w:firstLineChars="200"/>
              <w:jc w:val="both"/>
              <w:rPr>
                <w:b/>
                <w:bCs/>
                <w:color w:val="auto"/>
                <w:szCs w:val="21"/>
                <w:highlight w:val="none"/>
              </w:rPr>
            </w:pPr>
            <w:r>
              <w:rPr>
                <w:rFonts w:hint="default"/>
                <w:color w:val="auto"/>
                <w:szCs w:val="21"/>
                <w:highlight w:val="none"/>
              </w:rPr>
              <w:t>本项目主要原辅材料</w:t>
            </w:r>
            <w:r>
              <w:rPr>
                <w:rFonts w:hint="default"/>
                <w:color w:val="auto"/>
                <w:szCs w:val="21"/>
                <w:highlight w:val="none"/>
                <w:lang w:val="en-US" w:eastAsia="zh-CN"/>
              </w:rPr>
              <w:t>组分及理化性质</w:t>
            </w:r>
            <w:r>
              <w:rPr>
                <w:rFonts w:hint="default"/>
                <w:color w:val="auto"/>
                <w:szCs w:val="21"/>
                <w:highlight w:val="none"/>
              </w:rPr>
              <w:t>如</w:t>
            </w:r>
            <w:r>
              <w:rPr>
                <w:rFonts w:hint="default"/>
                <w:color w:val="auto"/>
                <w:szCs w:val="21"/>
                <w:highlight w:val="none"/>
                <w:lang w:val="en-US" w:eastAsia="zh-CN"/>
              </w:rPr>
              <w:t>表2-6所示</w:t>
            </w:r>
          </w:p>
          <w:p w14:paraId="2AEB4C73">
            <w:pPr>
              <w:pStyle w:val="49"/>
              <w:adjustRightInd w:val="0"/>
              <w:snapToGrid w:val="0"/>
              <w:ind w:firstLine="0" w:firstLineChars="0"/>
              <w:jc w:val="center"/>
              <w:rPr>
                <w:b/>
                <w:bCs/>
                <w:color w:val="auto"/>
                <w:szCs w:val="21"/>
                <w:highlight w:val="none"/>
              </w:rPr>
            </w:pPr>
          </w:p>
          <w:p w14:paraId="6929EAE5">
            <w:pPr>
              <w:pStyle w:val="49"/>
              <w:keepNext w:val="0"/>
              <w:keepLines w:val="0"/>
              <w:pageBreakBefore w:val="0"/>
              <w:widowControl w:val="0"/>
              <w:numPr>
                <w:ilvl w:val="0"/>
                <w:numId w:val="3"/>
              </w:numPr>
              <w:kinsoku/>
              <w:wordWrap/>
              <w:overflowPunct/>
              <w:topLinePunct w:val="0"/>
              <w:autoSpaceDE/>
              <w:autoSpaceDN/>
              <w:bidi w:val="0"/>
              <w:adjustRightInd w:val="0"/>
              <w:snapToGrid w:val="0"/>
              <w:spacing w:line="360" w:lineRule="auto"/>
              <w:ind w:left="420" w:hanging="420" w:firstLineChars="0"/>
              <w:jc w:val="center"/>
              <w:textAlignment w:val="auto"/>
              <w:rPr>
                <w:b/>
                <w:bCs/>
                <w:color w:val="auto"/>
                <w:szCs w:val="21"/>
                <w:highlight w:val="none"/>
              </w:rPr>
            </w:pPr>
            <w:r>
              <w:rPr>
                <w:rFonts w:hint="default" w:ascii="Times New Roman" w:hAnsi="Times New Roman" w:eastAsia="黑体" w:cs="Times New Roman"/>
                <w:b w:val="0"/>
                <w:bCs w:val="0"/>
                <w:color w:val="auto"/>
                <w:szCs w:val="21"/>
                <w:highlight w:val="none"/>
              </w:rPr>
              <w:t>项目主要原辅材料组分及理化性质一览表</w:t>
            </w:r>
          </w:p>
          <w:p w14:paraId="0048930C">
            <w:pPr>
              <w:pStyle w:val="49"/>
              <w:adjustRightInd w:val="0"/>
              <w:snapToGrid w:val="0"/>
              <w:ind w:firstLine="0" w:firstLineChars="0"/>
              <w:jc w:val="center"/>
              <w:rPr>
                <w:b/>
                <w:bCs/>
                <w:color w:val="auto"/>
                <w:szCs w:val="21"/>
                <w:highlight w:val="none"/>
              </w:rPr>
            </w:pPr>
          </w:p>
          <w:p w14:paraId="60748AEA">
            <w:pPr>
              <w:pStyle w:val="49"/>
              <w:adjustRightInd w:val="0"/>
              <w:snapToGrid w:val="0"/>
              <w:ind w:firstLine="0" w:firstLineChars="0"/>
              <w:jc w:val="center"/>
              <w:rPr>
                <w:b/>
                <w:bCs/>
                <w:color w:val="auto"/>
                <w:szCs w:val="21"/>
                <w:highlight w:val="none"/>
              </w:rPr>
            </w:pPr>
          </w:p>
          <w:p w14:paraId="59125A16">
            <w:pPr>
              <w:keepNext/>
              <w:keepLines/>
              <w:spacing w:line="360" w:lineRule="auto"/>
              <w:rPr>
                <w:color w:val="auto"/>
                <w:sz w:val="22"/>
                <w:szCs w:val="22"/>
                <w:highlight w:val="none"/>
              </w:rPr>
            </w:pPr>
            <w:r>
              <w:rPr>
                <w:rFonts w:hint="default"/>
                <w:b/>
                <w:bCs/>
                <w:color w:val="auto"/>
                <w:sz w:val="22"/>
                <w:szCs w:val="22"/>
                <w:highlight w:val="none"/>
              </w:rPr>
              <w:t xml:space="preserve">2.1.6 </w:t>
            </w:r>
            <w:r>
              <w:rPr>
                <w:rFonts w:hint="default"/>
                <w:b/>
                <w:bCs/>
                <w:color w:val="auto"/>
                <w:sz w:val="22"/>
                <w:szCs w:val="22"/>
                <w:highlight w:val="none"/>
                <w:lang w:val="en-US" w:eastAsia="zh-CN"/>
              </w:rPr>
              <w:t xml:space="preserve"> </w:t>
            </w:r>
            <w:r>
              <w:rPr>
                <w:rFonts w:hint="default"/>
                <w:b/>
                <w:bCs/>
                <w:color w:val="auto"/>
                <w:sz w:val="22"/>
                <w:szCs w:val="22"/>
                <w:highlight w:val="none"/>
              </w:rPr>
              <w:t>公用工程</w:t>
            </w:r>
          </w:p>
          <w:p w14:paraId="3BA4129B">
            <w:pPr>
              <w:keepNext/>
              <w:keepLines/>
              <w:spacing w:line="360" w:lineRule="auto"/>
              <w:ind w:firstLine="420" w:firstLineChars="200"/>
              <w:rPr>
                <w:color w:val="auto"/>
                <w:szCs w:val="21"/>
                <w:highlight w:val="none"/>
              </w:rPr>
            </w:pPr>
            <w:r>
              <w:rPr>
                <w:rFonts w:hint="default"/>
                <w:color w:val="auto"/>
                <w:szCs w:val="21"/>
                <w:highlight w:val="none"/>
              </w:rPr>
              <w:t>供水：项目总用水量约为</w:t>
            </w:r>
            <w:r>
              <w:rPr>
                <w:rFonts w:hint="default"/>
                <w:color w:val="auto"/>
                <w:szCs w:val="21"/>
                <w:highlight w:val="none"/>
                <w:lang w:val="en-US" w:eastAsia="zh-CN"/>
              </w:rPr>
              <w:t>328.23</w:t>
            </w:r>
            <w:r>
              <w:rPr>
                <w:rFonts w:hint="default"/>
                <w:color w:val="auto"/>
                <w:szCs w:val="21"/>
                <w:highlight w:val="none"/>
              </w:rPr>
              <w:t xml:space="preserve"> t/a，用水由市政供水管网提供，提托企业现有厂区已建供水设施。</w:t>
            </w:r>
          </w:p>
          <w:p w14:paraId="6B9E098C">
            <w:pPr>
              <w:keepNext/>
              <w:keepLines/>
              <w:spacing w:line="360" w:lineRule="auto"/>
              <w:ind w:firstLine="420" w:firstLineChars="200"/>
              <w:rPr>
                <w:color w:val="auto"/>
                <w:szCs w:val="21"/>
                <w:highlight w:val="none"/>
              </w:rPr>
            </w:pPr>
            <w:r>
              <w:rPr>
                <w:rFonts w:hint="default"/>
                <w:color w:val="auto"/>
                <w:szCs w:val="21"/>
                <w:highlight w:val="none"/>
              </w:rPr>
              <w:t>排水：厂区实行雨、污分流，雨水经雨水管网收集后排入厂外市政管网；生产废水经处理后，与经化粪池预处理的生活污水一并纳管，送良渚污水处理厂集中处理。</w:t>
            </w:r>
          </w:p>
          <w:p w14:paraId="43C54A0A">
            <w:pPr>
              <w:keepNext/>
              <w:keepLines/>
              <w:spacing w:line="360" w:lineRule="auto"/>
              <w:ind w:firstLine="420" w:firstLineChars="200"/>
              <w:rPr>
                <w:color w:val="auto"/>
                <w:szCs w:val="21"/>
                <w:highlight w:val="none"/>
              </w:rPr>
            </w:pPr>
            <w:r>
              <w:rPr>
                <w:rFonts w:hint="default"/>
                <w:color w:val="auto"/>
                <w:szCs w:val="21"/>
                <w:highlight w:val="none"/>
              </w:rPr>
              <w:t>纯水制备系统：项目新建一套纯水制备设施，制备能力为0.25 t/h，</w:t>
            </w:r>
            <w:r>
              <w:rPr>
                <w:rFonts w:hint="default"/>
                <w:color w:val="auto"/>
                <w:szCs w:val="21"/>
                <w:highlight w:val="none"/>
                <w:lang w:val="en-US" w:eastAsia="zh-CN"/>
              </w:rPr>
              <w:t>按需求运行</w:t>
            </w:r>
            <w:r>
              <w:rPr>
                <w:rFonts w:hint="default"/>
                <w:color w:val="auto"/>
                <w:szCs w:val="21"/>
                <w:highlight w:val="none"/>
              </w:rPr>
              <w:t xml:space="preserve">，年纯水制备量为 </w:t>
            </w:r>
            <w:r>
              <w:rPr>
                <w:rFonts w:hint="eastAsia"/>
                <w:color w:val="auto"/>
                <w:szCs w:val="21"/>
                <w:highlight w:val="none"/>
                <w:lang w:eastAsia="zh-CN"/>
              </w:rPr>
              <w:t>1</w:t>
            </w:r>
            <w:r>
              <w:rPr>
                <w:rFonts w:hint="eastAsia"/>
                <w:color w:val="auto"/>
                <w:szCs w:val="21"/>
                <w:highlight w:val="none"/>
                <w:lang w:val="en-US" w:eastAsia="zh-CN"/>
              </w:rPr>
              <w:t>2</w:t>
            </w:r>
            <w:r>
              <w:rPr>
                <w:rFonts w:hint="default"/>
                <w:color w:val="auto"/>
                <w:szCs w:val="21"/>
                <w:highlight w:val="none"/>
              </w:rPr>
              <w:t xml:space="preserve"> t/a。</w:t>
            </w:r>
          </w:p>
          <w:p w14:paraId="790CBEDB">
            <w:pPr>
              <w:keepNext/>
              <w:keepLines/>
              <w:spacing w:line="360" w:lineRule="auto"/>
              <w:ind w:firstLine="420" w:firstLineChars="200"/>
              <w:rPr>
                <w:color w:val="auto"/>
                <w:szCs w:val="21"/>
                <w:highlight w:val="none"/>
              </w:rPr>
            </w:pPr>
            <w:r>
              <w:rPr>
                <w:rFonts w:hint="default"/>
                <w:color w:val="auto"/>
                <w:szCs w:val="21"/>
                <w:highlight w:val="none"/>
              </w:rPr>
              <w:t>循环水系统：设置1台冷水机，规格为9.2 m</w:t>
            </w:r>
            <w:r>
              <w:rPr>
                <w:rFonts w:hint="default"/>
                <w:color w:val="auto"/>
                <w:szCs w:val="21"/>
                <w:highlight w:val="none"/>
                <w:vertAlign w:val="superscript"/>
              </w:rPr>
              <w:t>3</w:t>
            </w:r>
            <w:r>
              <w:rPr>
                <w:rFonts w:hint="default"/>
                <w:color w:val="auto"/>
                <w:szCs w:val="21"/>
                <w:highlight w:val="none"/>
              </w:rPr>
              <w:t>/h，运行时间约4 h/d，用于砂磨、喷雾干燥工序</w:t>
            </w:r>
            <w:r>
              <w:rPr>
                <w:rFonts w:hint="eastAsia"/>
                <w:color w:val="auto"/>
                <w:szCs w:val="21"/>
                <w:highlight w:val="none"/>
                <w:lang w:val="en-US" w:eastAsia="zh-CN"/>
              </w:rPr>
              <w:t>间接</w:t>
            </w:r>
            <w:r>
              <w:rPr>
                <w:rFonts w:hint="default"/>
                <w:color w:val="auto"/>
                <w:szCs w:val="21"/>
                <w:highlight w:val="none"/>
              </w:rPr>
              <w:t>冷却；循环水定期补充损耗</w:t>
            </w:r>
            <w:r>
              <w:rPr>
                <w:rFonts w:hint="default"/>
                <w:color w:val="auto"/>
                <w:szCs w:val="21"/>
                <w:highlight w:val="none"/>
                <w:lang w:eastAsia="zh-CN"/>
              </w:rPr>
              <w:t>、</w:t>
            </w:r>
            <w:r>
              <w:rPr>
                <w:rFonts w:hint="default"/>
                <w:color w:val="auto"/>
                <w:szCs w:val="21"/>
                <w:highlight w:val="none"/>
              </w:rPr>
              <w:t>外排。</w:t>
            </w:r>
          </w:p>
          <w:p w14:paraId="128D2C0C">
            <w:pPr>
              <w:keepNext/>
              <w:keepLines/>
              <w:spacing w:line="360" w:lineRule="auto"/>
              <w:ind w:firstLine="420" w:firstLineChars="200"/>
              <w:rPr>
                <w:color w:val="auto"/>
                <w:szCs w:val="21"/>
                <w:highlight w:val="none"/>
              </w:rPr>
            </w:pPr>
            <w:r>
              <w:rPr>
                <w:rFonts w:hint="default"/>
                <w:color w:val="auto"/>
                <w:szCs w:val="21"/>
                <w:highlight w:val="none"/>
              </w:rPr>
              <w:t>供电系统：项目总用电量</w:t>
            </w:r>
            <w:r>
              <w:rPr>
                <w:rFonts w:hint="default"/>
                <w:color w:val="auto"/>
                <w:szCs w:val="21"/>
                <w:highlight w:val="none"/>
                <w:lang w:val="en-US" w:eastAsia="zh-CN"/>
              </w:rPr>
              <w:t>约10万</w:t>
            </w:r>
            <w:r>
              <w:rPr>
                <w:rFonts w:hint="default"/>
                <w:color w:val="auto"/>
                <w:szCs w:val="21"/>
                <w:highlight w:val="none"/>
              </w:rPr>
              <w:t xml:space="preserve"> kWh/a</w:t>
            </w:r>
            <w:r>
              <w:rPr>
                <w:rFonts w:hint="default"/>
                <w:color w:val="auto"/>
                <w:highlight w:val="none"/>
              </w:rPr>
              <w:t>，</w:t>
            </w:r>
            <w:r>
              <w:rPr>
                <w:rFonts w:hint="default"/>
                <w:color w:val="auto"/>
                <w:szCs w:val="21"/>
                <w:highlight w:val="none"/>
              </w:rPr>
              <w:t>用电由市政管网统一供应。厂房西北侧设置1间强弱电间。</w:t>
            </w:r>
          </w:p>
          <w:p w14:paraId="55C298AE">
            <w:pPr>
              <w:keepNext/>
              <w:keepLines/>
              <w:spacing w:line="360" w:lineRule="auto"/>
              <w:rPr>
                <w:b/>
                <w:bCs/>
                <w:color w:val="auto"/>
                <w:sz w:val="22"/>
                <w:szCs w:val="22"/>
                <w:highlight w:val="none"/>
              </w:rPr>
            </w:pPr>
            <w:r>
              <w:rPr>
                <w:rFonts w:hint="default"/>
                <w:b/>
                <w:bCs/>
                <w:color w:val="auto"/>
                <w:sz w:val="22"/>
                <w:szCs w:val="22"/>
                <w:highlight w:val="none"/>
              </w:rPr>
              <w:t xml:space="preserve">2.1.7 </w:t>
            </w:r>
            <w:r>
              <w:rPr>
                <w:rFonts w:hint="default"/>
                <w:b/>
                <w:bCs/>
                <w:color w:val="auto"/>
                <w:sz w:val="22"/>
                <w:szCs w:val="22"/>
                <w:highlight w:val="none"/>
                <w:lang w:val="en-US" w:eastAsia="zh-CN"/>
              </w:rPr>
              <w:t xml:space="preserve"> </w:t>
            </w:r>
            <w:r>
              <w:rPr>
                <w:rFonts w:hint="default"/>
                <w:b/>
                <w:bCs/>
                <w:color w:val="auto"/>
                <w:sz w:val="22"/>
                <w:szCs w:val="22"/>
                <w:highlight w:val="none"/>
              </w:rPr>
              <w:t>总平面布置</w:t>
            </w:r>
          </w:p>
          <w:p w14:paraId="7F3FE940">
            <w:pPr>
              <w:spacing w:line="360" w:lineRule="auto"/>
              <w:ind w:firstLine="420" w:firstLineChars="200"/>
              <w:rPr>
                <w:color w:val="auto"/>
                <w:highlight w:val="none"/>
              </w:rPr>
            </w:pPr>
            <w:r>
              <w:rPr>
                <w:rFonts w:hint="default"/>
                <w:color w:val="auto"/>
                <w:highlight w:val="none"/>
              </w:rPr>
              <w:t>本项目租用浙江东恒肽康医药有限公司闲置厂房，地址为浙江省杭州市余杭区仁和街道獐山北路9号，东恒肽康医药园6幢9楼，共一层，建筑面积为1346.61平方米。平面图左下方为办公区域，设置有办公室、会议室、茶水间、休息间、前台及展柜等。平面图左上方设置卫生间，布置空调、步梯、电梯、强弱电间等。平面图中间区域，从左向右依次设置成品库、研磨房、喷雾干燥房、窑炉房、气流粉碎房、公辅车间；平面图下方为扣电实验室和检测实验室，平面图右方为一般固废堆放区和危废暂存间。</w:t>
            </w:r>
          </w:p>
          <w:p w14:paraId="07C3BE9B">
            <w:pPr>
              <w:spacing w:line="360" w:lineRule="auto"/>
              <w:ind w:firstLine="420" w:firstLineChars="200"/>
              <w:rPr>
                <w:color w:val="auto"/>
                <w:highlight w:val="none"/>
              </w:rPr>
            </w:pPr>
            <w:r>
              <w:rPr>
                <w:color w:val="auto"/>
                <w:highlight w:val="none"/>
              </w:rPr>
              <w:t>本项目平面布置均考虑了工艺流程及厂区内货物运输和消防、环保安全卫生的要求。项目布局考虑了项目与周围环境的协调关系，布局基本合理。</w:t>
            </w:r>
          </w:p>
          <w:p w14:paraId="69319FC9">
            <w:pPr>
              <w:spacing w:line="360" w:lineRule="auto"/>
              <w:rPr>
                <w:b/>
                <w:bCs/>
                <w:color w:val="auto"/>
                <w:sz w:val="22"/>
                <w:szCs w:val="28"/>
                <w:highlight w:val="none"/>
              </w:rPr>
            </w:pPr>
            <w:r>
              <w:rPr>
                <w:rFonts w:hint="default"/>
                <w:b/>
                <w:bCs/>
                <w:color w:val="auto"/>
                <w:sz w:val="22"/>
                <w:szCs w:val="28"/>
                <w:highlight w:val="none"/>
              </w:rPr>
              <w:t xml:space="preserve">2.1.8 </w:t>
            </w:r>
            <w:r>
              <w:rPr>
                <w:rFonts w:hint="default"/>
                <w:b/>
                <w:bCs/>
                <w:color w:val="auto"/>
                <w:sz w:val="22"/>
                <w:szCs w:val="28"/>
                <w:highlight w:val="none"/>
                <w:lang w:val="en-US" w:eastAsia="zh-CN"/>
              </w:rPr>
              <w:t xml:space="preserve"> </w:t>
            </w:r>
            <w:r>
              <w:rPr>
                <w:rFonts w:hint="default"/>
                <w:b/>
                <w:bCs/>
                <w:color w:val="auto"/>
                <w:sz w:val="22"/>
                <w:szCs w:val="28"/>
                <w:highlight w:val="none"/>
              </w:rPr>
              <w:t>劳动定员和生产班制</w:t>
            </w:r>
          </w:p>
          <w:p w14:paraId="442ED6AB">
            <w:pPr>
              <w:spacing w:line="360" w:lineRule="auto"/>
              <w:ind w:firstLine="420" w:firstLineChars="200"/>
              <w:rPr>
                <w:color w:val="auto"/>
                <w:highlight w:val="none"/>
              </w:rPr>
            </w:pPr>
            <w:r>
              <w:rPr>
                <w:rFonts w:ascii="Times New Roman" w:hAnsi="Times New Roman" w:cs="Times New Roman"/>
                <w:color w:val="auto"/>
                <w:highlight w:val="none"/>
              </w:rPr>
              <w:t>企业劳动定员</w:t>
            </w:r>
            <w:r>
              <w:rPr>
                <w:rFonts w:hint="default" w:ascii="Times New Roman" w:hAnsi="Times New Roman" w:cs="Times New Roman"/>
                <w:color w:val="auto"/>
                <w:highlight w:val="none"/>
              </w:rPr>
              <w:t>13</w:t>
            </w:r>
            <w:r>
              <w:rPr>
                <w:rFonts w:ascii="Times New Roman" w:hAnsi="Times New Roman" w:cs="Times New Roman"/>
                <w:color w:val="auto"/>
                <w:highlight w:val="none"/>
              </w:rPr>
              <w:t>人，实行单班制，每班生产8小时，年工作</w:t>
            </w:r>
            <w:r>
              <w:rPr>
                <w:rFonts w:hint="default" w:ascii="Times New Roman" w:hAnsi="Times New Roman" w:cs="Times New Roman"/>
                <w:color w:val="auto"/>
                <w:highlight w:val="none"/>
              </w:rPr>
              <w:t>天数为248</w:t>
            </w:r>
            <w:r>
              <w:rPr>
                <w:rFonts w:ascii="Times New Roman" w:hAnsi="Times New Roman" w:cs="Times New Roman"/>
                <w:color w:val="auto"/>
                <w:highlight w:val="none"/>
              </w:rPr>
              <w:t>天。企业不设食堂和宿舍。</w:t>
            </w:r>
          </w:p>
          <w:p w14:paraId="700B4F08">
            <w:pPr>
              <w:adjustRightInd w:val="0"/>
              <w:snapToGrid w:val="0"/>
              <w:ind w:firstLine="420" w:firstLineChars="200"/>
              <w:jc w:val="left"/>
              <w:rPr>
                <w:bCs/>
                <w:color w:val="auto"/>
                <w:szCs w:val="21"/>
                <w:highlight w:val="none"/>
              </w:rPr>
            </w:pPr>
          </w:p>
          <w:p w14:paraId="4BAA4AFC">
            <w:pPr>
              <w:pStyle w:val="14"/>
              <w:rPr>
                <w:rFonts w:ascii="Times New Roman" w:hAnsi="Times New Roman" w:cs="Times New Roman"/>
                <w:bCs/>
                <w:color w:val="auto"/>
                <w:szCs w:val="21"/>
                <w:highlight w:val="none"/>
              </w:rPr>
            </w:pPr>
          </w:p>
          <w:p w14:paraId="6C656D21">
            <w:pPr>
              <w:pStyle w:val="14"/>
              <w:rPr>
                <w:rFonts w:ascii="Times New Roman" w:hAnsi="Times New Roman" w:cs="Times New Roman"/>
                <w:bCs/>
                <w:color w:val="auto"/>
                <w:szCs w:val="21"/>
                <w:highlight w:val="none"/>
              </w:rPr>
            </w:pPr>
          </w:p>
          <w:p w14:paraId="3780A682">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default" w:eastAsia="宋体"/>
                <w:color w:val="auto"/>
                <w:sz w:val="22"/>
                <w:szCs w:val="28"/>
                <w:highlight w:val="none"/>
                <w:lang w:val="en-US" w:eastAsia="zh-CN"/>
              </w:rPr>
            </w:pPr>
            <w:r>
              <w:rPr>
                <w:rFonts w:hint="default"/>
                <w:b/>
                <w:color w:val="auto"/>
                <w:sz w:val="22"/>
                <w:szCs w:val="22"/>
                <w:highlight w:val="none"/>
              </w:rPr>
              <w:t xml:space="preserve">2.1.9 </w:t>
            </w:r>
            <w:r>
              <w:rPr>
                <w:rFonts w:hint="default"/>
                <w:b/>
                <w:color w:val="auto"/>
                <w:sz w:val="22"/>
                <w:szCs w:val="22"/>
                <w:highlight w:val="none"/>
                <w:lang w:val="en-US" w:eastAsia="zh-CN"/>
              </w:rPr>
              <w:t xml:space="preserve"> </w:t>
            </w:r>
            <w:r>
              <w:rPr>
                <w:rFonts w:hint="default"/>
                <w:b/>
                <w:color w:val="auto"/>
                <w:sz w:val="22"/>
                <w:szCs w:val="22"/>
                <w:highlight w:val="none"/>
              </w:rPr>
              <w:t>项目水平衡</w:t>
            </w:r>
            <w:r>
              <w:rPr>
                <w:rFonts w:hint="default"/>
                <w:b/>
                <w:bCs w:val="0"/>
                <w:color w:val="auto"/>
                <w:sz w:val="22"/>
                <w:szCs w:val="22"/>
                <w:highlight w:val="none"/>
              </w:rPr>
              <w:t>图</w:t>
            </w:r>
            <w:r>
              <w:rPr>
                <w:rFonts w:hint="default"/>
                <w:b/>
                <w:bCs w:val="0"/>
                <w:color w:val="auto"/>
                <w:highlight w:val="none"/>
                <w:lang w:val="en-US" w:eastAsia="zh-CN"/>
              </w:rPr>
              <w:t>和VOC平衡图</w:t>
            </w:r>
          </w:p>
          <w:p w14:paraId="7E54E484">
            <w:pPr>
              <w:keepNext w:val="0"/>
              <w:keepLines w:val="0"/>
              <w:pageBreakBefore w:val="0"/>
              <w:widowControl w:val="0"/>
              <w:kinsoku/>
              <w:wordWrap/>
              <w:overflowPunct/>
              <w:topLinePunct w:val="0"/>
              <w:autoSpaceDE/>
              <w:autoSpaceDN/>
              <w:bidi w:val="0"/>
              <w:adjustRightInd w:val="0"/>
              <w:snapToGrid w:val="0"/>
              <w:spacing w:line="360" w:lineRule="auto"/>
              <w:ind w:firstLine="440" w:firstLineChars="200"/>
              <w:jc w:val="left"/>
              <w:textAlignment w:val="auto"/>
              <w:rPr>
                <w:rFonts w:hint="default" w:eastAsia="宋体"/>
                <w:b/>
                <w:color w:val="auto"/>
                <w:szCs w:val="21"/>
                <w:highlight w:val="none"/>
                <w:lang w:val="en-US" w:eastAsia="zh-CN"/>
              </w:rPr>
            </w:pPr>
            <w:r>
              <w:rPr>
                <w:rFonts w:hint="default"/>
                <w:color w:val="auto"/>
                <w:sz w:val="22"/>
                <w:szCs w:val="28"/>
                <w:highlight w:val="none"/>
                <w:lang w:val="en-US" w:eastAsia="zh-CN"/>
              </w:rPr>
              <w:t>本项目水平衡如图2-1所示。</w:t>
            </w:r>
          </w:p>
          <w:p w14:paraId="3F8D1B30">
            <w:pPr>
              <w:adjustRightInd w:val="0"/>
              <w:snapToGrid w:val="0"/>
              <w:jc w:val="center"/>
              <w:rPr>
                <w:bCs/>
                <w:color w:val="auto"/>
                <w:szCs w:val="21"/>
                <w:highlight w:val="none"/>
              </w:rPr>
            </w:pPr>
            <w:r>
              <w:rPr>
                <w:rFonts w:hint="default"/>
                <w:bCs/>
                <w:color w:val="auto"/>
                <w:szCs w:val="21"/>
                <w:highlight w:val="none"/>
              </w:rPr>
              <w:drawing>
                <wp:inline distT="0" distB="0" distL="114300" distR="114300">
                  <wp:extent cx="5332095" cy="3112135"/>
                  <wp:effectExtent l="0" t="0" r="1905" b="12065"/>
                  <wp:docPr id="7" name="图片 7" descr="水平衡图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水平衡图v3"/>
                          <pic:cNvPicPr>
                            <a:picLocks noChangeAspect="1"/>
                          </pic:cNvPicPr>
                        </pic:nvPicPr>
                        <pic:blipFill>
                          <a:blip r:embed="rId11"/>
                          <a:stretch>
                            <a:fillRect/>
                          </a:stretch>
                        </pic:blipFill>
                        <pic:spPr>
                          <a:xfrm>
                            <a:off x="0" y="0"/>
                            <a:ext cx="5332095" cy="3112135"/>
                          </a:xfrm>
                          <a:prstGeom prst="rect">
                            <a:avLst/>
                          </a:prstGeom>
                        </pic:spPr>
                      </pic:pic>
                    </a:graphicData>
                  </a:graphic>
                </wp:inline>
              </w:drawing>
            </w:r>
          </w:p>
          <w:p w14:paraId="01CE9805">
            <w:pPr>
              <w:adjustRightInd w:val="0"/>
              <w:snapToGrid w:val="0"/>
              <w:jc w:val="center"/>
              <w:rPr>
                <w:rFonts w:hint="default" w:ascii="Times New Roman" w:hAnsi="Times New Roman" w:eastAsia="黑体" w:cs="Times New Roman"/>
                <w:b w:val="0"/>
                <w:bCs/>
                <w:color w:val="auto"/>
                <w:szCs w:val="21"/>
                <w:highlight w:val="none"/>
              </w:rPr>
            </w:pPr>
            <w:r>
              <w:rPr>
                <w:rFonts w:hint="default" w:ascii="Times New Roman" w:hAnsi="Times New Roman" w:eastAsia="黑体" w:cs="Times New Roman"/>
                <w:b w:val="0"/>
                <w:bCs/>
                <w:color w:val="auto"/>
                <w:szCs w:val="21"/>
                <w:highlight w:val="none"/>
              </w:rPr>
              <w:t>图2</w:t>
            </w:r>
            <w:r>
              <w:rPr>
                <w:rFonts w:hint="default" w:ascii="Times New Roman" w:hAnsi="Times New Roman" w:eastAsia="黑体" w:cs="Times New Roman"/>
                <w:b w:val="0"/>
                <w:bCs/>
                <w:color w:val="auto"/>
                <w:szCs w:val="21"/>
                <w:highlight w:val="none"/>
                <w:lang w:val="en-US" w:eastAsia="zh-CN"/>
              </w:rPr>
              <w:t>-</w:t>
            </w:r>
            <w:r>
              <w:rPr>
                <w:rFonts w:hint="default" w:ascii="Times New Roman" w:hAnsi="Times New Roman" w:eastAsia="黑体" w:cs="Times New Roman"/>
                <w:b w:val="0"/>
                <w:bCs/>
                <w:color w:val="auto"/>
                <w:szCs w:val="21"/>
                <w:highlight w:val="none"/>
              </w:rPr>
              <w:t>1 项目水平衡图（单位：t/a）</w:t>
            </w:r>
          </w:p>
          <w:p w14:paraId="597592AC">
            <w:pPr>
              <w:pStyle w:val="14"/>
              <w:spacing w:line="360" w:lineRule="auto"/>
              <w:ind w:firstLine="420" w:firstLineChars="200"/>
              <w:rPr>
                <w:rFonts w:hint="default" w:ascii="Times New Roman" w:hAnsi="Times New Roman" w:eastAsia="宋体" w:cs="Times New Roman"/>
                <w:b w:val="0"/>
                <w:bCs/>
                <w:color w:val="auto"/>
                <w:szCs w:val="21"/>
                <w:highlight w:val="none"/>
                <w:lang w:val="en-US" w:eastAsia="zh-CN"/>
              </w:rPr>
            </w:pPr>
            <w:r>
              <w:rPr>
                <w:rFonts w:hint="default" w:ascii="Times New Roman" w:hAnsi="Times New Roman" w:eastAsia="宋体" w:cs="Times New Roman"/>
                <w:b w:val="0"/>
                <w:bCs/>
                <w:color w:val="auto"/>
                <w:szCs w:val="21"/>
                <w:highlight w:val="none"/>
                <w:lang w:val="en-US" w:eastAsia="zh-CN"/>
              </w:rPr>
              <w:t>本项目VOC平衡如图2-2所示：</w:t>
            </w:r>
          </w:p>
          <w:p w14:paraId="59C3CC7D">
            <w:pPr>
              <w:pStyle w:val="14"/>
              <w:spacing w:line="360" w:lineRule="auto"/>
              <w:jc w:val="center"/>
              <w:rPr>
                <w:rFonts w:hint="default" w:ascii="Times New Roman" w:hAnsi="Times New Roman" w:eastAsia="宋体" w:cs="Times New Roman"/>
                <w:b w:val="0"/>
                <w:bCs/>
                <w:color w:val="auto"/>
                <w:szCs w:val="21"/>
                <w:highlight w:val="none"/>
                <w:lang w:val="en-US" w:eastAsia="zh-CN"/>
              </w:rPr>
            </w:pPr>
            <w:r>
              <w:rPr>
                <w:rFonts w:hint="default" w:ascii="Times New Roman" w:hAnsi="Times New Roman" w:eastAsia="宋体" w:cs="Times New Roman"/>
                <w:b w:val="0"/>
                <w:bCs/>
                <w:color w:val="auto"/>
                <w:szCs w:val="21"/>
                <w:highlight w:val="none"/>
                <w:lang w:val="en-US" w:eastAsia="zh-CN"/>
              </w:rPr>
              <w:drawing>
                <wp:inline distT="0" distB="0" distL="114300" distR="114300">
                  <wp:extent cx="5109845" cy="1654810"/>
                  <wp:effectExtent l="0" t="0" r="10795" b="6350"/>
                  <wp:docPr id="3" name="图片 3" descr="VOC平衡图202609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VOC平衡图20260907"/>
                          <pic:cNvPicPr>
                            <a:picLocks noChangeAspect="1"/>
                          </pic:cNvPicPr>
                        </pic:nvPicPr>
                        <pic:blipFill>
                          <a:blip r:embed="rId12"/>
                          <a:stretch>
                            <a:fillRect/>
                          </a:stretch>
                        </pic:blipFill>
                        <pic:spPr>
                          <a:xfrm>
                            <a:off x="0" y="0"/>
                            <a:ext cx="5109845" cy="1654810"/>
                          </a:xfrm>
                          <a:prstGeom prst="rect">
                            <a:avLst/>
                          </a:prstGeom>
                        </pic:spPr>
                      </pic:pic>
                    </a:graphicData>
                  </a:graphic>
                </wp:inline>
              </w:drawing>
            </w:r>
          </w:p>
          <w:p w14:paraId="29F542FF">
            <w:pPr>
              <w:adjustRightInd w:val="0"/>
              <w:snapToGrid w:val="0"/>
              <w:jc w:val="center"/>
              <w:rPr>
                <w:rFonts w:hint="default" w:ascii="Times New Roman" w:hAnsi="Times New Roman" w:eastAsia="黑体" w:cs="Times New Roman"/>
                <w:b w:val="0"/>
                <w:bCs/>
                <w:color w:val="auto"/>
                <w:szCs w:val="21"/>
                <w:highlight w:val="none"/>
              </w:rPr>
            </w:pPr>
            <w:r>
              <w:rPr>
                <w:rFonts w:hint="default" w:ascii="Times New Roman" w:hAnsi="Times New Roman" w:eastAsia="黑体" w:cs="Times New Roman"/>
                <w:b w:val="0"/>
                <w:bCs/>
                <w:color w:val="auto"/>
                <w:szCs w:val="21"/>
                <w:highlight w:val="none"/>
              </w:rPr>
              <w:t>图2</w:t>
            </w:r>
            <w:r>
              <w:rPr>
                <w:rFonts w:hint="default" w:ascii="Times New Roman" w:hAnsi="Times New Roman" w:eastAsia="黑体" w:cs="Times New Roman"/>
                <w:b w:val="0"/>
                <w:bCs/>
                <w:color w:val="auto"/>
                <w:szCs w:val="21"/>
                <w:highlight w:val="none"/>
                <w:lang w:val="en-US" w:eastAsia="zh-CN"/>
              </w:rPr>
              <w:t>-2</w:t>
            </w:r>
            <w:r>
              <w:rPr>
                <w:rFonts w:hint="default" w:ascii="Times New Roman" w:hAnsi="Times New Roman" w:eastAsia="黑体" w:cs="Times New Roman"/>
                <w:b w:val="0"/>
                <w:bCs/>
                <w:color w:val="auto"/>
                <w:szCs w:val="21"/>
                <w:highlight w:val="none"/>
              </w:rPr>
              <w:t xml:space="preserve"> 项目</w:t>
            </w:r>
            <w:r>
              <w:rPr>
                <w:rFonts w:hint="default" w:ascii="Times New Roman" w:hAnsi="Times New Roman" w:eastAsia="黑体" w:cs="Times New Roman"/>
                <w:b w:val="0"/>
                <w:bCs/>
                <w:color w:val="auto"/>
                <w:szCs w:val="21"/>
                <w:highlight w:val="none"/>
                <w:lang w:val="en-US" w:eastAsia="zh-CN"/>
              </w:rPr>
              <w:t>VOC平衡</w:t>
            </w:r>
            <w:r>
              <w:rPr>
                <w:rFonts w:hint="default" w:ascii="Times New Roman" w:hAnsi="Times New Roman" w:eastAsia="黑体" w:cs="Times New Roman"/>
                <w:b w:val="0"/>
                <w:bCs/>
                <w:color w:val="auto"/>
                <w:szCs w:val="21"/>
                <w:highlight w:val="none"/>
              </w:rPr>
              <w:t>图（</w:t>
            </w:r>
            <w:r>
              <w:rPr>
                <w:rFonts w:hint="eastAsia" w:eastAsia="黑体" w:cs="Times New Roman"/>
                <w:b w:val="0"/>
                <w:bCs/>
                <w:color w:val="auto"/>
                <w:szCs w:val="21"/>
                <w:highlight w:val="none"/>
                <w:lang w:val="en-US" w:eastAsia="zh-CN"/>
              </w:rPr>
              <w:t>以非甲烷总烃计，</w:t>
            </w:r>
            <w:r>
              <w:rPr>
                <w:rFonts w:hint="default" w:ascii="Times New Roman" w:hAnsi="Times New Roman" w:eastAsia="黑体" w:cs="Times New Roman"/>
                <w:b w:val="0"/>
                <w:bCs/>
                <w:color w:val="auto"/>
                <w:szCs w:val="21"/>
                <w:highlight w:val="none"/>
              </w:rPr>
              <w:t>单位：</w:t>
            </w:r>
            <w:r>
              <w:rPr>
                <w:rFonts w:hint="default" w:ascii="Times New Roman" w:hAnsi="Times New Roman" w:eastAsia="黑体" w:cs="Times New Roman"/>
                <w:b w:val="0"/>
                <w:bCs/>
                <w:color w:val="auto"/>
                <w:szCs w:val="21"/>
                <w:highlight w:val="none"/>
                <w:lang w:val="en-US" w:eastAsia="zh-CN"/>
              </w:rPr>
              <w:t>kg</w:t>
            </w:r>
            <w:r>
              <w:rPr>
                <w:rFonts w:hint="default" w:ascii="Times New Roman" w:hAnsi="Times New Roman" w:eastAsia="黑体" w:cs="Times New Roman"/>
                <w:b w:val="0"/>
                <w:bCs/>
                <w:color w:val="auto"/>
                <w:szCs w:val="21"/>
                <w:highlight w:val="none"/>
              </w:rPr>
              <w:t>/a）</w:t>
            </w:r>
          </w:p>
          <w:p w14:paraId="167D59EA">
            <w:pPr>
              <w:pStyle w:val="14"/>
              <w:spacing w:line="360" w:lineRule="auto"/>
              <w:jc w:val="center"/>
              <w:rPr>
                <w:rFonts w:hint="default" w:ascii="Times New Roman" w:hAnsi="Times New Roman" w:eastAsia="宋体" w:cs="Times New Roman"/>
                <w:b w:val="0"/>
                <w:bCs/>
                <w:color w:val="auto"/>
                <w:szCs w:val="21"/>
                <w:highlight w:val="none"/>
                <w:lang w:val="en-US" w:eastAsia="zh-CN"/>
              </w:rPr>
            </w:pPr>
          </w:p>
        </w:tc>
      </w:tr>
      <w:tr w14:paraId="339B4C8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87" w:hRule="atLeast"/>
          <w:jc w:val="center"/>
        </w:trPr>
        <w:tc>
          <w:tcPr>
            <w:tcW w:w="555" w:type="dxa"/>
            <w:vAlign w:val="center"/>
          </w:tcPr>
          <w:p w14:paraId="4C7B834D">
            <w:pPr>
              <w:pStyle w:val="20"/>
              <w:adjustRightInd w:val="0"/>
              <w:snapToGrid w:val="0"/>
              <w:spacing w:before="0" w:beforeAutospacing="0" w:after="0" w:afterAutospacing="0"/>
              <w:jc w:val="center"/>
              <w:rPr>
                <w:rFonts w:ascii="Times New Roman" w:hAnsi="Times New Roman"/>
                <w:color w:val="auto"/>
                <w:sz w:val="21"/>
                <w:szCs w:val="21"/>
                <w:highlight w:val="none"/>
              </w:rPr>
            </w:pPr>
            <w:r>
              <w:rPr>
                <w:rFonts w:ascii="Times New Roman" w:hAnsi="Times New Roman"/>
                <w:color w:val="auto"/>
                <w:sz w:val="21"/>
                <w:szCs w:val="21"/>
                <w:highlight w:val="none"/>
              </w:rPr>
              <w:t>工艺流程和产排污环节</w:t>
            </w:r>
          </w:p>
        </w:tc>
        <w:tc>
          <w:tcPr>
            <w:tcW w:w="8269" w:type="dxa"/>
            <w:tcBorders>
              <w:top w:val="single" w:color="auto" w:sz="4" w:space="0"/>
              <w:bottom w:val="single" w:color="auto" w:sz="4" w:space="0"/>
            </w:tcBorders>
          </w:tcPr>
          <w:p w14:paraId="39690DB2">
            <w:pPr>
              <w:keepNext/>
              <w:keepLines/>
              <w:spacing w:line="360" w:lineRule="auto"/>
              <w:rPr>
                <w:b/>
                <w:bCs/>
                <w:color w:val="auto"/>
                <w:sz w:val="24"/>
                <w:szCs w:val="24"/>
                <w:highlight w:val="none"/>
              </w:rPr>
            </w:pPr>
            <w:bookmarkStart w:id="28" w:name="_Toc27144"/>
            <w:bookmarkStart w:id="29" w:name="_Toc17522"/>
            <w:r>
              <w:rPr>
                <w:b/>
                <w:bCs/>
                <w:color w:val="auto"/>
                <w:sz w:val="24"/>
                <w:szCs w:val="24"/>
                <w:highlight w:val="none"/>
              </w:rPr>
              <w:t>2.</w:t>
            </w:r>
            <w:r>
              <w:rPr>
                <w:rFonts w:hint="default"/>
                <w:b/>
                <w:bCs/>
                <w:color w:val="auto"/>
                <w:sz w:val="24"/>
                <w:szCs w:val="24"/>
                <w:highlight w:val="none"/>
              </w:rPr>
              <w:t>2</w:t>
            </w:r>
            <w:r>
              <w:rPr>
                <w:rFonts w:hint="default"/>
                <w:b/>
                <w:bCs/>
                <w:color w:val="auto"/>
                <w:sz w:val="24"/>
                <w:szCs w:val="24"/>
                <w:highlight w:val="none"/>
                <w:lang w:val="en-US" w:eastAsia="zh-CN"/>
              </w:rPr>
              <w:t xml:space="preserve">  </w:t>
            </w:r>
            <w:r>
              <w:rPr>
                <w:b/>
                <w:bCs/>
                <w:color w:val="auto"/>
                <w:sz w:val="24"/>
                <w:szCs w:val="24"/>
                <w:highlight w:val="none"/>
              </w:rPr>
              <w:t>生产工艺流程及产排污环节</w:t>
            </w:r>
            <w:bookmarkEnd w:id="28"/>
            <w:bookmarkEnd w:id="29"/>
          </w:p>
          <w:p w14:paraId="25673AC6">
            <w:pPr>
              <w:keepNext/>
              <w:keepLines/>
              <w:spacing w:line="360" w:lineRule="auto"/>
              <w:rPr>
                <w:b/>
                <w:bCs/>
                <w:color w:val="auto"/>
                <w:sz w:val="22"/>
                <w:szCs w:val="22"/>
                <w:highlight w:val="none"/>
              </w:rPr>
            </w:pPr>
            <w:r>
              <w:rPr>
                <w:rFonts w:hint="default"/>
                <w:b/>
                <w:bCs/>
                <w:color w:val="auto"/>
                <w:sz w:val="22"/>
                <w:szCs w:val="22"/>
                <w:highlight w:val="none"/>
              </w:rPr>
              <w:t xml:space="preserve">2.2.1 </w:t>
            </w:r>
            <w:r>
              <w:rPr>
                <w:rFonts w:hint="default"/>
                <w:b/>
                <w:bCs/>
                <w:color w:val="auto"/>
                <w:sz w:val="22"/>
                <w:szCs w:val="22"/>
                <w:highlight w:val="none"/>
                <w:lang w:val="en-US" w:eastAsia="zh-CN"/>
              </w:rPr>
              <w:t xml:space="preserve"> </w:t>
            </w:r>
            <w:r>
              <w:rPr>
                <w:rFonts w:hint="default"/>
                <w:b/>
                <w:bCs/>
                <w:color w:val="auto"/>
                <w:sz w:val="22"/>
                <w:szCs w:val="22"/>
                <w:highlight w:val="none"/>
              </w:rPr>
              <w:t>研发工艺流程</w:t>
            </w:r>
          </w:p>
          <w:p w14:paraId="71330974">
            <w:pPr>
              <w:keepNext/>
              <w:keepLines/>
              <w:spacing w:line="360" w:lineRule="auto"/>
              <w:ind w:firstLine="420" w:firstLineChars="200"/>
              <w:rPr>
                <w:color w:val="auto"/>
                <w:szCs w:val="21"/>
                <w:highlight w:val="none"/>
              </w:rPr>
            </w:pPr>
            <w:r>
              <w:rPr>
                <w:rFonts w:hint="default"/>
                <w:color w:val="auto"/>
                <w:szCs w:val="21"/>
                <w:highlight w:val="none"/>
              </w:rPr>
              <w:t>本项目具体工艺流程如</w:t>
            </w:r>
            <w:r>
              <w:rPr>
                <w:rFonts w:hint="default"/>
                <w:color w:val="auto"/>
                <w:szCs w:val="21"/>
                <w:highlight w:val="none"/>
                <w:lang w:val="en-US" w:eastAsia="zh-CN"/>
              </w:rPr>
              <w:t>图2-3所示。</w:t>
            </w:r>
            <w:r>
              <w:rPr>
                <w:rFonts w:hint="default"/>
                <w:color w:val="auto"/>
                <w:szCs w:val="21"/>
                <w:highlight w:val="none"/>
              </w:rPr>
              <w:t>：</w:t>
            </w:r>
          </w:p>
          <w:p w14:paraId="148A915D">
            <w:pPr>
              <w:keepNext/>
              <w:keepLines/>
              <w:spacing w:line="360" w:lineRule="auto"/>
              <w:jc w:val="center"/>
              <w:rPr>
                <w:rStyle w:val="31"/>
                <w:color w:val="auto"/>
                <w:kern w:val="0"/>
                <w:szCs w:val="20"/>
                <w:highlight w:val="none"/>
              </w:rPr>
            </w:pPr>
          </w:p>
          <w:p w14:paraId="133D8EEF">
            <w:pPr>
              <w:keepNext/>
              <w:keepLines/>
              <w:spacing w:line="360" w:lineRule="auto"/>
              <w:jc w:val="center"/>
              <w:rPr>
                <w:color w:val="auto"/>
                <w:szCs w:val="21"/>
                <w:highlight w:val="none"/>
              </w:rPr>
            </w:pPr>
            <w:r>
              <w:rPr>
                <w:rStyle w:val="31"/>
                <w:rFonts w:hint="default" w:ascii="Times New Roman" w:hAnsi="Times New Roman" w:eastAsia="黑体" w:cs="Times New Roman"/>
                <w:color w:val="auto"/>
                <w:kern w:val="0"/>
                <w:szCs w:val="20"/>
                <w:highlight w:val="none"/>
                <w:lang w:val="en-US" w:eastAsia="zh-CN"/>
              </w:rPr>
              <w:t>图2-3 本项目工艺流程图</w:t>
            </w:r>
          </w:p>
          <w:p w14:paraId="66B1BD56">
            <w:pPr>
              <w:keepNext/>
              <w:keepLines/>
              <w:spacing w:line="360" w:lineRule="auto"/>
              <w:ind w:firstLine="420" w:firstLineChars="200"/>
              <w:rPr>
                <w:color w:val="auto"/>
                <w:szCs w:val="21"/>
                <w:highlight w:val="none"/>
              </w:rPr>
            </w:pPr>
            <w:r>
              <w:rPr>
                <w:rFonts w:hint="default"/>
                <w:color w:val="auto"/>
                <w:szCs w:val="21"/>
                <w:highlight w:val="none"/>
              </w:rPr>
              <w:t>工艺流程说明：</w:t>
            </w:r>
          </w:p>
          <w:p w14:paraId="1D6BAF3F">
            <w:pPr>
              <w:keepNext w:val="0"/>
              <w:keepLines w:val="0"/>
              <w:pageBreakBefore w:val="0"/>
              <w:widowControl w:val="0"/>
              <w:kinsoku/>
              <w:wordWrap/>
              <w:overflowPunct/>
              <w:topLinePunct w:val="0"/>
              <w:autoSpaceDE/>
              <w:autoSpaceDN/>
              <w:bidi w:val="0"/>
              <w:adjustRightInd w:val="0"/>
              <w:snapToGrid w:val="0"/>
              <w:spacing w:line="360" w:lineRule="auto"/>
              <w:textAlignment w:val="auto"/>
              <w:rPr>
                <w:b/>
                <w:color w:val="auto"/>
                <w:sz w:val="22"/>
                <w:szCs w:val="22"/>
                <w:highlight w:val="none"/>
              </w:rPr>
            </w:pPr>
            <w:r>
              <w:rPr>
                <w:rFonts w:hint="default"/>
                <w:b/>
                <w:color w:val="auto"/>
                <w:sz w:val="22"/>
                <w:szCs w:val="22"/>
                <w:highlight w:val="none"/>
              </w:rPr>
              <w:t xml:space="preserve">2.2.2 </w:t>
            </w:r>
            <w:r>
              <w:rPr>
                <w:rFonts w:hint="default"/>
                <w:b/>
                <w:color w:val="auto"/>
                <w:sz w:val="22"/>
                <w:szCs w:val="22"/>
                <w:highlight w:val="none"/>
                <w:lang w:val="en-US" w:eastAsia="zh-CN"/>
              </w:rPr>
              <w:t xml:space="preserve"> </w:t>
            </w:r>
            <w:r>
              <w:rPr>
                <w:rFonts w:hint="default"/>
                <w:b/>
                <w:color w:val="auto"/>
                <w:sz w:val="22"/>
                <w:szCs w:val="22"/>
                <w:highlight w:val="none"/>
              </w:rPr>
              <w:t>产排污环节分析</w:t>
            </w:r>
          </w:p>
          <w:p w14:paraId="7BF4B00F">
            <w:pPr>
              <w:adjustRightInd w:val="0"/>
              <w:snapToGrid w:val="0"/>
              <w:spacing w:line="360" w:lineRule="auto"/>
              <w:ind w:firstLine="420" w:firstLineChars="200"/>
              <w:rPr>
                <w:bCs/>
                <w:color w:val="auto"/>
                <w:szCs w:val="21"/>
                <w:highlight w:val="none"/>
              </w:rPr>
            </w:pPr>
            <w:r>
              <w:rPr>
                <w:rFonts w:hint="default"/>
                <w:bCs/>
                <w:color w:val="auto"/>
                <w:szCs w:val="21"/>
                <w:highlight w:val="none"/>
              </w:rPr>
              <w:t>根据工艺流程可知，项目产污环节及污染因子分析如表</w:t>
            </w:r>
            <w:r>
              <w:rPr>
                <w:rFonts w:hint="default"/>
                <w:bCs/>
                <w:color w:val="auto"/>
                <w:szCs w:val="21"/>
                <w:highlight w:val="none"/>
                <w:lang w:val="en-US" w:eastAsia="zh-CN"/>
              </w:rPr>
              <w:t>2-7所示</w:t>
            </w:r>
            <w:r>
              <w:rPr>
                <w:rFonts w:hint="default"/>
                <w:bCs/>
                <w:color w:val="auto"/>
                <w:szCs w:val="21"/>
                <w:highlight w:val="none"/>
              </w:rPr>
              <w:t>：</w:t>
            </w:r>
          </w:p>
          <w:p w14:paraId="4D20086B">
            <w:pPr>
              <w:pStyle w:val="49"/>
              <w:keepNext w:val="0"/>
              <w:keepLines w:val="0"/>
              <w:pageBreakBefore w:val="0"/>
              <w:widowControl w:val="0"/>
              <w:numPr>
                <w:ilvl w:val="0"/>
                <w:numId w:val="3"/>
              </w:numPr>
              <w:kinsoku/>
              <w:wordWrap/>
              <w:overflowPunct/>
              <w:topLinePunct w:val="0"/>
              <w:autoSpaceDE/>
              <w:autoSpaceDN/>
              <w:bidi w:val="0"/>
              <w:adjustRightInd w:val="0"/>
              <w:snapToGrid w:val="0"/>
              <w:spacing w:line="360" w:lineRule="auto"/>
              <w:ind w:left="420" w:hanging="420" w:firstLineChars="0"/>
              <w:jc w:val="center"/>
              <w:textAlignment w:val="auto"/>
              <w:rPr>
                <w:rFonts w:hint="default" w:ascii="Times New Roman" w:hAnsi="Times New Roman" w:eastAsia="黑体" w:cs="Times New Roman"/>
                <w:b w:val="0"/>
                <w:bCs w:val="0"/>
                <w:color w:val="auto"/>
                <w:szCs w:val="21"/>
                <w:highlight w:val="none"/>
              </w:rPr>
            </w:pPr>
            <w:r>
              <w:rPr>
                <w:rFonts w:hint="default" w:ascii="Times New Roman" w:hAnsi="Times New Roman" w:eastAsia="黑体" w:cs="Times New Roman"/>
                <w:b w:val="0"/>
                <w:bCs w:val="0"/>
                <w:color w:val="auto"/>
                <w:szCs w:val="21"/>
                <w:highlight w:val="none"/>
              </w:rPr>
              <w:t>项目产污环节及污染因子一览表</w:t>
            </w:r>
          </w:p>
          <w:tbl>
            <w:tblPr>
              <w:tblStyle w:val="24"/>
              <w:tblW w:w="5000" w:type="pct"/>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
            <w:tblGrid>
              <w:gridCol w:w="759"/>
              <w:gridCol w:w="622"/>
              <w:gridCol w:w="720"/>
              <w:gridCol w:w="1224"/>
              <w:gridCol w:w="2029"/>
              <w:gridCol w:w="2669"/>
            </w:tblGrid>
            <w:tr w14:paraId="2B58CAC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 w:hRule="atLeast"/>
                <w:jc w:val="center"/>
              </w:trPr>
              <w:tc>
                <w:tcPr>
                  <w:tcW w:w="473" w:type="pct"/>
                  <w:tcBorders>
                    <w:tl2br w:val="nil"/>
                    <w:tr2bl w:val="nil"/>
                  </w:tcBorders>
                  <w:noWrap/>
                  <w:vAlign w:val="center"/>
                </w:tcPr>
                <w:p w14:paraId="66416F12">
                  <w:pPr>
                    <w:widowControl/>
                    <w:jc w:val="center"/>
                    <w:textAlignment w:val="center"/>
                    <w:rPr>
                      <w:color w:val="auto"/>
                      <w:sz w:val="18"/>
                      <w:szCs w:val="18"/>
                      <w:highlight w:val="none"/>
                    </w:rPr>
                  </w:pPr>
                  <w:r>
                    <w:rPr>
                      <w:color w:val="auto"/>
                      <w:kern w:val="0"/>
                      <w:sz w:val="18"/>
                      <w:szCs w:val="18"/>
                      <w:highlight w:val="none"/>
                      <w:lang w:bidi="ar"/>
                    </w:rPr>
                    <w:t>类别</w:t>
                  </w:r>
                </w:p>
              </w:tc>
              <w:tc>
                <w:tcPr>
                  <w:tcW w:w="387" w:type="pct"/>
                  <w:tcBorders>
                    <w:tl2br w:val="nil"/>
                    <w:tr2bl w:val="nil"/>
                  </w:tcBorders>
                  <w:noWrap/>
                  <w:vAlign w:val="center"/>
                </w:tcPr>
                <w:p w14:paraId="0CE1BC3C">
                  <w:pPr>
                    <w:widowControl/>
                    <w:jc w:val="center"/>
                    <w:textAlignment w:val="center"/>
                    <w:rPr>
                      <w:color w:val="auto"/>
                      <w:sz w:val="18"/>
                      <w:szCs w:val="18"/>
                      <w:highlight w:val="none"/>
                    </w:rPr>
                  </w:pPr>
                  <w:r>
                    <w:rPr>
                      <w:color w:val="auto"/>
                      <w:kern w:val="0"/>
                      <w:sz w:val="18"/>
                      <w:szCs w:val="18"/>
                      <w:highlight w:val="none"/>
                      <w:lang w:bidi="ar"/>
                    </w:rPr>
                    <w:t>编号</w:t>
                  </w:r>
                </w:p>
              </w:tc>
              <w:tc>
                <w:tcPr>
                  <w:tcW w:w="1211" w:type="pct"/>
                  <w:gridSpan w:val="2"/>
                  <w:tcBorders>
                    <w:tl2br w:val="nil"/>
                    <w:tr2bl w:val="nil"/>
                  </w:tcBorders>
                  <w:noWrap/>
                  <w:vAlign w:val="center"/>
                </w:tcPr>
                <w:p w14:paraId="0FA3E017">
                  <w:pPr>
                    <w:widowControl/>
                    <w:jc w:val="center"/>
                    <w:textAlignment w:val="center"/>
                    <w:rPr>
                      <w:color w:val="auto"/>
                      <w:sz w:val="18"/>
                      <w:szCs w:val="18"/>
                      <w:highlight w:val="none"/>
                    </w:rPr>
                  </w:pPr>
                  <w:r>
                    <w:rPr>
                      <w:color w:val="auto"/>
                      <w:kern w:val="0"/>
                      <w:sz w:val="18"/>
                      <w:szCs w:val="18"/>
                      <w:highlight w:val="none"/>
                      <w:lang w:bidi="ar"/>
                    </w:rPr>
                    <w:t>产生工序/环节</w:t>
                  </w:r>
                </w:p>
              </w:tc>
              <w:tc>
                <w:tcPr>
                  <w:tcW w:w="1264" w:type="pct"/>
                  <w:tcBorders>
                    <w:tl2br w:val="nil"/>
                    <w:tr2bl w:val="nil"/>
                  </w:tcBorders>
                  <w:noWrap/>
                  <w:vAlign w:val="center"/>
                </w:tcPr>
                <w:p w14:paraId="7093C303">
                  <w:pPr>
                    <w:widowControl/>
                    <w:jc w:val="center"/>
                    <w:textAlignment w:val="center"/>
                    <w:rPr>
                      <w:color w:val="auto"/>
                      <w:sz w:val="18"/>
                      <w:szCs w:val="18"/>
                      <w:highlight w:val="none"/>
                    </w:rPr>
                  </w:pPr>
                  <w:r>
                    <w:rPr>
                      <w:color w:val="auto"/>
                      <w:kern w:val="0"/>
                      <w:sz w:val="18"/>
                      <w:szCs w:val="18"/>
                      <w:highlight w:val="none"/>
                      <w:lang w:bidi="ar"/>
                    </w:rPr>
                    <w:t>污染物名称</w:t>
                  </w:r>
                </w:p>
              </w:tc>
              <w:tc>
                <w:tcPr>
                  <w:tcW w:w="1663" w:type="pct"/>
                  <w:tcBorders>
                    <w:tl2br w:val="nil"/>
                    <w:tr2bl w:val="nil"/>
                  </w:tcBorders>
                  <w:noWrap/>
                  <w:vAlign w:val="center"/>
                </w:tcPr>
                <w:p w14:paraId="0F2CD7A5">
                  <w:pPr>
                    <w:widowControl/>
                    <w:jc w:val="center"/>
                    <w:textAlignment w:val="center"/>
                    <w:rPr>
                      <w:color w:val="auto"/>
                      <w:sz w:val="18"/>
                      <w:szCs w:val="18"/>
                      <w:highlight w:val="none"/>
                    </w:rPr>
                  </w:pPr>
                  <w:r>
                    <w:rPr>
                      <w:color w:val="auto"/>
                      <w:kern w:val="0"/>
                      <w:sz w:val="18"/>
                      <w:szCs w:val="18"/>
                      <w:highlight w:val="none"/>
                      <w:lang w:bidi="ar"/>
                    </w:rPr>
                    <w:t>主要污染因子</w:t>
                  </w:r>
                </w:p>
              </w:tc>
            </w:tr>
            <w:tr w14:paraId="399DA92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 w:hRule="atLeast"/>
                <w:jc w:val="center"/>
              </w:trPr>
              <w:tc>
                <w:tcPr>
                  <w:tcW w:w="473" w:type="pct"/>
                  <w:vMerge w:val="restart"/>
                  <w:tcBorders>
                    <w:tl2br w:val="nil"/>
                    <w:tr2bl w:val="nil"/>
                  </w:tcBorders>
                  <w:noWrap/>
                  <w:vAlign w:val="center"/>
                </w:tcPr>
                <w:p w14:paraId="5788BA98">
                  <w:pPr>
                    <w:widowControl/>
                    <w:jc w:val="center"/>
                    <w:textAlignment w:val="center"/>
                    <w:rPr>
                      <w:color w:val="auto"/>
                      <w:sz w:val="18"/>
                      <w:szCs w:val="18"/>
                      <w:highlight w:val="none"/>
                    </w:rPr>
                  </w:pPr>
                  <w:r>
                    <w:rPr>
                      <w:color w:val="auto"/>
                      <w:kern w:val="0"/>
                      <w:sz w:val="18"/>
                      <w:szCs w:val="18"/>
                      <w:highlight w:val="none"/>
                      <w:lang w:bidi="ar"/>
                    </w:rPr>
                    <w:t>废气</w:t>
                  </w:r>
                </w:p>
              </w:tc>
              <w:tc>
                <w:tcPr>
                  <w:tcW w:w="387" w:type="pct"/>
                  <w:tcBorders>
                    <w:tl2br w:val="nil"/>
                    <w:tr2bl w:val="nil"/>
                  </w:tcBorders>
                  <w:noWrap/>
                  <w:vAlign w:val="center"/>
                </w:tcPr>
                <w:p w14:paraId="29FA6A16">
                  <w:pPr>
                    <w:widowControl/>
                    <w:jc w:val="center"/>
                    <w:textAlignment w:val="center"/>
                    <w:rPr>
                      <w:color w:val="auto"/>
                      <w:sz w:val="18"/>
                      <w:szCs w:val="18"/>
                      <w:highlight w:val="none"/>
                    </w:rPr>
                  </w:pPr>
                  <w:r>
                    <w:rPr>
                      <w:color w:val="auto"/>
                      <w:kern w:val="0"/>
                      <w:sz w:val="18"/>
                      <w:szCs w:val="18"/>
                      <w:highlight w:val="none"/>
                      <w:lang w:bidi="ar"/>
                    </w:rPr>
                    <w:t>G1</w:t>
                  </w:r>
                </w:p>
              </w:tc>
              <w:tc>
                <w:tcPr>
                  <w:tcW w:w="448" w:type="pct"/>
                  <w:vMerge w:val="restart"/>
                  <w:tcBorders>
                    <w:tl2br w:val="nil"/>
                    <w:tr2bl w:val="nil"/>
                  </w:tcBorders>
                  <w:vAlign w:val="center"/>
                </w:tcPr>
                <w:p w14:paraId="3FED435B">
                  <w:pPr>
                    <w:widowControl/>
                    <w:jc w:val="center"/>
                    <w:textAlignment w:val="center"/>
                    <w:rPr>
                      <w:color w:val="auto"/>
                      <w:sz w:val="18"/>
                      <w:szCs w:val="18"/>
                      <w:highlight w:val="none"/>
                    </w:rPr>
                  </w:pPr>
                  <w:r>
                    <w:rPr>
                      <w:color w:val="auto"/>
                      <w:kern w:val="0"/>
                      <w:sz w:val="18"/>
                      <w:szCs w:val="18"/>
                      <w:highlight w:val="none"/>
                      <w:lang w:bidi="ar"/>
                    </w:rPr>
                    <w:t>正极材料制备</w:t>
                  </w:r>
                </w:p>
              </w:tc>
              <w:tc>
                <w:tcPr>
                  <w:tcW w:w="762" w:type="pct"/>
                  <w:tcBorders>
                    <w:tl2br w:val="nil"/>
                    <w:tr2bl w:val="nil"/>
                  </w:tcBorders>
                  <w:noWrap/>
                  <w:vAlign w:val="center"/>
                </w:tcPr>
                <w:p w14:paraId="7EE46A34">
                  <w:pPr>
                    <w:widowControl/>
                    <w:jc w:val="center"/>
                    <w:textAlignment w:val="center"/>
                    <w:rPr>
                      <w:color w:val="auto"/>
                      <w:sz w:val="18"/>
                      <w:szCs w:val="18"/>
                      <w:highlight w:val="none"/>
                    </w:rPr>
                  </w:pPr>
                  <w:r>
                    <w:rPr>
                      <w:color w:val="auto"/>
                      <w:kern w:val="0"/>
                      <w:sz w:val="18"/>
                      <w:szCs w:val="18"/>
                      <w:highlight w:val="none"/>
                      <w:lang w:bidi="ar"/>
                    </w:rPr>
                    <w:t>原材料投料</w:t>
                  </w:r>
                </w:p>
              </w:tc>
              <w:tc>
                <w:tcPr>
                  <w:tcW w:w="1264" w:type="pct"/>
                  <w:tcBorders>
                    <w:tl2br w:val="nil"/>
                    <w:tr2bl w:val="nil"/>
                  </w:tcBorders>
                  <w:noWrap/>
                  <w:vAlign w:val="center"/>
                </w:tcPr>
                <w:p w14:paraId="3968DF07">
                  <w:pPr>
                    <w:widowControl/>
                    <w:jc w:val="center"/>
                    <w:textAlignment w:val="center"/>
                    <w:rPr>
                      <w:color w:val="auto"/>
                      <w:sz w:val="18"/>
                      <w:szCs w:val="18"/>
                      <w:highlight w:val="none"/>
                    </w:rPr>
                  </w:pPr>
                  <w:r>
                    <w:rPr>
                      <w:color w:val="auto"/>
                      <w:kern w:val="0"/>
                      <w:sz w:val="18"/>
                      <w:szCs w:val="18"/>
                      <w:highlight w:val="none"/>
                      <w:lang w:bidi="ar"/>
                    </w:rPr>
                    <w:t>解包投料粉尘</w:t>
                  </w:r>
                </w:p>
              </w:tc>
              <w:tc>
                <w:tcPr>
                  <w:tcW w:w="1663" w:type="pct"/>
                  <w:tcBorders>
                    <w:tl2br w:val="nil"/>
                    <w:tr2bl w:val="nil"/>
                  </w:tcBorders>
                  <w:noWrap/>
                  <w:vAlign w:val="center"/>
                </w:tcPr>
                <w:p w14:paraId="016FFB30">
                  <w:pPr>
                    <w:widowControl/>
                    <w:jc w:val="center"/>
                    <w:textAlignment w:val="center"/>
                    <w:rPr>
                      <w:color w:val="auto"/>
                      <w:sz w:val="18"/>
                      <w:szCs w:val="18"/>
                      <w:highlight w:val="none"/>
                    </w:rPr>
                  </w:pPr>
                  <w:r>
                    <w:rPr>
                      <w:color w:val="auto"/>
                      <w:kern w:val="0"/>
                      <w:sz w:val="18"/>
                      <w:szCs w:val="18"/>
                      <w:highlight w:val="none"/>
                      <w:lang w:bidi="ar"/>
                    </w:rPr>
                    <w:t>颗粒物</w:t>
                  </w:r>
                </w:p>
              </w:tc>
            </w:tr>
            <w:tr w14:paraId="6F7C7B5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 w:hRule="atLeast"/>
                <w:jc w:val="center"/>
              </w:trPr>
              <w:tc>
                <w:tcPr>
                  <w:tcW w:w="473" w:type="pct"/>
                  <w:vMerge w:val="continue"/>
                  <w:tcBorders>
                    <w:tl2br w:val="nil"/>
                    <w:tr2bl w:val="nil"/>
                  </w:tcBorders>
                  <w:noWrap/>
                  <w:vAlign w:val="center"/>
                </w:tcPr>
                <w:p w14:paraId="30FC93CE">
                  <w:pPr>
                    <w:jc w:val="center"/>
                    <w:rPr>
                      <w:color w:val="auto"/>
                      <w:sz w:val="18"/>
                      <w:szCs w:val="18"/>
                      <w:highlight w:val="none"/>
                    </w:rPr>
                  </w:pPr>
                </w:p>
              </w:tc>
              <w:tc>
                <w:tcPr>
                  <w:tcW w:w="387" w:type="pct"/>
                  <w:tcBorders>
                    <w:tl2br w:val="nil"/>
                    <w:tr2bl w:val="nil"/>
                  </w:tcBorders>
                  <w:noWrap/>
                  <w:vAlign w:val="center"/>
                </w:tcPr>
                <w:p w14:paraId="03C9AB67">
                  <w:pPr>
                    <w:widowControl/>
                    <w:jc w:val="center"/>
                    <w:textAlignment w:val="center"/>
                    <w:rPr>
                      <w:color w:val="auto"/>
                      <w:sz w:val="18"/>
                      <w:szCs w:val="18"/>
                      <w:highlight w:val="none"/>
                    </w:rPr>
                  </w:pPr>
                  <w:r>
                    <w:rPr>
                      <w:color w:val="auto"/>
                      <w:kern w:val="0"/>
                      <w:sz w:val="18"/>
                      <w:szCs w:val="18"/>
                      <w:highlight w:val="none"/>
                      <w:lang w:bidi="ar"/>
                    </w:rPr>
                    <w:t>G2</w:t>
                  </w:r>
                </w:p>
              </w:tc>
              <w:tc>
                <w:tcPr>
                  <w:tcW w:w="448" w:type="pct"/>
                  <w:vMerge w:val="continue"/>
                  <w:tcBorders>
                    <w:tl2br w:val="nil"/>
                    <w:tr2bl w:val="nil"/>
                  </w:tcBorders>
                  <w:vAlign w:val="center"/>
                </w:tcPr>
                <w:p w14:paraId="6DA76E1C">
                  <w:pPr>
                    <w:jc w:val="center"/>
                    <w:rPr>
                      <w:color w:val="auto"/>
                      <w:sz w:val="18"/>
                      <w:szCs w:val="18"/>
                      <w:highlight w:val="none"/>
                    </w:rPr>
                  </w:pPr>
                </w:p>
              </w:tc>
              <w:tc>
                <w:tcPr>
                  <w:tcW w:w="762" w:type="pct"/>
                  <w:tcBorders>
                    <w:tl2br w:val="nil"/>
                    <w:tr2bl w:val="nil"/>
                  </w:tcBorders>
                  <w:noWrap/>
                  <w:vAlign w:val="center"/>
                </w:tcPr>
                <w:p w14:paraId="28CC44A9">
                  <w:pPr>
                    <w:widowControl/>
                    <w:jc w:val="center"/>
                    <w:textAlignment w:val="center"/>
                    <w:rPr>
                      <w:color w:val="auto"/>
                      <w:sz w:val="18"/>
                      <w:szCs w:val="18"/>
                      <w:highlight w:val="none"/>
                    </w:rPr>
                  </w:pPr>
                  <w:r>
                    <w:rPr>
                      <w:color w:val="auto"/>
                      <w:kern w:val="0"/>
                      <w:sz w:val="18"/>
                      <w:szCs w:val="18"/>
                      <w:highlight w:val="none"/>
                      <w:lang w:bidi="ar"/>
                    </w:rPr>
                    <w:t>喷雾干燥</w:t>
                  </w:r>
                </w:p>
              </w:tc>
              <w:tc>
                <w:tcPr>
                  <w:tcW w:w="1264" w:type="pct"/>
                  <w:tcBorders>
                    <w:tl2br w:val="nil"/>
                    <w:tr2bl w:val="nil"/>
                  </w:tcBorders>
                  <w:noWrap/>
                  <w:vAlign w:val="center"/>
                </w:tcPr>
                <w:p w14:paraId="08F739B7">
                  <w:pPr>
                    <w:widowControl/>
                    <w:jc w:val="center"/>
                    <w:textAlignment w:val="center"/>
                    <w:rPr>
                      <w:color w:val="auto"/>
                      <w:sz w:val="18"/>
                      <w:szCs w:val="18"/>
                      <w:highlight w:val="none"/>
                    </w:rPr>
                  </w:pPr>
                  <w:r>
                    <w:rPr>
                      <w:color w:val="auto"/>
                      <w:kern w:val="0"/>
                      <w:sz w:val="18"/>
                      <w:szCs w:val="18"/>
                      <w:highlight w:val="none"/>
                      <w:lang w:bidi="ar"/>
                    </w:rPr>
                    <w:t>干燥粉尘</w:t>
                  </w:r>
                </w:p>
              </w:tc>
              <w:tc>
                <w:tcPr>
                  <w:tcW w:w="1663" w:type="pct"/>
                  <w:tcBorders>
                    <w:tl2br w:val="nil"/>
                    <w:tr2bl w:val="nil"/>
                  </w:tcBorders>
                  <w:noWrap/>
                  <w:vAlign w:val="center"/>
                </w:tcPr>
                <w:p w14:paraId="13010F28">
                  <w:pPr>
                    <w:widowControl/>
                    <w:jc w:val="center"/>
                    <w:textAlignment w:val="center"/>
                    <w:rPr>
                      <w:color w:val="auto"/>
                      <w:sz w:val="18"/>
                      <w:szCs w:val="18"/>
                      <w:highlight w:val="none"/>
                    </w:rPr>
                  </w:pPr>
                  <w:r>
                    <w:rPr>
                      <w:color w:val="auto"/>
                      <w:kern w:val="0"/>
                      <w:sz w:val="18"/>
                      <w:szCs w:val="18"/>
                      <w:highlight w:val="none"/>
                      <w:lang w:bidi="ar"/>
                    </w:rPr>
                    <w:t>颗粒物</w:t>
                  </w:r>
                </w:p>
              </w:tc>
            </w:tr>
            <w:tr w14:paraId="5D7E0CA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 w:hRule="atLeast"/>
                <w:jc w:val="center"/>
              </w:trPr>
              <w:tc>
                <w:tcPr>
                  <w:tcW w:w="473" w:type="pct"/>
                  <w:vMerge w:val="continue"/>
                  <w:tcBorders>
                    <w:tl2br w:val="nil"/>
                    <w:tr2bl w:val="nil"/>
                  </w:tcBorders>
                  <w:noWrap/>
                  <w:vAlign w:val="center"/>
                </w:tcPr>
                <w:p w14:paraId="42DA2A28">
                  <w:pPr>
                    <w:jc w:val="center"/>
                    <w:rPr>
                      <w:color w:val="auto"/>
                      <w:sz w:val="18"/>
                      <w:szCs w:val="18"/>
                      <w:highlight w:val="none"/>
                    </w:rPr>
                  </w:pPr>
                </w:p>
              </w:tc>
              <w:tc>
                <w:tcPr>
                  <w:tcW w:w="387" w:type="pct"/>
                  <w:tcBorders>
                    <w:tl2br w:val="nil"/>
                    <w:tr2bl w:val="nil"/>
                  </w:tcBorders>
                  <w:noWrap/>
                  <w:vAlign w:val="center"/>
                </w:tcPr>
                <w:p w14:paraId="43684370">
                  <w:pPr>
                    <w:widowControl/>
                    <w:jc w:val="center"/>
                    <w:textAlignment w:val="center"/>
                    <w:rPr>
                      <w:color w:val="auto"/>
                      <w:sz w:val="18"/>
                      <w:szCs w:val="18"/>
                      <w:highlight w:val="none"/>
                    </w:rPr>
                  </w:pPr>
                  <w:r>
                    <w:rPr>
                      <w:color w:val="auto"/>
                      <w:kern w:val="0"/>
                      <w:sz w:val="18"/>
                      <w:szCs w:val="18"/>
                      <w:highlight w:val="none"/>
                      <w:lang w:bidi="ar"/>
                    </w:rPr>
                    <w:t>G3</w:t>
                  </w:r>
                </w:p>
              </w:tc>
              <w:tc>
                <w:tcPr>
                  <w:tcW w:w="448" w:type="pct"/>
                  <w:vMerge w:val="continue"/>
                  <w:tcBorders>
                    <w:tl2br w:val="nil"/>
                    <w:tr2bl w:val="nil"/>
                  </w:tcBorders>
                  <w:vAlign w:val="center"/>
                </w:tcPr>
                <w:p w14:paraId="4628C47F">
                  <w:pPr>
                    <w:jc w:val="center"/>
                    <w:rPr>
                      <w:color w:val="auto"/>
                      <w:sz w:val="18"/>
                      <w:szCs w:val="18"/>
                      <w:highlight w:val="none"/>
                    </w:rPr>
                  </w:pPr>
                </w:p>
              </w:tc>
              <w:tc>
                <w:tcPr>
                  <w:tcW w:w="762" w:type="pct"/>
                  <w:tcBorders>
                    <w:tl2br w:val="nil"/>
                    <w:tr2bl w:val="nil"/>
                  </w:tcBorders>
                  <w:noWrap/>
                  <w:vAlign w:val="center"/>
                </w:tcPr>
                <w:p w14:paraId="29332DEF">
                  <w:pPr>
                    <w:widowControl/>
                    <w:jc w:val="center"/>
                    <w:textAlignment w:val="center"/>
                    <w:rPr>
                      <w:color w:val="auto"/>
                      <w:sz w:val="18"/>
                      <w:szCs w:val="18"/>
                      <w:highlight w:val="none"/>
                    </w:rPr>
                  </w:pPr>
                  <w:r>
                    <w:rPr>
                      <w:color w:val="auto"/>
                      <w:kern w:val="0"/>
                      <w:sz w:val="18"/>
                      <w:szCs w:val="18"/>
                      <w:highlight w:val="none"/>
                      <w:lang w:bidi="ar"/>
                    </w:rPr>
                    <w:t>气氛烧结</w:t>
                  </w:r>
                </w:p>
              </w:tc>
              <w:tc>
                <w:tcPr>
                  <w:tcW w:w="1264" w:type="pct"/>
                  <w:tcBorders>
                    <w:tl2br w:val="nil"/>
                    <w:tr2bl w:val="nil"/>
                  </w:tcBorders>
                  <w:noWrap/>
                  <w:vAlign w:val="center"/>
                </w:tcPr>
                <w:p w14:paraId="1F67485A">
                  <w:pPr>
                    <w:widowControl/>
                    <w:jc w:val="center"/>
                    <w:textAlignment w:val="center"/>
                    <w:rPr>
                      <w:color w:val="auto"/>
                      <w:sz w:val="18"/>
                      <w:szCs w:val="18"/>
                      <w:highlight w:val="none"/>
                    </w:rPr>
                  </w:pPr>
                  <w:r>
                    <w:rPr>
                      <w:color w:val="auto"/>
                      <w:kern w:val="0"/>
                      <w:sz w:val="18"/>
                      <w:szCs w:val="18"/>
                      <w:highlight w:val="none"/>
                      <w:lang w:bidi="ar"/>
                    </w:rPr>
                    <w:t>煅烧废气</w:t>
                  </w:r>
                </w:p>
              </w:tc>
              <w:tc>
                <w:tcPr>
                  <w:tcW w:w="1663" w:type="pct"/>
                  <w:tcBorders>
                    <w:tl2br w:val="nil"/>
                    <w:tr2bl w:val="nil"/>
                  </w:tcBorders>
                  <w:noWrap/>
                  <w:vAlign w:val="center"/>
                </w:tcPr>
                <w:p w14:paraId="7753FF2A">
                  <w:pPr>
                    <w:widowControl/>
                    <w:jc w:val="center"/>
                    <w:textAlignment w:val="center"/>
                    <w:rPr>
                      <w:rFonts w:hint="default" w:eastAsia="宋体"/>
                      <w:color w:val="auto"/>
                      <w:sz w:val="18"/>
                      <w:szCs w:val="18"/>
                      <w:highlight w:val="none"/>
                      <w:lang w:val="en-US" w:eastAsia="zh-CN"/>
                    </w:rPr>
                  </w:pPr>
                  <w:r>
                    <w:rPr>
                      <w:color w:val="auto"/>
                      <w:kern w:val="0"/>
                      <w:sz w:val="18"/>
                      <w:szCs w:val="18"/>
                      <w:highlight w:val="none"/>
                      <w:lang w:bidi="ar"/>
                    </w:rPr>
                    <w:t>颗粒物、</w:t>
                  </w:r>
                  <w:r>
                    <w:rPr>
                      <w:rStyle w:val="31"/>
                      <w:rFonts w:hint="default"/>
                      <w:color w:val="auto"/>
                      <w:kern w:val="0"/>
                      <w:sz w:val="18"/>
                      <w:szCs w:val="16"/>
                      <w:highlight w:val="none"/>
                      <w:lang w:val="en-US" w:eastAsia="zh-CN"/>
                    </w:rPr>
                    <w:t>非甲烷总烃</w:t>
                  </w:r>
                </w:p>
              </w:tc>
            </w:tr>
            <w:tr w14:paraId="50324AB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 w:hRule="atLeast"/>
                <w:jc w:val="center"/>
              </w:trPr>
              <w:tc>
                <w:tcPr>
                  <w:tcW w:w="473" w:type="pct"/>
                  <w:vMerge w:val="continue"/>
                  <w:tcBorders>
                    <w:tl2br w:val="nil"/>
                    <w:tr2bl w:val="nil"/>
                  </w:tcBorders>
                  <w:noWrap/>
                  <w:vAlign w:val="center"/>
                </w:tcPr>
                <w:p w14:paraId="505A518F">
                  <w:pPr>
                    <w:jc w:val="center"/>
                    <w:rPr>
                      <w:color w:val="auto"/>
                      <w:sz w:val="18"/>
                      <w:szCs w:val="18"/>
                      <w:highlight w:val="none"/>
                    </w:rPr>
                  </w:pPr>
                </w:p>
              </w:tc>
              <w:tc>
                <w:tcPr>
                  <w:tcW w:w="387" w:type="pct"/>
                  <w:tcBorders>
                    <w:tl2br w:val="nil"/>
                    <w:tr2bl w:val="nil"/>
                  </w:tcBorders>
                  <w:noWrap/>
                  <w:vAlign w:val="center"/>
                </w:tcPr>
                <w:p w14:paraId="3A7F1239">
                  <w:pPr>
                    <w:widowControl/>
                    <w:jc w:val="center"/>
                    <w:textAlignment w:val="center"/>
                    <w:rPr>
                      <w:color w:val="auto"/>
                      <w:sz w:val="18"/>
                      <w:szCs w:val="18"/>
                      <w:highlight w:val="none"/>
                    </w:rPr>
                  </w:pPr>
                  <w:r>
                    <w:rPr>
                      <w:color w:val="auto"/>
                      <w:kern w:val="0"/>
                      <w:sz w:val="18"/>
                      <w:szCs w:val="18"/>
                      <w:highlight w:val="none"/>
                      <w:lang w:bidi="ar"/>
                    </w:rPr>
                    <w:t>G4</w:t>
                  </w:r>
                </w:p>
              </w:tc>
              <w:tc>
                <w:tcPr>
                  <w:tcW w:w="448" w:type="pct"/>
                  <w:vMerge w:val="continue"/>
                  <w:tcBorders>
                    <w:tl2br w:val="nil"/>
                    <w:tr2bl w:val="nil"/>
                  </w:tcBorders>
                  <w:vAlign w:val="center"/>
                </w:tcPr>
                <w:p w14:paraId="6FF78E94">
                  <w:pPr>
                    <w:jc w:val="center"/>
                    <w:rPr>
                      <w:color w:val="auto"/>
                      <w:sz w:val="18"/>
                      <w:szCs w:val="18"/>
                      <w:highlight w:val="none"/>
                    </w:rPr>
                  </w:pPr>
                </w:p>
              </w:tc>
              <w:tc>
                <w:tcPr>
                  <w:tcW w:w="762" w:type="pct"/>
                  <w:tcBorders>
                    <w:tl2br w:val="nil"/>
                    <w:tr2bl w:val="nil"/>
                  </w:tcBorders>
                  <w:noWrap/>
                  <w:vAlign w:val="center"/>
                </w:tcPr>
                <w:p w14:paraId="24BC53D2">
                  <w:pPr>
                    <w:widowControl/>
                    <w:jc w:val="center"/>
                    <w:textAlignment w:val="center"/>
                    <w:rPr>
                      <w:color w:val="auto"/>
                      <w:sz w:val="18"/>
                      <w:szCs w:val="18"/>
                      <w:highlight w:val="none"/>
                    </w:rPr>
                  </w:pPr>
                  <w:r>
                    <w:rPr>
                      <w:color w:val="auto"/>
                      <w:kern w:val="0"/>
                      <w:sz w:val="18"/>
                      <w:szCs w:val="18"/>
                      <w:highlight w:val="none"/>
                      <w:lang w:bidi="ar"/>
                    </w:rPr>
                    <w:t>粗破</w:t>
                  </w:r>
                </w:p>
              </w:tc>
              <w:tc>
                <w:tcPr>
                  <w:tcW w:w="1264" w:type="pct"/>
                  <w:tcBorders>
                    <w:tl2br w:val="nil"/>
                    <w:tr2bl w:val="nil"/>
                  </w:tcBorders>
                  <w:noWrap/>
                  <w:vAlign w:val="center"/>
                </w:tcPr>
                <w:p w14:paraId="257B60A9">
                  <w:pPr>
                    <w:widowControl/>
                    <w:jc w:val="center"/>
                    <w:textAlignment w:val="center"/>
                    <w:rPr>
                      <w:color w:val="auto"/>
                      <w:sz w:val="18"/>
                      <w:szCs w:val="18"/>
                      <w:highlight w:val="none"/>
                    </w:rPr>
                  </w:pPr>
                  <w:r>
                    <w:rPr>
                      <w:color w:val="auto"/>
                      <w:kern w:val="0"/>
                      <w:sz w:val="18"/>
                      <w:szCs w:val="18"/>
                      <w:highlight w:val="none"/>
                      <w:lang w:bidi="ar"/>
                    </w:rPr>
                    <w:t>投料粉尘</w:t>
                  </w:r>
                </w:p>
              </w:tc>
              <w:tc>
                <w:tcPr>
                  <w:tcW w:w="1663" w:type="pct"/>
                  <w:tcBorders>
                    <w:tl2br w:val="nil"/>
                    <w:tr2bl w:val="nil"/>
                  </w:tcBorders>
                  <w:noWrap/>
                  <w:vAlign w:val="center"/>
                </w:tcPr>
                <w:p w14:paraId="5D3E9D9C">
                  <w:pPr>
                    <w:widowControl/>
                    <w:jc w:val="center"/>
                    <w:textAlignment w:val="center"/>
                    <w:rPr>
                      <w:color w:val="auto"/>
                      <w:sz w:val="18"/>
                      <w:szCs w:val="18"/>
                      <w:highlight w:val="none"/>
                    </w:rPr>
                  </w:pPr>
                  <w:r>
                    <w:rPr>
                      <w:color w:val="auto"/>
                      <w:kern w:val="0"/>
                      <w:sz w:val="18"/>
                      <w:szCs w:val="18"/>
                      <w:highlight w:val="none"/>
                      <w:lang w:bidi="ar"/>
                    </w:rPr>
                    <w:t>颗粒物</w:t>
                  </w:r>
                </w:p>
              </w:tc>
            </w:tr>
            <w:tr w14:paraId="7222FFF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 w:hRule="atLeast"/>
                <w:jc w:val="center"/>
              </w:trPr>
              <w:tc>
                <w:tcPr>
                  <w:tcW w:w="473" w:type="pct"/>
                  <w:vMerge w:val="continue"/>
                  <w:tcBorders>
                    <w:tl2br w:val="nil"/>
                    <w:tr2bl w:val="nil"/>
                  </w:tcBorders>
                  <w:noWrap/>
                  <w:vAlign w:val="center"/>
                </w:tcPr>
                <w:p w14:paraId="56B63731">
                  <w:pPr>
                    <w:jc w:val="center"/>
                    <w:rPr>
                      <w:color w:val="auto"/>
                      <w:sz w:val="18"/>
                      <w:szCs w:val="18"/>
                      <w:highlight w:val="none"/>
                    </w:rPr>
                  </w:pPr>
                </w:p>
              </w:tc>
              <w:tc>
                <w:tcPr>
                  <w:tcW w:w="387" w:type="pct"/>
                  <w:tcBorders>
                    <w:tl2br w:val="nil"/>
                    <w:tr2bl w:val="nil"/>
                  </w:tcBorders>
                  <w:noWrap/>
                  <w:vAlign w:val="center"/>
                </w:tcPr>
                <w:p w14:paraId="13EC6E01">
                  <w:pPr>
                    <w:widowControl/>
                    <w:jc w:val="center"/>
                    <w:textAlignment w:val="center"/>
                    <w:rPr>
                      <w:color w:val="auto"/>
                      <w:sz w:val="18"/>
                      <w:szCs w:val="18"/>
                      <w:highlight w:val="none"/>
                    </w:rPr>
                  </w:pPr>
                  <w:r>
                    <w:rPr>
                      <w:color w:val="auto"/>
                      <w:kern w:val="0"/>
                      <w:sz w:val="18"/>
                      <w:szCs w:val="18"/>
                      <w:highlight w:val="none"/>
                      <w:lang w:bidi="ar"/>
                    </w:rPr>
                    <w:t>G5</w:t>
                  </w:r>
                </w:p>
              </w:tc>
              <w:tc>
                <w:tcPr>
                  <w:tcW w:w="448" w:type="pct"/>
                  <w:vMerge w:val="continue"/>
                  <w:tcBorders>
                    <w:tl2br w:val="nil"/>
                    <w:tr2bl w:val="nil"/>
                  </w:tcBorders>
                  <w:vAlign w:val="center"/>
                </w:tcPr>
                <w:p w14:paraId="56504AF8">
                  <w:pPr>
                    <w:jc w:val="center"/>
                    <w:rPr>
                      <w:color w:val="auto"/>
                      <w:sz w:val="18"/>
                      <w:szCs w:val="18"/>
                      <w:highlight w:val="none"/>
                    </w:rPr>
                  </w:pPr>
                </w:p>
              </w:tc>
              <w:tc>
                <w:tcPr>
                  <w:tcW w:w="762" w:type="pct"/>
                  <w:tcBorders>
                    <w:tl2br w:val="nil"/>
                    <w:tr2bl w:val="nil"/>
                  </w:tcBorders>
                  <w:noWrap/>
                  <w:vAlign w:val="center"/>
                </w:tcPr>
                <w:p w14:paraId="57A8128F">
                  <w:pPr>
                    <w:widowControl/>
                    <w:jc w:val="center"/>
                    <w:textAlignment w:val="center"/>
                    <w:rPr>
                      <w:color w:val="auto"/>
                      <w:sz w:val="18"/>
                      <w:szCs w:val="18"/>
                      <w:highlight w:val="none"/>
                    </w:rPr>
                  </w:pPr>
                  <w:r>
                    <w:rPr>
                      <w:color w:val="auto"/>
                      <w:kern w:val="0"/>
                      <w:sz w:val="18"/>
                      <w:szCs w:val="18"/>
                      <w:highlight w:val="none"/>
                      <w:lang w:bidi="ar"/>
                    </w:rPr>
                    <w:t>粗破</w:t>
                  </w:r>
                </w:p>
              </w:tc>
              <w:tc>
                <w:tcPr>
                  <w:tcW w:w="1264" w:type="pct"/>
                  <w:tcBorders>
                    <w:tl2br w:val="nil"/>
                    <w:tr2bl w:val="nil"/>
                  </w:tcBorders>
                  <w:noWrap/>
                  <w:vAlign w:val="center"/>
                </w:tcPr>
                <w:p w14:paraId="148C1A95">
                  <w:pPr>
                    <w:widowControl/>
                    <w:jc w:val="center"/>
                    <w:textAlignment w:val="center"/>
                    <w:rPr>
                      <w:color w:val="auto"/>
                      <w:sz w:val="18"/>
                      <w:szCs w:val="18"/>
                      <w:highlight w:val="none"/>
                    </w:rPr>
                  </w:pPr>
                  <w:r>
                    <w:rPr>
                      <w:color w:val="auto"/>
                      <w:kern w:val="0"/>
                      <w:sz w:val="18"/>
                      <w:szCs w:val="18"/>
                      <w:highlight w:val="none"/>
                      <w:lang w:bidi="ar"/>
                    </w:rPr>
                    <w:t>粗破粉尘</w:t>
                  </w:r>
                </w:p>
              </w:tc>
              <w:tc>
                <w:tcPr>
                  <w:tcW w:w="1663" w:type="pct"/>
                  <w:tcBorders>
                    <w:tl2br w:val="nil"/>
                    <w:tr2bl w:val="nil"/>
                  </w:tcBorders>
                  <w:noWrap/>
                  <w:vAlign w:val="center"/>
                </w:tcPr>
                <w:p w14:paraId="69A3C60B">
                  <w:pPr>
                    <w:widowControl/>
                    <w:jc w:val="center"/>
                    <w:textAlignment w:val="center"/>
                    <w:rPr>
                      <w:color w:val="auto"/>
                      <w:sz w:val="18"/>
                      <w:szCs w:val="18"/>
                      <w:highlight w:val="none"/>
                    </w:rPr>
                  </w:pPr>
                  <w:r>
                    <w:rPr>
                      <w:color w:val="auto"/>
                      <w:kern w:val="0"/>
                      <w:sz w:val="18"/>
                      <w:szCs w:val="18"/>
                      <w:highlight w:val="none"/>
                      <w:lang w:bidi="ar"/>
                    </w:rPr>
                    <w:t>颗粒物</w:t>
                  </w:r>
                </w:p>
              </w:tc>
            </w:tr>
            <w:tr w14:paraId="516C179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 w:hRule="atLeast"/>
                <w:jc w:val="center"/>
              </w:trPr>
              <w:tc>
                <w:tcPr>
                  <w:tcW w:w="473" w:type="pct"/>
                  <w:vMerge w:val="continue"/>
                  <w:tcBorders>
                    <w:tl2br w:val="nil"/>
                    <w:tr2bl w:val="nil"/>
                  </w:tcBorders>
                  <w:noWrap/>
                  <w:vAlign w:val="center"/>
                </w:tcPr>
                <w:p w14:paraId="66A56B50">
                  <w:pPr>
                    <w:jc w:val="center"/>
                    <w:rPr>
                      <w:color w:val="auto"/>
                      <w:sz w:val="18"/>
                      <w:szCs w:val="18"/>
                      <w:highlight w:val="none"/>
                    </w:rPr>
                  </w:pPr>
                </w:p>
              </w:tc>
              <w:tc>
                <w:tcPr>
                  <w:tcW w:w="387" w:type="pct"/>
                  <w:tcBorders>
                    <w:tl2br w:val="nil"/>
                    <w:tr2bl w:val="nil"/>
                  </w:tcBorders>
                  <w:noWrap/>
                  <w:vAlign w:val="center"/>
                </w:tcPr>
                <w:p w14:paraId="2A87D7BB">
                  <w:pPr>
                    <w:widowControl/>
                    <w:jc w:val="center"/>
                    <w:textAlignment w:val="center"/>
                    <w:rPr>
                      <w:color w:val="auto"/>
                      <w:sz w:val="18"/>
                      <w:szCs w:val="18"/>
                      <w:highlight w:val="none"/>
                    </w:rPr>
                  </w:pPr>
                  <w:r>
                    <w:rPr>
                      <w:color w:val="auto"/>
                      <w:kern w:val="0"/>
                      <w:sz w:val="18"/>
                      <w:szCs w:val="18"/>
                      <w:highlight w:val="none"/>
                      <w:lang w:bidi="ar"/>
                    </w:rPr>
                    <w:t>G6</w:t>
                  </w:r>
                </w:p>
              </w:tc>
              <w:tc>
                <w:tcPr>
                  <w:tcW w:w="448" w:type="pct"/>
                  <w:vMerge w:val="continue"/>
                  <w:tcBorders>
                    <w:tl2br w:val="nil"/>
                    <w:tr2bl w:val="nil"/>
                  </w:tcBorders>
                  <w:vAlign w:val="center"/>
                </w:tcPr>
                <w:p w14:paraId="39C1F198">
                  <w:pPr>
                    <w:jc w:val="center"/>
                    <w:rPr>
                      <w:color w:val="auto"/>
                      <w:sz w:val="18"/>
                      <w:szCs w:val="18"/>
                      <w:highlight w:val="none"/>
                    </w:rPr>
                  </w:pPr>
                </w:p>
              </w:tc>
              <w:tc>
                <w:tcPr>
                  <w:tcW w:w="762" w:type="pct"/>
                  <w:tcBorders>
                    <w:tl2br w:val="nil"/>
                    <w:tr2bl w:val="nil"/>
                  </w:tcBorders>
                  <w:noWrap/>
                  <w:vAlign w:val="center"/>
                </w:tcPr>
                <w:p w14:paraId="236B3926">
                  <w:pPr>
                    <w:widowControl/>
                    <w:jc w:val="center"/>
                    <w:textAlignment w:val="center"/>
                    <w:rPr>
                      <w:color w:val="auto"/>
                      <w:sz w:val="18"/>
                      <w:szCs w:val="18"/>
                      <w:highlight w:val="none"/>
                    </w:rPr>
                  </w:pPr>
                  <w:r>
                    <w:rPr>
                      <w:color w:val="auto"/>
                      <w:kern w:val="0"/>
                      <w:sz w:val="18"/>
                      <w:szCs w:val="18"/>
                      <w:highlight w:val="none"/>
                      <w:lang w:bidi="ar"/>
                    </w:rPr>
                    <w:t>气流粉碎</w:t>
                  </w:r>
                </w:p>
              </w:tc>
              <w:tc>
                <w:tcPr>
                  <w:tcW w:w="1264" w:type="pct"/>
                  <w:tcBorders>
                    <w:tl2br w:val="nil"/>
                    <w:tr2bl w:val="nil"/>
                  </w:tcBorders>
                  <w:noWrap/>
                  <w:vAlign w:val="center"/>
                </w:tcPr>
                <w:p w14:paraId="27A35FA6">
                  <w:pPr>
                    <w:widowControl/>
                    <w:jc w:val="center"/>
                    <w:textAlignment w:val="center"/>
                    <w:rPr>
                      <w:color w:val="auto"/>
                      <w:sz w:val="18"/>
                      <w:szCs w:val="18"/>
                      <w:highlight w:val="none"/>
                    </w:rPr>
                  </w:pPr>
                  <w:r>
                    <w:rPr>
                      <w:color w:val="auto"/>
                      <w:kern w:val="0"/>
                      <w:sz w:val="18"/>
                      <w:szCs w:val="18"/>
                      <w:highlight w:val="none"/>
                      <w:lang w:bidi="ar"/>
                    </w:rPr>
                    <w:t>投料粉尘</w:t>
                  </w:r>
                </w:p>
              </w:tc>
              <w:tc>
                <w:tcPr>
                  <w:tcW w:w="1663" w:type="pct"/>
                  <w:tcBorders>
                    <w:tl2br w:val="nil"/>
                    <w:tr2bl w:val="nil"/>
                  </w:tcBorders>
                  <w:noWrap/>
                  <w:vAlign w:val="center"/>
                </w:tcPr>
                <w:p w14:paraId="3A944868">
                  <w:pPr>
                    <w:widowControl/>
                    <w:jc w:val="center"/>
                    <w:textAlignment w:val="center"/>
                    <w:rPr>
                      <w:color w:val="auto"/>
                      <w:sz w:val="18"/>
                      <w:szCs w:val="18"/>
                      <w:highlight w:val="none"/>
                    </w:rPr>
                  </w:pPr>
                  <w:r>
                    <w:rPr>
                      <w:color w:val="auto"/>
                      <w:kern w:val="0"/>
                      <w:sz w:val="18"/>
                      <w:szCs w:val="18"/>
                      <w:highlight w:val="none"/>
                      <w:lang w:bidi="ar"/>
                    </w:rPr>
                    <w:t>颗粒物</w:t>
                  </w:r>
                </w:p>
              </w:tc>
            </w:tr>
            <w:tr w14:paraId="446BAC1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 w:hRule="atLeast"/>
                <w:jc w:val="center"/>
              </w:trPr>
              <w:tc>
                <w:tcPr>
                  <w:tcW w:w="473" w:type="pct"/>
                  <w:vMerge w:val="continue"/>
                  <w:tcBorders>
                    <w:tl2br w:val="nil"/>
                    <w:tr2bl w:val="nil"/>
                  </w:tcBorders>
                  <w:noWrap/>
                  <w:vAlign w:val="center"/>
                </w:tcPr>
                <w:p w14:paraId="646ACC25">
                  <w:pPr>
                    <w:jc w:val="center"/>
                    <w:rPr>
                      <w:color w:val="auto"/>
                      <w:sz w:val="18"/>
                      <w:szCs w:val="18"/>
                      <w:highlight w:val="none"/>
                    </w:rPr>
                  </w:pPr>
                </w:p>
              </w:tc>
              <w:tc>
                <w:tcPr>
                  <w:tcW w:w="387" w:type="pct"/>
                  <w:tcBorders>
                    <w:tl2br w:val="nil"/>
                    <w:tr2bl w:val="nil"/>
                  </w:tcBorders>
                  <w:noWrap/>
                  <w:vAlign w:val="center"/>
                </w:tcPr>
                <w:p w14:paraId="78D677B5">
                  <w:pPr>
                    <w:widowControl/>
                    <w:jc w:val="center"/>
                    <w:textAlignment w:val="center"/>
                    <w:rPr>
                      <w:color w:val="auto"/>
                      <w:sz w:val="18"/>
                      <w:szCs w:val="18"/>
                      <w:highlight w:val="none"/>
                    </w:rPr>
                  </w:pPr>
                  <w:r>
                    <w:rPr>
                      <w:color w:val="auto"/>
                      <w:kern w:val="0"/>
                      <w:sz w:val="18"/>
                      <w:szCs w:val="18"/>
                      <w:highlight w:val="none"/>
                      <w:lang w:bidi="ar"/>
                    </w:rPr>
                    <w:t>G7</w:t>
                  </w:r>
                </w:p>
              </w:tc>
              <w:tc>
                <w:tcPr>
                  <w:tcW w:w="448" w:type="pct"/>
                  <w:vMerge w:val="continue"/>
                  <w:tcBorders>
                    <w:tl2br w:val="nil"/>
                    <w:tr2bl w:val="nil"/>
                  </w:tcBorders>
                  <w:vAlign w:val="center"/>
                </w:tcPr>
                <w:p w14:paraId="43657D63">
                  <w:pPr>
                    <w:jc w:val="center"/>
                    <w:rPr>
                      <w:color w:val="auto"/>
                      <w:sz w:val="18"/>
                      <w:szCs w:val="18"/>
                      <w:highlight w:val="none"/>
                    </w:rPr>
                  </w:pPr>
                </w:p>
              </w:tc>
              <w:tc>
                <w:tcPr>
                  <w:tcW w:w="762" w:type="pct"/>
                  <w:tcBorders>
                    <w:tl2br w:val="nil"/>
                    <w:tr2bl w:val="nil"/>
                  </w:tcBorders>
                  <w:noWrap/>
                  <w:vAlign w:val="center"/>
                </w:tcPr>
                <w:p w14:paraId="534524C8">
                  <w:pPr>
                    <w:widowControl/>
                    <w:jc w:val="center"/>
                    <w:textAlignment w:val="center"/>
                    <w:rPr>
                      <w:color w:val="auto"/>
                      <w:sz w:val="18"/>
                      <w:szCs w:val="18"/>
                      <w:highlight w:val="none"/>
                    </w:rPr>
                  </w:pPr>
                  <w:r>
                    <w:rPr>
                      <w:color w:val="auto"/>
                      <w:kern w:val="0"/>
                      <w:sz w:val="18"/>
                      <w:szCs w:val="18"/>
                      <w:highlight w:val="none"/>
                      <w:lang w:bidi="ar"/>
                    </w:rPr>
                    <w:t>气流粉碎</w:t>
                  </w:r>
                </w:p>
              </w:tc>
              <w:tc>
                <w:tcPr>
                  <w:tcW w:w="1264" w:type="pct"/>
                  <w:tcBorders>
                    <w:tl2br w:val="nil"/>
                    <w:tr2bl w:val="nil"/>
                  </w:tcBorders>
                  <w:noWrap/>
                  <w:vAlign w:val="center"/>
                </w:tcPr>
                <w:p w14:paraId="4981B678">
                  <w:pPr>
                    <w:widowControl/>
                    <w:jc w:val="center"/>
                    <w:textAlignment w:val="center"/>
                    <w:rPr>
                      <w:color w:val="auto"/>
                      <w:sz w:val="18"/>
                      <w:szCs w:val="18"/>
                      <w:highlight w:val="none"/>
                    </w:rPr>
                  </w:pPr>
                  <w:r>
                    <w:rPr>
                      <w:color w:val="auto"/>
                      <w:kern w:val="0"/>
                      <w:sz w:val="18"/>
                      <w:szCs w:val="18"/>
                      <w:highlight w:val="none"/>
                      <w:lang w:bidi="ar"/>
                    </w:rPr>
                    <w:t>气粉粉尘</w:t>
                  </w:r>
                </w:p>
              </w:tc>
              <w:tc>
                <w:tcPr>
                  <w:tcW w:w="1663" w:type="pct"/>
                  <w:tcBorders>
                    <w:tl2br w:val="nil"/>
                    <w:tr2bl w:val="nil"/>
                  </w:tcBorders>
                  <w:noWrap/>
                  <w:vAlign w:val="center"/>
                </w:tcPr>
                <w:p w14:paraId="756277DC">
                  <w:pPr>
                    <w:widowControl/>
                    <w:jc w:val="center"/>
                    <w:textAlignment w:val="center"/>
                    <w:rPr>
                      <w:color w:val="auto"/>
                      <w:sz w:val="18"/>
                      <w:szCs w:val="18"/>
                      <w:highlight w:val="none"/>
                    </w:rPr>
                  </w:pPr>
                  <w:r>
                    <w:rPr>
                      <w:color w:val="auto"/>
                      <w:kern w:val="0"/>
                      <w:sz w:val="18"/>
                      <w:szCs w:val="18"/>
                      <w:highlight w:val="none"/>
                      <w:lang w:bidi="ar"/>
                    </w:rPr>
                    <w:t>颗粒物</w:t>
                  </w:r>
                </w:p>
              </w:tc>
            </w:tr>
            <w:tr w14:paraId="337A74F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 w:hRule="atLeast"/>
                <w:jc w:val="center"/>
              </w:trPr>
              <w:tc>
                <w:tcPr>
                  <w:tcW w:w="473" w:type="pct"/>
                  <w:vMerge w:val="continue"/>
                  <w:tcBorders>
                    <w:tl2br w:val="nil"/>
                    <w:tr2bl w:val="nil"/>
                  </w:tcBorders>
                  <w:noWrap/>
                  <w:vAlign w:val="center"/>
                </w:tcPr>
                <w:p w14:paraId="0951AC43">
                  <w:pPr>
                    <w:jc w:val="center"/>
                    <w:rPr>
                      <w:color w:val="auto"/>
                      <w:sz w:val="18"/>
                      <w:szCs w:val="18"/>
                      <w:highlight w:val="none"/>
                    </w:rPr>
                  </w:pPr>
                </w:p>
              </w:tc>
              <w:tc>
                <w:tcPr>
                  <w:tcW w:w="387" w:type="pct"/>
                  <w:tcBorders>
                    <w:tl2br w:val="nil"/>
                    <w:tr2bl w:val="nil"/>
                  </w:tcBorders>
                  <w:noWrap/>
                  <w:vAlign w:val="center"/>
                </w:tcPr>
                <w:p w14:paraId="62B35C54">
                  <w:pPr>
                    <w:widowControl/>
                    <w:jc w:val="center"/>
                    <w:textAlignment w:val="center"/>
                    <w:rPr>
                      <w:color w:val="auto"/>
                      <w:sz w:val="18"/>
                      <w:szCs w:val="18"/>
                      <w:highlight w:val="none"/>
                    </w:rPr>
                  </w:pPr>
                  <w:r>
                    <w:rPr>
                      <w:color w:val="auto"/>
                      <w:kern w:val="0"/>
                      <w:sz w:val="18"/>
                      <w:szCs w:val="18"/>
                      <w:highlight w:val="none"/>
                      <w:lang w:bidi="ar"/>
                    </w:rPr>
                    <w:t>G8</w:t>
                  </w:r>
                </w:p>
              </w:tc>
              <w:tc>
                <w:tcPr>
                  <w:tcW w:w="448" w:type="pct"/>
                  <w:vMerge w:val="continue"/>
                  <w:tcBorders>
                    <w:tl2br w:val="nil"/>
                    <w:tr2bl w:val="nil"/>
                  </w:tcBorders>
                  <w:vAlign w:val="center"/>
                </w:tcPr>
                <w:p w14:paraId="3AD253E8">
                  <w:pPr>
                    <w:jc w:val="center"/>
                    <w:rPr>
                      <w:color w:val="auto"/>
                      <w:sz w:val="18"/>
                      <w:szCs w:val="18"/>
                      <w:highlight w:val="none"/>
                    </w:rPr>
                  </w:pPr>
                </w:p>
              </w:tc>
              <w:tc>
                <w:tcPr>
                  <w:tcW w:w="762" w:type="pct"/>
                  <w:tcBorders>
                    <w:tl2br w:val="nil"/>
                    <w:tr2bl w:val="nil"/>
                  </w:tcBorders>
                  <w:noWrap/>
                  <w:vAlign w:val="center"/>
                </w:tcPr>
                <w:p w14:paraId="143C08BD">
                  <w:pPr>
                    <w:widowControl/>
                    <w:jc w:val="center"/>
                    <w:textAlignment w:val="center"/>
                    <w:rPr>
                      <w:color w:val="auto"/>
                      <w:sz w:val="18"/>
                      <w:szCs w:val="18"/>
                      <w:highlight w:val="none"/>
                    </w:rPr>
                  </w:pPr>
                  <w:r>
                    <w:rPr>
                      <w:color w:val="auto"/>
                      <w:kern w:val="0"/>
                      <w:sz w:val="18"/>
                      <w:szCs w:val="18"/>
                      <w:highlight w:val="none"/>
                      <w:lang w:bidi="ar"/>
                    </w:rPr>
                    <w:t>振动筛分</w:t>
                  </w:r>
                </w:p>
              </w:tc>
              <w:tc>
                <w:tcPr>
                  <w:tcW w:w="1264" w:type="pct"/>
                  <w:tcBorders>
                    <w:tl2br w:val="nil"/>
                    <w:tr2bl w:val="nil"/>
                  </w:tcBorders>
                  <w:noWrap/>
                  <w:vAlign w:val="center"/>
                </w:tcPr>
                <w:p w14:paraId="56C5872C">
                  <w:pPr>
                    <w:widowControl/>
                    <w:jc w:val="center"/>
                    <w:textAlignment w:val="center"/>
                    <w:rPr>
                      <w:color w:val="auto"/>
                      <w:sz w:val="18"/>
                      <w:szCs w:val="18"/>
                      <w:highlight w:val="none"/>
                    </w:rPr>
                  </w:pPr>
                  <w:r>
                    <w:rPr>
                      <w:color w:val="auto"/>
                      <w:kern w:val="0"/>
                      <w:sz w:val="18"/>
                      <w:szCs w:val="18"/>
                      <w:highlight w:val="none"/>
                      <w:lang w:bidi="ar"/>
                    </w:rPr>
                    <w:t>投料粉尘</w:t>
                  </w:r>
                </w:p>
              </w:tc>
              <w:tc>
                <w:tcPr>
                  <w:tcW w:w="1663" w:type="pct"/>
                  <w:tcBorders>
                    <w:tl2br w:val="nil"/>
                    <w:tr2bl w:val="nil"/>
                  </w:tcBorders>
                  <w:noWrap/>
                  <w:vAlign w:val="center"/>
                </w:tcPr>
                <w:p w14:paraId="300598C1">
                  <w:pPr>
                    <w:widowControl/>
                    <w:jc w:val="center"/>
                    <w:textAlignment w:val="center"/>
                    <w:rPr>
                      <w:color w:val="auto"/>
                      <w:sz w:val="18"/>
                      <w:szCs w:val="18"/>
                      <w:highlight w:val="none"/>
                    </w:rPr>
                  </w:pPr>
                  <w:r>
                    <w:rPr>
                      <w:color w:val="auto"/>
                      <w:kern w:val="0"/>
                      <w:sz w:val="18"/>
                      <w:szCs w:val="18"/>
                      <w:highlight w:val="none"/>
                      <w:lang w:bidi="ar"/>
                    </w:rPr>
                    <w:t>颗粒物</w:t>
                  </w:r>
                </w:p>
              </w:tc>
            </w:tr>
            <w:tr w14:paraId="3A636B0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 w:hRule="atLeast"/>
                <w:jc w:val="center"/>
              </w:trPr>
              <w:tc>
                <w:tcPr>
                  <w:tcW w:w="473" w:type="pct"/>
                  <w:vMerge w:val="continue"/>
                  <w:tcBorders>
                    <w:tl2br w:val="nil"/>
                    <w:tr2bl w:val="nil"/>
                  </w:tcBorders>
                  <w:noWrap/>
                  <w:vAlign w:val="center"/>
                </w:tcPr>
                <w:p w14:paraId="7AFBBC74">
                  <w:pPr>
                    <w:jc w:val="center"/>
                    <w:rPr>
                      <w:color w:val="auto"/>
                      <w:sz w:val="18"/>
                      <w:szCs w:val="18"/>
                      <w:highlight w:val="none"/>
                    </w:rPr>
                  </w:pPr>
                </w:p>
              </w:tc>
              <w:tc>
                <w:tcPr>
                  <w:tcW w:w="387" w:type="pct"/>
                  <w:tcBorders>
                    <w:tl2br w:val="nil"/>
                    <w:tr2bl w:val="nil"/>
                  </w:tcBorders>
                  <w:noWrap/>
                  <w:vAlign w:val="center"/>
                </w:tcPr>
                <w:p w14:paraId="63102E26">
                  <w:pPr>
                    <w:widowControl/>
                    <w:jc w:val="center"/>
                    <w:textAlignment w:val="center"/>
                    <w:rPr>
                      <w:color w:val="auto"/>
                      <w:sz w:val="18"/>
                      <w:szCs w:val="18"/>
                      <w:highlight w:val="none"/>
                    </w:rPr>
                  </w:pPr>
                  <w:r>
                    <w:rPr>
                      <w:color w:val="auto"/>
                      <w:kern w:val="0"/>
                      <w:sz w:val="18"/>
                      <w:szCs w:val="18"/>
                      <w:highlight w:val="none"/>
                      <w:lang w:bidi="ar"/>
                    </w:rPr>
                    <w:t>G9</w:t>
                  </w:r>
                </w:p>
              </w:tc>
              <w:tc>
                <w:tcPr>
                  <w:tcW w:w="448" w:type="pct"/>
                  <w:vMerge w:val="continue"/>
                  <w:tcBorders>
                    <w:tl2br w:val="nil"/>
                    <w:tr2bl w:val="nil"/>
                  </w:tcBorders>
                  <w:vAlign w:val="center"/>
                </w:tcPr>
                <w:p w14:paraId="1B638088">
                  <w:pPr>
                    <w:jc w:val="center"/>
                    <w:rPr>
                      <w:color w:val="auto"/>
                      <w:sz w:val="18"/>
                      <w:szCs w:val="18"/>
                      <w:highlight w:val="none"/>
                    </w:rPr>
                  </w:pPr>
                </w:p>
              </w:tc>
              <w:tc>
                <w:tcPr>
                  <w:tcW w:w="762" w:type="pct"/>
                  <w:tcBorders>
                    <w:tl2br w:val="nil"/>
                    <w:tr2bl w:val="nil"/>
                  </w:tcBorders>
                  <w:noWrap/>
                  <w:vAlign w:val="center"/>
                </w:tcPr>
                <w:p w14:paraId="195A92D3">
                  <w:pPr>
                    <w:widowControl/>
                    <w:jc w:val="center"/>
                    <w:textAlignment w:val="center"/>
                    <w:rPr>
                      <w:color w:val="auto"/>
                      <w:sz w:val="18"/>
                      <w:szCs w:val="18"/>
                      <w:highlight w:val="none"/>
                    </w:rPr>
                  </w:pPr>
                  <w:r>
                    <w:rPr>
                      <w:color w:val="auto"/>
                      <w:kern w:val="0"/>
                      <w:sz w:val="18"/>
                      <w:szCs w:val="18"/>
                      <w:highlight w:val="none"/>
                      <w:lang w:bidi="ar"/>
                    </w:rPr>
                    <w:t>振动筛分</w:t>
                  </w:r>
                </w:p>
              </w:tc>
              <w:tc>
                <w:tcPr>
                  <w:tcW w:w="1264" w:type="pct"/>
                  <w:tcBorders>
                    <w:tl2br w:val="nil"/>
                    <w:tr2bl w:val="nil"/>
                  </w:tcBorders>
                  <w:noWrap/>
                  <w:vAlign w:val="center"/>
                </w:tcPr>
                <w:p w14:paraId="48493C12">
                  <w:pPr>
                    <w:widowControl/>
                    <w:jc w:val="center"/>
                    <w:textAlignment w:val="center"/>
                    <w:rPr>
                      <w:color w:val="auto"/>
                      <w:sz w:val="18"/>
                      <w:szCs w:val="18"/>
                      <w:highlight w:val="none"/>
                    </w:rPr>
                  </w:pPr>
                  <w:r>
                    <w:rPr>
                      <w:color w:val="auto"/>
                      <w:kern w:val="0"/>
                      <w:sz w:val="18"/>
                      <w:szCs w:val="18"/>
                      <w:highlight w:val="none"/>
                      <w:lang w:bidi="ar"/>
                    </w:rPr>
                    <w:t>筛分粉尘</w:t>
                  </w:r>
                </w:p>
              </w:tc>
              <w:tc>
                <w:tcPr>
                  <w:tcW w:w="1663" w:type="pct"/>
                  <w:tcBorders>
                    <w:tl2br w:val="nil"/>
                    <w:tr2bl w:val="nil"/>
                  </w:tcBorders>
                  <w:noWrap/>
                  <w:vAlign w:val="center"/>
                </w:tcPr>
                <w:p w14:paraId="72DD28D9">
                  <w:pPr>
                    <w:widowControl/>
                    <w:jc w:val="center"/>
                    <w:textAlignment w:val="center"/>
                    <w:rPr>
                      <w:color w:val="auto"/>
                      <w:sz w:val="18"/>
                      <w:szCs w:val="18"/>
                      <w:highlight w:val="none"/>
                    </w:rPr>
                  </w:pPr>
                  <w:r>
                    <w:rPr>
                      <w:color w:val="auto"/>
                      <w:kern w:val="0"/>
                      <w:sz w:val="18"/>
                      <w:szCs w:val="18"/>
                      <w:highlight w:val="none"/>
                      <w:lang w:bidi="ar"/>
                    </w:rPr>
                    <w:t>颗粒物</w:t>
                  </w:r>
                </w:p>
              </w:tc>
            </w:tr>
            <w:tr w14:paraId="36373CE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 w:hRule="atLeast"/>
                <w:jc w:val="center"/>
              </w:trPr>
              <w:tc>
                <w:tcPr>
                  <w:tcW w:w="473" w:type="pct"/>
                  <w:vMerge w:val="continue"/>
                  <w:tcBorders>
                    <w:tl2br w:val="nil"/>
                    <w:tr2bl w:val="nil"/>
                  </w:tcBorders>
                  <w:noWrap/>
                  <w:vAlign w:val="center"/>
                </w:tcPr>
                <w:p w14:paraId="2E901D22">
                  <w:pPr>
                    <w:jc w:val="center"/>
                    <w:rPr>
                      <w:color w:val="auto"/>
                      <w:sz w:val="18"/>
                      <w:szCs w:val="18"/>
                      <w:highlight w:val="none"/>
                    </w:rPr>
                  </w:pPr>
                </w:p>
              </w:tc>
              <w:tc>
                <w:tcPr>
                  <w:tcW w:w="387" w:type="pct"/>
                  <w:tcBorders>
                    <w:tl2br w:val="nil"/>
                    <w:tr2bl w:val="nil"/>
                  </w:tcBorders>
                  <w:noWrap/>
                  <w:vAlign w:val="center"/>
                </w:tcPr>
                <w:p w14:paraId="79014651">
                  <w:pPr>
                    <w:widowControl/>
                    <w:jc w:val="center"/>
                    <w:textAlignment w:val="center"/>
                    <w:rPr>
                      <w:color w:val="auto"/>
                      <w:sz w:val="18"/>
                      <w:szCs w:val="18"/>
                      <w:highlight w:val="none"/>
                    </w:rPr>
                  </w:pPr>
                  <w:r>
                    <w:rPr>
                      <w:color w:val="auto"/>
                      <w:kern w:val="0"/>
                      <w:sz w:val="18"/>
                      <w:szCs w:val="18"/>
                      <w:highlight w:val="none"/>
                      <w:lang w:bidi="ar"/>
                    </w:rPr>
                    <w:t>G10</w:t>
                  </w:r>
                </w:p>
              </w:tc>
              <w:tc>
                <w:tcPr>
                  <w:tcW w:w="448" w:type="pct"/>
                  <w:tcBorders>
                    <w:tl2br w:val="nil"/>
                    <w:tr2bl w:val="nil"/>
                  </w:tcBorders>
                  <w:vAlign w:val="center"/>
                </w:tcPr>
                <w:p w14:paraId="5E4EA112">
                  <w:pPr>
                    <w:widowControl/>
                    <w:jc w:val="center"/>
                    <w:textAlignment w:val="center"/>
                    <w:rPr>
                      <w:color w:val="auto"/>
                      <w:sz w:val="18"/>
                      <w:szCs w:val="18"/>
                      <w:highlight w:val="none"/>
                    </w:rPr>
                  </w:pPr>
                  <w:r>
                    <w:rPr>
                      <w:color w:val="auto"/>
                      <w:kern w:val="0"/>
                      <w:sz w:val="18"/>
                      <w:szCs w:val="18"/>
                      <w:highlight w:val="none"/>
                      <w:lang w:bidi="ar"/>
                    </w:rPr>
                    <w:t>扣电组装测试</w:t>
                  </w:r>
                </w:p>
              </w:tc>
              <w:tc>
                <w:tcPr>
                  <w:tcW w:w="762" w:type="pct"/>
                  <w:tcBorders>
                    <w:tl2br w:val="nil"/>
                    <w:tr2bl w:val="nil"/>
                  </w:tcBorders>
                  <w:noWrap/>
                  <w:vAlign w:val="center"/>
                </w:tcPr>
                <w:p w14:paraId="56C3C5A6">
                  <w:pPr>
                    <w:widowControl/>
                    <w:jc w:val="center"/>
                    <w:textAlignment w:val="center"/>
                    <w:rPr>
                      <w:color w:val="auto"/>
                      <w:sz w:val="18"/>
                      <w:szCs w:val="18"/>
                      <w:highlight w:val="none"/>
                    </w:rPr>
                  </w:pPr>
                  <w:r>
                    <w:rPr>
                      <w:color w:val="auto"/>
                      <w:kern w:val="0"/>
                      <w:sz w:val="18"/>
                      <w:szCs w:val="18"/>
                      <w:highlight w:val="none"/>
                      <w:lang w:bidi="ar"/>
                    </w:rPr>
                    <w:t>涂布干燥</w:t>
                  </w:r>
                </w:p>
              </w:tc>
              <w:tc>
                <w:tcPr>
                  <w:tcW w:w="1264" w:type="pct"/>
                  <w:tcBorders>
                    <w:tl2br w:val="nil"/>
                    <w:tr2bl w:val="nil"/>
                  </w:tcBorders>
                  <w:noWrap/>
                  <w:vAlign w:val="center"/>
                </w:tcPr>
                <w:p w14:paraId="35A491DE">
                  <w:pPr>
                    <w:widowControl/>
                    <w:jc w:val="center"/>
                    <w:textAlignment w:val="center"/>
                    <w:rPr>
                      <w:color w:val="auto"/>
                      <w:sz w:val="18"/>
                      <w:szCs w:val="18"/>
                      <w:highlight w:val="none"/>
                    </w:rPr>
                  </w:pPr>
                  <w:r>
                    <w:rPr>
                      <w:color w:val="auto"/>
                      <w:kern w:val="0"/>
                      <w:sz w:val="18"/>
                      <w:szCs w:val="18"/>
                      <w:highlight w:val="none"/>
                      <w:lang w:bidi="ar"/>
                    </w:rPr>
                    <w:t>涂布废气</w:t>
                  </w:r>
                </w:p>
              </w:tc>
              <w:tc>
                <w:tcPr>
                  <w:tcW w:w="1663" w:type="pct"/>
                  <w:tcBorders>
                    <w:tl2br w:val="nil"/>
                    <w:tr2bl w:val="nil"/>
                  </w:tcBorders>
                  <w:noWrap/>
                  <w:vAlign w:val="center"/>
                </w:tcPr>
                <w:p w14:paraId="01D9E290">
                  <w:pPr>
                    <w:widowControl/>
                    <w:jc w:val="center"/>
                    <w:textAlignment w:val="center"/>
                    <w:rPr>
                      <w:rFonts w:hint="default"/>
                      <w:color w:val="auto"/>
                      <w:sz w:val="18"/>
                      <w:szCs w:val="18"/>
                      <w:highlight w:val="none"/>
                      <w:lang w:val="en-US"/>
                    </w:rPr>
                  </w:pPr>
                  <w:r>
                    <w:rPr>
                      <w:rFonts w:hint="default"/>
                      <w:color w:val="auto"/>
                      <w:kern w:val="0"/>
                      <w:sz w:val="18"/>
                      <w:szCs w:val="18"/>
                      <w:highlight w:val="none"/>
                      <w:lang w:val="en-US" w:eastAsia="zh-CN" w:bidi="ar"/>
                    </w:rPr>
                    <w:t>非甲烷总烃</w:t>
                  </w:r>
                </w:p>
              </w:tc>
            </w:tr>
            <w:tr w14:paraId="31EEFCF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 w:hRule="atLeast"/>
                <w:jc w:val="center"/>
              </w:trPr>
              <w:tc>
                <w:tcPr>
                  <w:tcW w:w="473" w:type="pct"/>
                  <w:vMerge w:val="restart"/>
                  <w:tcBorders>
                    <w:tl2br w:val="nil"/>
                    <w:tr2bl w:val="nil"/>
                  </w:tcBorders>
                  <w:noWrap/>
                  <w:vAlign w:val="center"/>
                </w:tcPr>
                <w:p w14:paraId="74E152BE">
                  <w:pPr>
                    <w:widowControl/>
                    <w:jc w:val="center"/>
                    <w:textAlignment w:val="center"/>
                    <w:rPr>
                      <w:color w:val="auto"/>
                      <w:sz w:val="18"/>
                      <w:szCs w:val="18"/>
                      <w:highlight w:val="none"/>
                    </w:rPr>
                  </w:pPr>
                  <w:r>
                    <w:rPr>
                      <w:color w:val="auto"/>
                      <w:kern w:val="0"/>
                      <w:sz w:val="18"/>
                      <w:szCs w:val="18"/>
                      <w:highlight w:val="none"/>
                      <w:lang w:bidi="ar"/>
                    </w:rPr>
                    <w:t>废水</w:t>
                  </w:r>
                </w:p>
              </w:tc>
              <w:tc>
                <w:tcPr>
                  <w:tcW w:w="387" w:type="pct"/>
                  <w:tcBorders>
                    <w:tl2br w:val="nil"/>
                    <w:tr2bl w:val="nil"/>
                  </w:tcBorders>
                  <w:noWrap/>
                  <w:vAlign w:val="center"/>
                </w:tcPr>
                <w:p w14:paraId="33626275">
                  <w:pPr>
                    <w:widowControl/>
                    <w:jc w:val="center"/>
                    <w:textAlignment w:val="center"/>
                    <w:rPr>
                      <w:color w:val="auto"/>
                      <w:sz w:val="18"/>
                      <w:szCs w:val="18"/>
                      <w:highlight w:val="none"/>
                    </w:rPr>
                  </w:pPr>
                  <w:r>
                    <w:rPr>
                      <w:color w:val="auto"/>
                      <w:kern w:val="0"/>
                      <w:sz w:val="18"/>
                      <w:szCs w:val="18"/>
                      <w:highlight w:val="none"/>
                      <w:lang w:bidi="ar"/>
                    </w:rPr>
                    <w:t>W1</w:t>
                  </w:r>
                </w:p>
              </w:tc>
              <w:tc>
                <w:tcPr>
                  <w:tcW w:w="448" w:type="pct"/>
                  <w:vMerge w:val="restart"/>
                  <w:tcBorders>
                    <w:tl2br w:val="nil"/>
                    <w:tr2bl w:val="nil"/>
                  </w:tcBorders>
                  <w:noWrap/>
                  <w:vAlign w:val="center"/>
                </w:tcPr>
                <w:p w14:paraId="2A65E4B5">
                  <w:pPr>
                    <w:widowControl/>
                    <w:jc w:val="center"/>
                    <w:textAlignment w:val="center"/>
                    <w:rPr>
                      <w:color w:val="auto"/>
                      <w:sz w:val="18"/>
                      <w:szCs w:val="18"/>
                      <w:highlight w:val="none"/>
                    </w:rPr>
                  </w:pPr>
                  <w:r>
                    <w:rPr>
                      <w:color w:val="auto"/>
                      <w:kern w:val="0"/>
                      <w:sz w:val="18"/>
                      <w:szCs w:val="18"/>
                      <w:highlight w:val="none"/>
                      <w:lang w:bidi="ar"/>
                    </w:rPr>
                    <w:t>/</w:t>
                  </w:r>
                </w:p>
              </w:tc>
              <w:tc>
                <w:tcPr>
                  <w:tcW w:w="762" w:type="pct"/>
                  <w:tcBorders>
                    <w:tl2br w:val="nil"/>
                    <w:tr2bl w:val="nil"/>
                  </w:tcBorders>
                  <w:noWrap/>
                  <w:vAlign w:val="center"/>
                </w:tcPr>
                <w:p w14:paraId="4C1259AD">
                  <w:pPr>
                    <w:widowControl/>
                    <w:jc w:val="center"/>
                    <w:textAlignment w:val="center"/>
                    <w:rPr>
                      <w:color w:val="auto"/>
                      <w:sz w:val="18"/>
                      <w:szCs w:val="18"/>
                      <w:highlight w:val="none"/>
                    </w:rPr>
                  </w:pPr>
                  <w:r>
                    <w:rPr>
                      <w:color w:val="auto"/>
                      <w:kern w:val="0"/>
                      <w:sz w:val="18"/>
                      <w:szCs w:val="18"/>
                      <w:highlight w:val="none"/>
                      <w:lang w:bidi="ar"/>
                    </w:rPr>
                    <w:t>砂磨机清洗</w:t>
                  </w:r>
                </w:p>
              </w:tc>
              <w:tc>
                <w:tcPr>
                  <w:tcW w:w="1264" w:type="pct"/>
                  <w:tcBorders>
                    <w:tl2br w:val="nil"/>
                    <w:tr2bl w:val="nil"/>
                  </w:tcBorders>
                  <w:noWrap/>
                  <w:vAlign w:val="center"/>
                </w:tcPr>
                <w:p w14:paraId="4B989920">
                  <w:pPr>
                    <w:widowControl/>
                    <w:jc w:val="center"/>
                    <w:textAlignment w:val="center"/>
                    <w:rPr>
                      <w:color w:val="auto"/>
                      <w:sz w:val="18"/>
                      <w:szCs w:val="18"/>
                      <w:highlight w:val="none"/>
                    </w:rPr>
                  </w:pPr>
                  <w:r>
                    <w:rPr>
                      <w:color w:val="auto"/>
                      <w:kern w:val="0"/>
                      <w:sz w:val="18"/>
                      <w:szCs w:val="18"/>
                      <w:highlight w:val="none"/>
                      <w:lang w:bidi="ar"/>
                    </w:rPr>
                    <w:t>清洗废水</w:t>
                  </w:r>
                </w:p>
              </w:tc>
              <w:tc>
                <w:tcPr>
                  <w:tcW w:w="1663" w:type="pct"/>
                  <w:tcBorders>
                    <w:tl2br w:val="nil"/>
                    <w:tr2bl w:val="nil"/>
                  </w:tcBorders>
                  <w:noWrap/>
                  <w:vAlign w:val="center"/>
                </w:tcPr>
                <w:p w14:paraId="67F2A6E2">
                  <w:pPr>
                    <w:widowControl/>
                    <w:jc w:val="center"/>
                    <w:textAlignment w:val="center"/>
                    <w:rPr>
                      <w:color w:val="auto"/>
                      <w:sz w:val="18"/>
                      <w:szCs w:val="18"/>
                      <w:highlight w:val="none"/>
                    </w:rPr>
                  </w:pPr>
                  <w:r>
                    <w:rPr>
                      <w:color w:val="auto"/>
                      <w:kern w:val="0"/>
                      <w:sz w:val="18"/>
                      <w:szCs w:val="18"/>
                      <w:highlight w:val="none"/>
                      <w:lang w:bidi="ar"/>
                    </w:rPr>
                    <w:t>COD</w:t>
                  </w:r>
                  <w:r>
                    <w:rPr>
                      <w:rFonts w:hint="default"/>
                      <w:color w:val="auto"/>
                      <w:kern w:val="0"/>
                      <w:sz w:val="18"/>
                      <w:szCs w:val="18"/>
                      <w:highlight w:val="none"/>
                      <w:vertAlign w:val="subscript"/>
                      <w:lang w:bidi="ar"/>
                    </w:rPr>
                    <w:t>C</w:t>
                  </w:r>
                  <w:r>
                    <w:rPr>
                      <w:color w:val="auto"/>
                      <w:kern w:val="0"/>
                      <w:sz w:val="18"/>
                      <w:szCs w:val="18"/>
                      <w:highlight w:val="none"/>
                      <w:vertAlign w:val="subscript"/>
                      <w:lang w:bidi="ar"/>
                    </w:rPr>
                    <w:t>r</w:t>
                  </w:r>
                  <w:r>
                    <w:rPr>
                      <w:color w:val="auto"/>
                      <w:kern w:val="0"/>
                      <w:sz w:val="18"/>
                      <w:szCs w:val="18"/>
                      <w:highlight w:val="none"/>
                      <w:lang w:bidi="ar"/>
                    </w:rPr>
                    <w:t>、SS、TP、盐类</w:t>
                  </w:r>
                </w:p>
              </w:tc>
            </w:tr>
            <w:tr w14:paraId="618B666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 w:hRule="atLeast"/>
                <w:jc w:val="center"/>
              </w:trPr>
              <w:tc>
                <w:tcPr>
                  <w:tcW w:w="473" w:type="pct"/>
                  <w:vMerge w:val="continue"/>
                  <w:tcBorders>
                    <w:tl2br w:val="nil"/>
                    <w:tr2bl w:val="nil"/>
                  </w:tcBorders>
                  <w:noWrap/>
                  <w:vAlign w:val="center"/>
                </w:tcPr>
                <w:p w14:paraId="381E9482">
                  <w:pPr>
                    <w:jc w:val="center"/>
                    <w:rPr>
                      <w:color w:val="auto"/>
                      <w:sz w:val="18"/>
                      <w:szCs w:val="18"/>
                      <w:highlight w:val="none"/>
                    </w:rPr>
                  </w:pPr>
                </w:p>
              </w:tc>
              <w:tc>
                <w:tcPr>
                  <w:tcW w:w="387" w:type="pct"/>
                  <w:tcBorders>
                    <w:tl2br w:val="nil"/>
                    <w:tr2bl w:val="nil"/>
                  </w:tcBorders>
                  <w:noWrap/>
                  <w:vAlign w:val="center"/>
                </w:tcPr>
                <w:p w14:paraId="4C8FC01F">
                  <w:pPr>
                    <w:widowControl/>
                    <w:jc w:val="center"/>
                    <w:textAlignment w:val="center"/>
                    <w:rPr>
                      <w:color w:val="auto"/>
                      <w:sz w:val="18"/>
                      <w:szCs w:val="18"/>
                      <w:highlight w:val="none"/>
                    </w:rPr>
                  </w:pPr>
                  <w:r>
                    <w:rPr>
                      <w:color w:val="auto"/>
                      <w:kern w:val="0"/>
                      <w:sz w:val="18"/>
                      <w:szCs w:val="18"/>
                      <w:highlight w:val="none"/>
                      <w:lang w:bidi="ar"/>
                    </w:rPr>
                    <w:t>W2</w:t>
                  </w:r>
                </w:p>
              </w:tc>
              <w:tc>
                <w:tcPr>
                  <w:tcW w:w="448" w:type="pct"/>
                  <w:vMerge w:val="continue"/>
                  <w:tcBorders>
                    <w:tl2br w:val="nil"/>
                    <w:tr2bl w:val="nil"/>
                  </w:tcBorders>
                  <w:noWrap/>
                  <w:vAlign w:val="center"/>
                </w:tcPr>
                <w:p w14:paraId="5245C011">
                  <w:pPr>
                    <w:jc w:val="center"/>
                    <w:rPr>
                      <w:color w:val="auto"/>
                      <w:sz w:val="18"/>
                      <w:szCs w:val="18"/>
                      <w:highlight w:val="none"/>
                    </w:rPr>
                  </w:pPr>
                </w:p>
              </w:tc>
              <w:tc>
                <w:tcPr>
                  <w:tcW w:w="762" w:type="pct"/>
                  <w:tcBorders>
                    <w:tl2br w:val="nil"/>
                    <w:tr2bl w:val="nil"/>
                  </w:tcBorders>
                  <w:noWrap/>
                  <w:vAlign w:val="center"/>
                </w:tcPr>
                <w:p w14:paraId="623EE56E">
                  <w:pPr>
                    <w:widowControl/>
                    <w:jc w:val="center"/>
                    <w:textAlignment w:val="center"/>
                    <w:rPr>
                      <w:color w:val="auto"/>
                      <w:sz w:val="18"/>
                      <w:szCs w:val="18"/>
                      <w:highlight w:val="none"/>
                    </w:rPr>
                  </w:pPr>
                  <w:r>
                    <w:rPr>
                      <w:color w:val="auto"/>
                      <w:kern w:val="0"/>
                      <w:sz w:val="18"/>
                      <w:szCs w:val="18"/>
                      <w:highlight w:val="none"/>
                      <w:lang w:bidi="ar"/>
                    </w:rPr>
                    <w:t>喷雾干燥器清洗</w:t>
                  </w:r>
                </w:p>
              </w:tc>
              <w:tc>
                <w:tcPr>
                  <w:tcW w:w="1264" w:type="pct"/>
                  <w:tcBorders>
                    <w:tl2br w:val="nil"/>
                    <w:tr2bl w:val="nil"/>
                  </w:tcBorders>
                  <w:noWrap/>
                  <w:vAlign w:val="center"/>
                </w:tcPr>
                <w:p w14:paraId="7EC74124">
                  <w:pPr>
                    <w:widowControl/>
                    <w:jc w:val="center"/>
                    <w:textAlignment w:val="center"/>
                    <w:rPr>
                      <w:color w:val="auto"/>
                      <w:sz w:val="18"/>
                      <w:szCs w:val="18"/>
                      <w:highlight w:val="none"/>
                    </w:rPr>
                  </w:pPr>
                  <w:r>
                    <w:rPr>
                      <w:color w:val="auto"/>
                      <w:kern w:val="0"/>
                      <w:sz w:val="18"/>
                      <w:szCs w:val="18"/>
                      <w:highlight w:val="none"/>
                      <w:lang w:bidi="ar"/>
                    </w:rPr>
                    <w:t>清洗废水</w:t>
                  </w:r>
                </w:p>
              </w:tc>
              <w:tc>
                <w:tcPr>
                  <w:tcW w:w="1663" w:type="pct"/>
                  <w:tcBorders>
                    <w:tl2br w:val="nil"/>
                    <w:tr2bl w:val="nil"/>
                  </w:tcBorders>
                  <w:noWrap/>
                  <w:vAlign w:val="center"/>
                </w:tcPr>
                <w:p w14:paraId="57608261">
                  <w:pPr>
                    <w:widowControl/>
                    <w:jc w:val="center"/>
                    <w:textAlignment w:val="center"/>
                    <w:rPr>
                      <w:color w:val="auto"/>
                      <w:sz w:val="18"/>
                      <w:szCs w:val="18"/>
                      <w:highlight w:val="none"/>
                    </w:rPr>
                  </w:pPr>
                  <w:r>
                    <w:rPr>
                      <w:color w:val="auto"/>
                      <w:kern w:val="0"/>
                      <w:sz w:val="18"/>
                      <w:szCs w:val="18"/>
                      <w:highlight w:val="none"/>
                      <w:lang w:bidi="ar"/>
                    </w:rPr>
                    <w:t>COD</w:t>
                  </w:r>
                  <w:r>
                    <w:rPr>
                      <w:rFonts w:hint="default"/>
                      <w:color w:val="auto"/>
                      <w:kern w:val="0"/>
                      <w:sz w:val="18"/>
                      <w:szCs w:val="18"/>
                      <w:highlight w:val="none"/>
                      <w:vertAlign w:val="subscript"/>
                      <w:lang w:bidi="ar"/>
                    </w:rPr>
                    <w:t>C</w:t>
                  </w:r>
                  <w:r>
                    <w:rPr>
                      <w:color w:val="auto"/>
                      <w:kern w:val="0"/>
                      <w:sz w:val="18"/>
                      <w:szCs w:val="18"/>
                      <w:highlight w:val="none"/>
                      <w:vertAlign w:val="subscript"/>
                      <w:lang w:bidi="ar"/>
                    </w:rPr>
                    <w:t>r</w:t>
                  </w:r>
                  <w:r>
                    <w:rPr>
                      <w:color w:val="auto"/>
                      <w:kern w:val="0"/>
                      <w:sz w:val="18"/>
                      <w:szCs w:val="18"/>
                      <w:highlight w:val="none"/>
                      <w:lang w:bidi="ar"/>
                    </w:rPr>
                    <w:t>、SS、TP、盐类</w:t>
                  </w:r>
                </w:p>
              </w:tc>
            </w:tr>
            <w:tr w14:paraId="7BE8294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 w:hRule="atLeast"/>
                <w:jc w:val="center"/>
              </w:trPr>
              <w:tc>
                <w:tcPr>
                  <w:tcW w:w="473" w:type="pct"/>
                  <w:vMerge w:val="continue"/>
                  <w:tcBorders>
                    <w:tl2br w:val="nil"/>
                    <w:tr2bl w:val="nil"/>
                  </w:tcBorders>
                  <w:noWrap/>
                  <w:vAlign w:val="center"/>
                </w:tcPr>
                <w:p w14:paraId="607535E8">
                  <w:pPr>
                    <w:jc w:val="center"/>
                    <w:rPr>
                      <w:color w:val="auto"/>
                      <w:sz w:val="18"/>
                      <w:szCs w:val="18"/>
                      <w:highlight w:val="none"/>
                    </w:rPr>
                  </w:pPr>
                </w:p>
              </w:tc>
              <w:tc>
                <w:tcPr>
                  <w:tcW w:w="387" w:type="pct"/>
                  <w:tcBorders>
                    <w:tl2br w:val="nil"/>
                    <w:tr2bl w:val="nil"/>
                  </w:tcBorders>
                  <w:noWrap/>
                  <w:vAlign w:val="center"/>
                </w:tcPr>
                <w:p w14:paraId="665DFC43">
                  <w:pPr>
                    <w:widowControl/>
                    <w:jc w:val="center"/>
                    <w:textAlignment w:val="center"/>
                    <w:rPr>
                      <w:color w:val="auto"/>
                      <w:sz w:val="18"/>
                      <w:szCs w:val="18"/>
                      <w:highlight w:val="none"/>
                    </w:rPr>
                  </w:pPr>
                  <w:r>
                    <w:rPr>
                      <w:color w:val="auto"/>
                      <w:kern w:val="0"/>
                      <w:sz w:val="18"/>
                      <w:szCs w:val="18"/>
                      <w:highlight w:val="none"/>
                      <w:lang w:bidi="ar"/>
                    </w:rPr>
                    <w:t>W3</w:t>
                  </w:r>
                </w:p>
              </w:tc>
              <w:tc>
                <w:tcPr>
                  <w:tcW w:w="448" w:type="pct"/>
                  <w:vMerge w:val="continue"/>
                  <w:tcBorders>
                    <w:tl2br w:val="nil"/>
                    <w:tr2bl w:val="nil"/>
                  </w:tcBorders>
                  <w:noWrap/>
                  <w:vAlign w:val="center"/>
                </w:tcPr>
                <w:p w14:paraId="472A72D1">
                  <w:pPr>
                    <w:jc w:val="center"/>
                    <w:rPr>
                      <w:color w:val="auto"/>
                      <w:sz w:val="18"/>
                      <w:szCs w:val="18"/>
                      <w:highlight w:val="none"/>
                    </w:rPr>
                  </w:pPr>
                </w:p>
              </w:tc>
              <w:tc>
                <w:tcPr>
                  <w:tcW w:w="762" w:type="pct"/>
                  <w:tcBorders>
                    <w:tl2br w:val="nil"/>
                    <w:tr2bl w:val="nil"/>
                  </w:tcBorders>
                  <w:noWrap/>
                  <w:vAlign w:val="center"/>
                </w:tcPr>
                <w:p w14:paraId="051538F7">
                  <w:pPr>
                    <w:widowControl/>
                    <w:jc w:val="center"/>
                    <w:textAlignment w:val="center"/>
                    <w:rPr>
                      <w:color w:val="auto"/>
                      <w:sz w:val="18"/>
                      <w:szCs w:val="18"/>
                      <w:highlight w:val="none"/>
                    </w:rPr>
                  </w:pPr>
                  <w:r>
                    <w:rPr>
                      <w:color w:val="auto"/>
                      <w:kern w:val="0"/>
                      <w:sz w:val="18"/>
                      <w:szCs w:val="18"/>
                      <w:highlight w:val="none"/>
                      <w:lang w:bidi="ar"/>
                    </w:rPr>
                    <w:t>纯水制备</w:t>
                  </w:r>
                </w:p>
              </w:tc>
              <w:tc>
                <w:tcPr>
                  <w:tcW w:w="1264" w:type="pct"/>
                  <w:tcBorders>
                    <w:tl2br w:val="nil"/>
                    <w:tr2bl w:val="nil"/>
                  </w:tcBorders>
                  <w:noWrap/>
                  <w:vAlign w:val="center"/>
                </w:tcPr>
                <w:p w14:paraId="3500FAE4">
                  <w:pPr>
                    <w:widowControl/>
                    <w:jc w:val="center"/>
                    <w:textAlignment w:val="center"/>
                    <w:rPr>
                      <w:color w:val="auto"/>
                      <w:sz w:val="18"/>
                      <w:szCs w:val="18"/>
                      <w:highlight w:val="none"/>
                    </w:rPr>
                  </w:pPr>
                  <w:r>
                    <w:rPr>
                      <w:color w:val="auto"/>
                      <w:kern w:val="0"/>
                      <w:sz w:val="18"/>
                      <w:szCs w:val="18"/>
                      <w:highlight w:val="none"/>
                      <w:lang w:bidi="ar"/>
                    </w:rPr>
                    <w:t>纯水制备浓水</w:t>
                  </w:r>
                </w:p>
              </w:tc>
              <w:tc>
                <w:tcPr>
                  <w:tcW w:w="1663" w:type="pct"/>
                  <w:tcBorders>
                    <w:tl2br w:val="nil"/>
                    <w:tr2bl w:val="nil"/>
                  </w:tcBorders>
                  <w:noWrap/>
                  <w:vAlign w:val="center"/>
                </w:tcPr>
                <w:p w14:paraId="4A5543A1">
                  <w:pPr>
                    <w:widowControl/>
                    <w:jc w:val="center"/>
                    <w:textAlignment w:val="center"/>
                    <w:rPr>
                      <w:color w:val="auto"/>
                      <w:sz w:val="18"/>
                      <w:szCs w:val="18"/>
                      <w:highlight w:val="none"/>
                    </w:rPr>
                  </w:pPr>
                  <w:r>
                    <w:rPr>
                      <w:color w:val="auto"/>
                      <w:kern w:val="0"/>
                      <w:sz w:val="18"/>
                      <w:szCs w:val="18"/>
                      <w:highlight w:val="none"/>
                      <w:lang w:bidi="ar"/>
                    </w:rPr>
                    <w:t>COD</w:t>
                  </w:r>
                  <w:r>
                    <w:rPr>
                      <w:rFonts w:hint="default"/>
                      <w:color w:val="auto"/>
                      <w:kern w:val="0"/>
                      <w:sz w:val="18"/>
                      <w:szCs w:val="18"/>
                      <w:highlight w:val="none"/>
                      <w:vertAlign w:val="subscript"/>
                      <w:lang w:bidi="ar"/>
                    </w:rPr>
                    <w:t>C</w:t>
                  </w:r>
                  <w:r>
                    <w:rPr>
                      <w:color w:val="auto"/>
                      <w:kern w:val="0"/>
                      <w:sz w:val="18"/>
                      <w:szCs w:val="18"/>
                      <w:highlight w:val="none"/>
                      <w:vertAlign w:val="subscript"/>
                      <w:lang w:bidi="ar"/>
                    </w:rPr>
                    <w:t>r</w:t>
                  </w:r>
                  <w:r>
                    <w:rPr>
                      <w:color w:val="auto"/>
                      <w:kern w:val="0"/>
                      <w:sz w:val="18"/>
                      <w:szCs w:val="18"/>
                      <w:highlight w:val="none"/>
                      <w:lang w:bidi="ar"/>
                    </w:rPr>
                    <w:t>、盐类</w:t>
                  </w:r>
                </w:p>
              </w:tc>
            </w:tr>
            <w:tr w14:paraId="1B0D896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 w:hRule="atLeast"/>
                <w:jc w:val="center"/>
              </w:trPr>
              <w:tc>
                <w:tcPr>
                  <w:tcW w:w="473" w:type="pct"/>
                  <w:vMerge w:val="continue"/>
                  <w:tcBorders>
                    <w:tl2br w:val="nil"/>
                    <w:tr2bl w:val="nil"/>
                  </w:tcBorders>
                  <w:noWrap/>
                  <w:vAlign w:val="center"/>
                </w:tcPr>
                <w:p w14:paraId="20B2F7AD">
                  <w:pPr>
                    <w:jc w:val="center"/>
                    <w:rPr>
                      <w:color w:val="auto"/>
                      <w:sz w:val="18"/>
                      <w:szCs w:val="18"/>
                      <w:highlight w:val="none"/>
                    </w:rPr>
                  </w:pPr>
                </w:p>
              </w:tc>
              <w:tc>
                <w:tcPr>
                  <w:tcW w:w="387" w:type="pct"/>
                  <w:tcBorders>
                    <w:tl2br w:val="nil"/>
                    <w:tr2bl w:val="nil"/>
                  </w:tcBorders>
                  <w:noWrap/>
                  <w:vAlign w:val="center"/>
                </w:tcPr>
                <w:p w14:paraId="06C63794">
                  <w:pPr>
                    <w:widowControl/>
                    <w:jc w:val="center"/>
                    <w:textAlignment w:val="center"/>
                    <w:rPr>
                      <w:color w:val="auto"/>
                      <w:kern w:val="0"/>
                      <w:sz w:val="18"/>
                      <w:szCs w:val="18"/>
                      <w:highlight w:val="none"/>
                      <w:lang w:bidi="ar"/>
                    </w:rPr>
                  </w:pPr>
                  <w:r>
                    <w:rPr>
                      <w:rFonts w:hint="default"/>
                      <w:color w:val="auto"/>
                      <w:kern w:val="0"/>
                      <w:sz w:val="18"/>
                      <w:szCs w:val="18"/>
                      <w:highlight w:val="none"/>
                      <w:lang w:bidi="ar"/>
                    </w:rPr>
                    <w:t>W4</w:t>
                  </w:r>
                </w:p>
              </w:tc>
              <w:tc>
                <w:tcPr>
                  <w:tcW w:w="448" w:type="pct"/>
                  <w:vMerge w:val="continue"/>
                  <w:tcBorders>
                    <w:tl2br w:val="nil"/>
                    <w:tr2bl w:val="nil"/>
                  </w:tcBorders>
                  <w:noWrap/>
                  <w:vAlign w:val="center"/>
                </w:tcPr>
                <w:p w14:paraId="79185DBE">
                  <w:pPr>
                    <w:jc w:val="center"/>
                    <w:rPr>
                      <w:color w:val="auto"/>
                      <w:sz w:val="18"/>
                      <w:szCs w:val="18"/>
                      <w:highlight w:val="none"/>
                    </w:rPr>
                  </w:pPr>
                </w:p>
              </w:tc>
              <w:tc>
                <w:tcPr>
                  <w:tcW w:w="762" w:type="pct"/>
                  <w:tcBorders>
                    <w:tl2br w:val="nil"/>
                    <w:tr2bl w:val="nil"/>
                  </w:tcBorders>
                  <w:noWrap/>
                  <w:vAlign w:val="center"/>
                </w:tcPr>
                <w:p w14:paraId="66513257">
                  <w:pPr>
                    <w:widowControl/>
                    <w:jc w:val="center"/>
                    <w:textAlignment w:val="center"/>
                    <w:rPr>
                      <w:color w:val="auto"/>
                      <w:kern w:val="0"/>
                      <w:sz w:val="18"/>
                      <w:szCs w:val="18"/>
                      <w:highlight w:val="none"/>
                      <w:lang w:bidi="ar"/>
                    </w:rPr>
                  </w:pPr>
                  <w:r>
                    <w:rPr>
                      <w:rFonts w:hint="default"/>
                      <w:color w:val="auto"/>
                      <w:kern w:val="0"/>
                      <w:sz w:val="18"/>
                      <w:szCs w:val="18"/>
                      <w:highlight w:val="none"/>
                      <w:lang w:bidi="ar"/>
                    </w:rPr>
                    <w:t>循环冷却</w:t>
                  </w:r>
                </w:p>
              </w:tc>
              <w:tc>
                <w:tcPr>
                  <w:tcW w:w="1264" w:type="pct"/>
                  <w:tcBorders>
                    <w:tl2br w:val="nil"/>
                    <w:tr2bl w:val="nil"/>
                  </w:tcBorders>
                  <w:noWrap/>
                  <w:vAlign w:val="center"/>
                </w:tcPr>
                <w:p w14:paraId="751E8A10">
                  <w:pPr>
                    <w:widowControl/>
                    <w:jc w:val="center"/>
                    <w:textAlignment w:val="center"/>
                    <w:rPr>
                      <w:color w:val="auto"/>
                      <w:kern w:val="0"/>
                      <w:sz w:val="18"/>
                      <w:szCs w:val="18"/>
                      <w:highlight w:val="none"/>
                      <w:lang w:bidi="ar"/>
                    </w:rPr>
                  </w:pPr>
                  <w:r>
                    <w:rPr>
                      <w:rFonts w:hint="default"/>
                      <w:color w:val="auto"/>
                      <w:kern w:val="0"/>
                      <w:sz w:val="18"/>
                      <w:szCs w:val="18"/>
                      <w:highlight w:val="none"/>
                      <w:lang w:bidi="ar"/>
                    </w:rPr>
                    <w:t>冷却水外排</w:t>
                  </w:r>
                </w:p>
              </w:tc>
              <w:tc>
                <w:tcPr>
                  <w:tcW w:w="1663" w:type="pct"/>
                  <w:tcBorders>
                    <w:tl2br w:val="nil"/>
                    <w:tr2bl w:val="nil"/>
                  </w:tcBorders>
                  <w:noWrap/>
                  <w:vAlign w:val="center"/>
                </w:tcPr>
                <w:p w14:paraId="45BE08F6">
                  <w:pPr>
                    <w:widowControl/>
                    <w:jc w:val="center"/>
                    <w:textAlignment w:val="center"/>
                    <w:rPr>
                      <w:color w:val="auto"/>
                      <w:kern w:val="0"/>
                      <w:sz w:val="18"/>
                      <w:szCs w:val="18"/>
                      <w:highlight w:val="none"/>
                      <w:lang w:bidi="ar"/>
                    </w:rPr>
                  </w:pPr>
                  <w:r>
                    <w:rPr>
                      <w:color w:val="auto"/>
                      <w:sz w:val="18"/>
                      <w:szCs w:val="18"/>
                      <w:highlight w:val="none"/>
                    </w:rPr>
                    <w:t>COD</w:t>
                  </w:r>
                  <w:r>
                    <w:rPr>
                      <w:rFonts w:hint="default"/>
                      <w:color w:val="auto"/>
                      <w:sz w:val="18"/>
                      <w:szCs w:val="18"/>
                      <w:highlight w:val="none"/>
                      <w:vertAlign w:val="subscript"/>
                    </w:rPr>
                    <w:t>C</w:t>
                  </w:r>
                  <w:r>
                    <w:rPr>
                      <w:color w:val="auto"/>
                      <w:sz w:val="18"/>
                      <w:szCs w:val="18"/>
                      <w:highlight w:val="none"/>
                      <w:vertAlign w:val="subscript"/>
                    </w:rPr>
                    <w:t>r</w:t>
                  </w:r>
                  <w:r>
                    <w:rPr>
                      <w:color w:val="auto"/>
                      <w:sz w:val="18"/>
                      <w:szCs w:val="18"/>
                      <w:highlight w:val="none"/>
                    </w:rPr>
                    <w:t>、盐类</w:t>
                  </w:r>
                </w:p>
              </w:tc>
            </w:tr>
            <w:tr w14:paraId="22B66F2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 w:hRule="atLeast"/>
                <w:jc w:val="center"/>
              </w:trPr>
              <w:tc>
                <w:tcPr>
                  <w:tcW w:w="473" w:type="pct"/>
                  <w:vMerge w:val="continue"/>
                  <w:tcBorders>
                    <w:tl2br w:val="nil"/>
                    <w:tr2bl w:val="nil"/>
                  </w:tcBorders>
                  <w:noWrap/>
                  <w:vAlign w:val="center"/>
                </w:tcPr>
                <w:p w14:paraId="5E7EE944">
                  <w:pPr>
                    <w:jc w:val="center"/>
                    <w:rPr>
                      <w:color w:val="auto"/>
                      <w:sz w:val="18"/>
                      <w:szCs w:val="18"/>
                      <w:highlight w:val="none"/>
                    </w:rPr>
                  </w:pPr>
                </w:p>
              </w:tc>
              <w:tc>
                <w:tcPr>
                  <w:tcW w:w="387" w:type="pct"/>
                  <w:tcBorders>
                    <w:tl2br w:val="nil"/>
                    <w:tr2bl w:val="nil"/>
                  </w:tcBorders>
                  <w:noWrap/>
                  <w:vAlign w:val="center"/>
                </w:tcPr>
                <w:p w14:paraId="5BAC3F84">
                  <w:pPr>
                    <w:widowControl/>
                    <w:jc w:val="center"/>
                    <w:textAlignment w:val="center"/>
                    <w:rPr>
                      <w:color w:val="auto"/>
                      <w:sz w:val="18"/>
                      <w:szCs w:val="18"/>
                      <w:highlight w:val="none"/>
                    </w:rPr>
                  </w:pPr>
                  <w:r>
                    <w:rPr>
                      <w:color w:val="auto"/>
                      <w:kern w:val="0"/>
                      <w:sz w:val="18"/>
                      <w:szCs w:val="18"/>
                      <w:highlight w:val="none"/>
                      <w:lang w:bidi="ar"/>
                    </w:rPr>
                    <w:t>W</w:t>
                  </w:r>
                  <w:r>
                    <w:rPr>
                      <w:rFonts w:hint="default"/>
                      <w:color w:val="auto"/>
                      <w:kern w:val="0"/>
                      <w:sz w:val="18"/>
                      <w:szCs w:val="18"/>
                      <w:highlight w:val="none"/>
                      <w:lang w:bidi="ar"/>
                    </w:rPr>
                    <w:t>5</w:t>
                  </w:r>
                </w:p>
              </w:tc>
              <w:tc>
                <w:tcPr>
                  <w:tcW w:w="448" w:type="pct"/>
                  <w:vMerge w:val="continue"/>
                  <w:tcBorders>
                    <w:tl2br w:val="nil"/>
                    <w:tr2bl w:val="nil"/>
                  </w:tcBorders>
                  <w:noWrap/>
                  <w:vAlign w:val="center"/>
                </w:tcPr>
                <w:p w14:paraId="674B0241">
                  <w:pPr>
                    <w:jc w:val="center"/>
                    <w:rPr>
                      <w:color w:val="auto"/>
                      <w:sz w:val="18"/>
                      <w:szCs w:val="18"/>
                      <w:highlight w:val="none"/>
                    </w:rPr>
                  </w:pPr>
                </w:p>
              </w:tc>
              <w:tc>
                <w:tcPr>
                  <w:tcW w:w="762" w:type="pct"/>
                  <w:tcBorders>
                    <w:tl2br w:val="nil"/>
                    <w:tr2bl w:val="nil"/>
                  </w:tcBorders>
                  <w:noWrap/>
                  <w:vAlign w:val="center"/>
                </w:tcPr>
                <w:p w14:paraId="38B56BF9">
                  <w:pPr>
                    <w:widowControl/>
                    <w:jc w:val="center"/>
                    <w:textAlignment w:val="center"/>
                    <w:rPr>
                      <w:color w:val="auto"/>
                      <w:sz w:val="18"/>
                      <w:szCs w:val="18"/>
                      <w:highlight w:val="none"/>
                    </w:rPr>
                  </w:pPr>
                  <w:r>
                    <w:rPr>
                      <w:color w:val="auto"/>
                      <w:kern w:val="0"/>
                      <w:sz w:val="18"/>
                      <w:szCs w:val="18"/>
                      <w:highlight w:val="none"/>
                      <w:lang w:bidi="ar"/>
                    </w:rPr>
                    <w:t>废气处理</w:t>
                  </w:r>
                </w:p>
              </w:tc>
              <w:tc>
                <w:tcPr>
                  <w:tcW w:w="1264" w:type="pct"/>
                  <w:tcBorders>
                    <w:tl2br w:val="nil"/>
                    <w:tr2bl w:val="nil"/>
                  </w:tcBorders>
                  <w:noWrap/>
                  <w:vAlign w:val="center"/>
                </w:tcPr>
                <w:p w14:paraId="2B6F6734">
                  <w:pPr>
                    <w:widowControl/>
                    <w:jc w:val="center"/>
                    <w:textAlignment w:val="center"/>
                    <w:rPr>
                      <w:color w:val="auto"/>
                      <w:sz w:val="18"/>
                      <w:szCs w:val="18"/>
                      <w:highlight w:val="none"/>
                    </w:rPr>
                  </w:pPr>
                  <w:r>
                    <w:rPr>
                      <w:color w:val="auto"/>
                      <w:kern w:val="0"/>
                      <w:sz w:val="18"/>
                      <w:szCs w:val="18"/>
                      <w:highlight w:val="none"/>
                      <w:lang w:bidi="ar"/>
                    </w:rPr>
                    <w:t>喷淋塔废水</w:t>
                  </w:r>
                </w:p>
              </w:tc>
              <w:tc>
                <w:tcPr>
                  <w:tcW w:w="1663" w:type="pct"/>
                  <w:tcBorders>
                    <w:tl2br w:val="nil"/>
                    <w:tr2bl w:val="nil"/>
                  </w:tcBorders>
                  <w:noWrap/>
                  <w:vAlign w:val="center"/>
                </w:tcPr>
                <w:p w14:paraId="6A4707D0">
                  <w:pPr>
                    <w:widowControl/>
                    <w:jc w:val="center"/>
                    <w:textAlignment w:val="center"/>
                    <w:rPr>
                      <w:color w:val="auto"/>
                      <w:sz w:val="18"/>
                      <w:szCs w:val="18"/>
                      <w:highlight w:val="none"/>
                    </w:rPr>
                  </w:pPr>
                  <w:r>
                    <w:rPr>
                      <w:color w:val="auto"/>
                      <w:sz w:val="18"/>
                      <w:szCs w:val="18"/>
                      <w:highlight w:val="none"/>
                    </w:rPr>
                    <w:t>COD</w:t>
                  </w:r>
                  <w:r>
                    <w:rPr>
                      <w:rFonts w:hint="default"/>
                      <w:color w:val="auto"/>
                      <w:sz w:val="18"/>
                      <w:szCs w:val="18"/>
                      <w:highlight w:val="none"/>
                      <w:vertAlign w:val="subscript"/>
                    </w:rPr>
                    <w:t>C</w:t>
                  </w:r>
                  <w:r>
                    <w:rPr>
                      <w:color w:val="auto"/>
                      <w:sz w:val="18"/>
                      <w:szCs w:val="18"/>
                      <w:highlight w:val="none"/>
                      <w:vertAlign w:val="subscript"/>
                    </w:rPr>
                    <w:t>r</w:t>
                  </w:r>
                  <w:r>
                    <w:rPr>
                      <w:rFonts w:hint="default"/>
                      <w:color w:val="auto"/>
                      <w:sz w:val="18"/>
                      <w:szCs w:val="18"/>
                      <w:highlight w:val="none"/>
                    </w:rPr>
                    <w:t>、</w:t>
                  </w:r>
                  <w:r>
                    <w:rPr>
                      <w:color w:val="auto"/>
                      <w:kern w:val="0"/>
                      <w:sz w:val="18"/>
                      <w:szCs w:val="18"/>
                      <w:highlight w:val="none"/>
                      <w:lang w:bidi="ar"/>
                    </w:rPr>
                    <w:t>SS</w:t>
                  </w:r>
                </w:p>
              </w:tc>
            </w:tr>
            <w:tr w14:paraId="5FE2353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 w:hRule="atLeast"/>
                <w:jc w:val="center"/>
              </w:trPr>
              <w:tc>
                <w:tcPr>
                  <w:tcW w:w="473" w:type="pct"/>
                  <w:vMerge w:val="continue"/>
                  <w:tcBorders>
                    <w:tl2br w:val="nil"/>
                    <w:tr2bl w:val="nil"/>
                  </w:tcBorders>
                  <w:noWrap/>
                  <w:vAlign w:val="center"/>
                </w:tcPr>
                <w:p w14:paraId="674281EE">
                  <w:pPr>
                    <w:jc w:val="center"/>
                    <w:rPr>
                      <w:color w:val="auto"/>
                      <w:sz w:val="18"/>
                      <w:szCs w:val="18"/>
                      <w:highlight w:val="none"/>
                    </w:rPr>
                  </w:pPr>
                </w:p>
              </w:tc>
              <w:tc>
                <w:tcPr>
                  <w:tcW w:w="387" w:type="pct"/>
                  <w:tcBorders>
                    <w:tl2br w:val="nil"/>
                    <w:tr2bl w:val="nil"/>
                  </w:tcBorders>
                  <w:noWrap/>
                  <w:vAlign w:val="center"/>
                </w:tcPr>
                <w:p w14:paraId="1D615340">
                  <w:pPr>
                    <w:widowControl/>
                    <w:jc w:val="center"/>
                    <w:textAlignment w:val="center"/>
                    <w:rPr>
                      <w:color w:val="auto"/>
                      <w:sz w:val="18"/>
                      <w:szCs w:val="18"/>
                      <w:highlight w:val="none"/>
                    </w:rPr>
                  </w:pPr>
                  <w:r>
                    <w:rPr>
                      <w:color w:val="auto"/>
                      <w:kern w:val="0"/>
                      <w:sz w:val="18"/>
                      <w:szCs w:val="18"/>
                      <w:highlight w:val="none"/>
                      <w:lang w:bidi="ar"/>
                    </w:rPr>
                    <w:t>W</w:t>
                  </w:r>
                  <w:r>
                    <w:rPr>
                      <w:rFonts w:hint="default"/>
                      <w:color w:val="auto"/>
                      <w:kern w:val="0"/>
                      <w:sz w:val="18"/>
                      <w:szCs w:val="18"/>
                      <w:highlight w:val="none"/>
                      <w:lang w:bidi="ar"/>
                    </w:rPr>
                    <w:t>6</w:t>
                  </w:r>
                </w:p>
              </w:tc>
              <w:tc>
                <w:tcPr>
                  <w:tcW w:w="448" w:type="pct"/>
                  <w:vMerge w:val="continue"/>
                  <w:tcBorders>
                    <w:tl2br w:val="nil"/>
                    <w:tr2bl w:val="nil"/>
                  </w:tcBorders>
                  <w:noWrap/>
                  <w:vAlign w:val="center"/>
                </w:tcPr>
                <w:p w14:paraId="660EFF6F">
                  <w:pPr>
                    <w:jc w:val="center"/>
                    <w:rPr>
                      <w:color w:val="auto"/>
                      <w:sz w:val="18"/>
                      <w:szCs w:val="18"/>
                      <w:highlight w:val="none"/>
                    </w:rPr>
                  </w:pPr>
                </w:p>
              </w:tc>
              <w:tc>
                <w:tcPr>
                  <w:tcW w:w="762" w:type="pct"/>
                  <w:tcBorders>
                    <w:tl2br w:val="nil"/>
                    <w:tr2bl w:val="nil"/>
                  </w:tcBorders>
                  <w:noWrap/>
                  <w:vAlign w:val="center"/>
                </w:tcPr>
                <w:p w14:paraId="3158FFAD">
                  <w:pPr>
                    <w:widowControl/>
                    <w:jc w:val="center"/>
                    <w:textAlignment w:val="center"/>
                    <w:rPr>
                      <w:color w:val="auto"/>
                      <w:sz w:val="18"/>
                      <w:szCs w:val="18"/>
                      <w:highlight w:val="none"/>
                    </w:rPr>
                  </w:pPr>
                  <w:r>
                    <w:rPr>
                      <w:color w:val="auto"/>
                      <w:kern w:val="0"/>
                      <w:sz w:val="18"/>
                      <w:szCs w:val="18"/>
                      <w:highlight w:val="none"/>
                      <w:lang w:bidi="ar"/>
                    </w:rPr>
                    <w:t>员工生活</w:t>
                  </w:r>
                </w:p>
              </w:tc>
              <w:tc>
                <w:tcPr>
                  <w:tcW w:w="1264" w:type="pct"/>
                  <w:tcBorders>
                    <w:tl2br w:val="nil"/>
                    <w:tr2bl w:val="nil"/>
                  </w:tcBorders>
                  <w:noWrap/>
                  <w:vAlign w:val="center"/>
                </w:tcPr>
                <w:p w14:paraId="4243BB6C">
                  <w:pPr>
                    <w:widowControl/>
                    <w:jc w:val="center"/>
                    <w:textAlignment w:val="center"/>
                    <w:rPr>
                      <w:color w:val="auto"/>
                      <w:sz w:val="18"/>
                      <w:szCs w:val="18"/>
                      <w:highlight w:val="none"/>
                    </w:rPr>
                  </w:pPr>
                  <w:r>
                    <w:rPr>
                      <w:color w:val="auto"/>
                      <w:kern w:val="0"/>
                      <w:sz w:val="18"/>
                      <w:szCs w:val="18"/>
                      <w:highlight w:val="none"/>
                      <w:lang w:bidi="ar"/>
                    </w:rPr>
                    <w:t>生活污水</w:t>
                  </w:r>
                </w:p>
              </w:tc>
              <w:tc>
                <w:tcPr>
                  <w:tcW w:w="1663" w:type="pct"/>
                  <w:tcBorders>
                    <w:tl2br w:val="nil"/>
                    <w:tr2bl w:val="nil"/>
                  </w:tcBorders>
                  <w:noWrap/>
                  <w:vAlign w:val="center"/>
                </w:tcPr>
                <w:p w14:paraId="27241D40">
                  <w:pPr>
                    <w:widowControl/>
                    <w:jc w:val="center"/>
                    <w:textAlignment w:val="center"/>
                    <w:rPr>
                      <w:color w:val="auto"/>
                      <w:sz w:val="18"/>
                      <w:szCs w:val="18"/>
                      <w:highlight w:val="none"/>
                    </w:rPr>
                  </w:pPr>
                  <w:r>
                    <w:rPr>
                      <w:color w:val="auto"/>
                      <w:kern w:val="0"/>
                      <w:sz w:val="18"/>
                      <w:szCs w:val="18"/>
                      <w:highlight w:val="none"/>
                      <w:lang w:bidi="ar"/>
                    </w:rPr>
                    <w:t>COD</w:t>
                  </w:r>
                  <w:r>
                    <w:rPr>
                      <w:rFonts w:hint="default"/>
                      <w:color w:val="auto"/>
                      <w:kern w:val="0"/>
                      <w:sz w:val="18"/>
                      <w:szCs w:val="18"/>
                      <w:highlight w:val="none"/>
                      <w:vertAlign w:val="subscript"/>
                      <w:lang w:bidi="ar"/>
                    </w:rPr>
                    <w:t>C</w:t>
                  </w:r>
                  <w:r>
                    <w:rPr>
                      <w:color w:val="auto"/>
                      <w:kern w:val="0"/>
                      <w:sz w:val="18"/>
                      <w:szCs w:val="18"/>
                      <w:highlight w:val="none"/>
                      <w:vertAlign w:val="subscript"/>
                      <w:lang w:bidi="ar"/>
                    </w:rPr>
                    <w:t>r</w:t>
                  </w:r>
                  <w:r>
                    <w:rPr>
                      <w:color w:val="auto"/>
                      <w:kern w:val="0"/>
                      <w:sz w:val="18"/>
                      <w:szCs w:val="18"/>
                      <w:highlight w:val="none"/>
                      <w:lang w:bidi="ar"/>
                    </w:rPr>
                    <w:t>、NH</w:t>
                  </w:r>
                  <w:r>
                    <w:rPr>
                      <w:color w:val="auto"/>
                      <w:kern w:val="0"/>
                      <w:sz w:val="18"/>
                      <w:szCs w:val="18"/>
                      <w:highlight w:val="none"/>
                      <w:vertAlign w:val="subscript"/>
                      <w:lang w:bidi="ar"/>
                    </w:rPr>
                    <w:t>3</w:t>
                  </w:r>
                  <w:r>
                    <w:rPr>
                      <w:color w:val="auto"/>
                      <w:kern w:val="0"/>
                      <w:sz w:val="18"/>
                      <w:szCs w:val="18"/>
                      <w:highlight w:val="none"/>
                      <w:lang w:bidi="ar"/>
                    </w:rPr>
                    <w:t>-N</w:t>
                  </w:r>
                </w:p>
              </w:tc>
            </w:tr>
            <w:tr w14:paraId="7C0F78B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 w:hRule="atLeast"/>
                <w:jc w:val="center"/>
              </w:trPr>
              <w:tc>
                <w:tcPr>
                  <w:tcW w:w="473" w:type="pct"/>
                  <w:vMerge w:val="restart"/>
                  <w:tcBorders>
                    <w:tl2br w:val="nil"/>
                    <w:tr2bl w:val="nil"/>
                  </w:tcBorders>
                  <w:noWrap/>
                  <w:vAlign w:val="center"/>
                </w:tcPr>
                <w:p w14:paraId="6C62BF1E">
                  <w:pPr>
                    <w:widowControl/>
                    <w:jc w:val="center"/>
                    <w:textAlignment w:val="center"/>
                    <w:rPr>
                      <w:color w:val="auto"/>
                      <w:sz w:val="18"/>
                      <w:szCs w:val="18"/>
                      <w:highlight w:val="none"/>
                    </w:rPr>
                  </w:pPr>
                  <w:r>
                    <w:rPr>
                      <w:color w:val="auto"/>
                      <w:kern w:val="0"/>
                      <w:sz w:val="18"/>
                      <w:szCs w:val="18"/>
                      <w:highlight w:val="none"/>
                      <w:lang w:bidi="ar"/>
                    </w:rPr>
                    <w:t>固体废物</w:t>
                  </w:r>
                </w:p>
              </w:tc>
              <w:tc>
                <w:tcPr>
                  <w:tcW w:w="387" w:type="pct"/>
                  <w:tcBorders>
                    <w:tl2br w:val="nil"/>
                    <w:tr2bl w:val="nil"/>
                  </w:tcBorders>
                  <w:noWrap/>
                  <w:vAlign w:val="center"/>
                </w:tcPr>
                <w:p w14:paraId="3061CEAC">
                  <w:pPr>
                    <w:widowControl/>
                    <w:jc w:val="center"/>
                    <w:textAlignment w:val="center"/>
                    <w:rPr>
                      <w:color w:val="auto"/>
                      <w:sz w:val="18"/>
                      <w:szCs w:val="18"/>
                      <w:highlight w:val="none"/>
                    </w:rPr>
                  </w:pPr>
                  <w:r>
                    <w:rPr>
                      <w:color w:val="auto"/>
                      <w:kern w:val="0"/>
                      <w:sz w:val="18"/>
                      <w:szCs w:val="18"/>
                      <w:highlight w:val="none"/>
                      <w:lang w:bidi="ar"/>
                    </w:rPr>
                    <w:t>S1</w:t>
                  </w:r>
                </w:p>
              </w:tc>
              <w:tc>
                <w:tcPr>
                  <w:tcW w:w="448" w:type="pct"/>
                  <w:vMerge w:val="restart"/>
                  <w:tcBorders>
                    <w:tl2br w:val="nil"/>
                    <w:tr2bl w:val="nil"/>
                  </w:tcBorders>
                  <w:vAlign w:val="center"/>
                </w:tcPr>
                <w:p w14:paraId="6AC9A94E">
                  <w:pPr>
                    <w:widowControl/>
                    <w:jc w:val="center"/>
                    <w:textAlignment w:val="center"/>
                    <w:rPr>
                      <w:color w:val="auto"/>
                      <w:sz w:val="18"/>
                      <w:szCs w:val="18"/>
                      <w:highlight w:val="none"/>
                    </w:rPr>
                  </w:pPr>
                  <w:r>
                    <w:rPr>
                      <w:color w:val="auto"/>
                      <w:kern w:val="0"/>
                      <w:sz w:val="18"/>
                      <w:szCs w:val="18"/>
                      <w:highlight w:val="none"/>
                      <w:lang w:bidi="ar"/>
                    </w:rPr>
                    <w:t>正极材料制备</w:t>
                  </w:r>
                </w:p>
              </w:tc>
              <w:tc>
                <w:tcPr>
                  <w:tcW w:w="762" w:type="pct"/>
                  <w:tcBorders>
                    <w:tl2br w:val="nil"/>
                    <w:tr2bl w:val="nil"/>
                  </w:tcBorders>
                  <w:noWrap/>
                  <w:vAlign w:val="center"/>
                </w:tcPr>
                <w:p w14:paraId="7EEFC187">
                  <w:pPr>
                    <w:widowControl/>
                    <w:jc w:val="center"/>
                    <w:textAlignment w:val="center"/>
                    <w:rPr>
                      <w:color w:val="auto"/>
                      <w:sz w:val="18"/>
                      <w:szCs w:val="18"/>
                      <w:highlight w:val="none"/>
                    </w:rPr>
                  </w:pPr>
                  <w:r>
                    <w:rPr>
                      <w:color w:val="auto"/>
                      <w:kern w:val="0"/>
                      <w:sz w:val="18"/>
                      <w:szCs w:val="18"/>
                      <w:highlight w:val="none"/>
                      <w:lang w:bidi="ar"/>
                    </w:rPr>
                    <w:t>原材料投料</w:t>
                  </w:r>
                </w:p>
              </w:tc>
              <w:tc>
                <w:tcPr>
                  <w:tcW w:w="1264" w:type="pct"/>
                  <w:tcBorders>
                    <w:tl2br w:val="nil"/>
                    <w:tr2bl w:val="nil"/>
                  </w:tcBorders>
                  <w:noWrap/>
                  <w:vAlign w:val="center"/>
                </w:tcPr>
                <w:p w14:paraId="2EF5BFD5">
                  <w:pPr>
                    <w:widowControl/>
                    <w:jc w:val="center"/>
                    <w:textAlignment w:val="center"/>
                    <w:rPr>
                      <w:color w:val="auto"/>
                      <w:sz w:val="18"/>
                      <w:szCs w:val="18"/>
                      <w:highlight w:val="none"/>
                    </w:rPr>
                  </w:pPr>
                  <w:r>
                    <w:rPr>
                      <w:color w:val="auto"/>
                      <w:kern w:val="0"/>
                      <w:sz w:val="18"/>
                      <w:szCs w:val="18"/>
                      <w:highlight w:val="none"/>
                      <w:lang w:bidi="ar"/>
                    </w:rPr>
                    <w:t>废包装材料</w:t>
                  </w:r>
                </w:p>
              </w:tc>
              <w:tc>
                <w:tcPr>
                  <w:tcW w:w="1663" w:type="pct"/>
                  <w:tcBorders>
                    <w:tl2br w:val="nil"/>
                    <w:tr2bl w:val="nil"/>
                  </w:tcBorders>
                  <w:noWrap/>
                  <w:vAlign w:val="center"/>
                </w:tcPr>
                <w:p w14:paraId="1E4AA249">
                  <w:pPr>
                    <w:widowControl/>
                    <w:jc w:val="center"/>
                    <w:textAlignment w:val="center"/>
                    <w:rPr>
                      <w:color w:val="auto"/>
                      <w:sz w:val="18"/>
                      <w:szCs w:val="18"/>
                      <w:highlight w:val="none"/>
                    </w:rPr>
                  </w:pPr>
                  <w:r>
                    <w:rPr>
                      <w:color w:val="auto"/>
                      <w:kern w:val="0"/>
                      <w:sz w:val="18"/>
                      <w:szCs w:val="18"/>
                      <w:highlight w:val="none"/>
                      <w:lang w:bidi="ar"/>
                    </w:rPr>
                    <w:t>物料包装袋</w:t>
                  </w:r>
                </w:p>
              </w:tc>
            </w:tr>
            <w:tr w14:paraId="57BFD94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 w:hRule="atLeast"/>
                <w:jc w:val="center"/>
              </w:trPr>
              <w:tc>
                <w:tcPr>
                  <w:tcW w:w="473" w:type="pct"/>
                  <w:vMerge w:val="continue"/>
                  <w:tcBorders>
                    <w:tl2br w:val="nil"/>
                    <w:tr2bl w:val="nil"/>
                  </w:tcBorders>
                  <w:noWrap/>
                  <w:vAlign w:val="center"/>
                </w:tcPr>
                <w:p w14:paraId="3ED9D60B">
                  <w:pPr>
                    <w:jc w:val="center"/>
                    <w:rPr>
                      <w:color w:val="auto"/>
                      <w:sz w:val="18"/>
                      <w:szCs w:val="18"/>
                      <w:highlight w:val="none"/>
                    </w:rPr>
                  </w:pPr>
                </w:p>
              </w:tc>
              <w:tc>
                <w:tcPr>
                  <w:tcW w:w="387" w:type="pct"/>
                  <w:tcBorders>
                    <w:tl2br w:val="nil"/>
                    <w:tr2bl w:val="nil"/>
                  </w:tcBorders>
                  <w:noWrap/>
                  <w:vAlign w:val="center"/>
                </w:tcPr>
                <w:p w14:paraId="4A608DFD">
                  <w:pPr>
                    <w:widowControl/>
                    <w:jc w:val="center"/>
                    <w:textAlignment w:val="center"/>
                    <w:rPr>
                      <w:color w:val="auto"/>
                      <w:sz w:val="18"/>
                      <w:szCs w:val="18"/>
                      <w:highlight w:val="none"/>
                    </w:rPr>
                  </w:pPr>
                  <w:r>
                    <w:rPr>
                      <w:color w:val="auto"/>
                      <w:kern w:val="0"/>
                      <w:sz w:val="18"/>
                      <w:szCs w:val="18"/>
                      <w:highlight w:val="none"/>
                      <w:lang w:bidi="ar"/>
                    </w:rPr>
                    <w:t>S2</w:t>
                  </w:r>
                </w:p>
              </w:tc>
              <w:tc>
                <w:tcPr>
                  <w:tcW w:w="448" w:type="pct"/>
                  <w:vMerge w:val="continue"/>
                  <w:tcBorders>
                    <w:tl2br w:val="nil"/>
                    <w:tr2bl w:val="nil"/>
                  </w:tcBorders>
                  <w:vAlign w:val="center"/>
                </w:tcPr>
                <w:p w14:paraId="2AD7E12A">
                  <w:pPr>
                    <w:jc w:val="center"/>
                    <w:rPr>
                      <w:color w:val="auto"/>
                      <w:sz w:val="18"/>
                      <w:szCs w:val="18"/>
                      <w:highlight w:val="none"/>
                    </w:rPr>
                  </w:pPr>
                </w:p>
              </w:tc>
              <w:tc>
                <w:tcPr>
                  <w:tcW w:w="762" w:type="pct"/>
                  <w:tcBorders>
                    <w:tl2br w:val="nil"/>
                    <w:tr2bl w:val="nil"/>
                  </w:tcBorders>
                  <w:noWrap/>
                  <w:vAlign w:val="center"/>
                </w:tcPr>
                <w:p w14:paraId="391A514B">
                  <w:pPr>
                    <w:widowControl/>
                    <w:jc w:val="center"/>
                    <w:textAlignment w:val="center"/>
                    <w:rPr>
                      <w:color w:val="auto"/>
                      <w:sz w:val="18"/>
                      <w:szCs w:val="18"/>
                      <w:highlight w:val="none"/>
                    </w:rPr>
                  </w:pPr>
                  <w:r>
                    <w:rPr>
                      <w:color w:val="auto"/>
                      <w:kern w:val="0"/>
                      <w:sz w:val="18"/>
                      <w:szCs w:val="18"/>
                      <w:highlight w:val="none"/>
                      <w:lang w:bidi="ar"/>
                    </w:rPr>
                    <w:t>混合、研磨</w:t>
                  </w:r>
                </w:p>
              </w:tc>
              <w:tc>
                <w:tcPr>
                  <w:tcW w:w="1264" w:type="pct"/>
                  <w:tcBorders>
                    <w:tl2br w:val="nil"/>
                    <w:tr2bl w:val="nil"/>
                  </w:tcBorders>
                  <w:noWrap/>
                  <w:vAlign w:val="center"/>
                </w:tcPr>
                <w:p w14:paraId="470AF15B">
                  <w:pPr>
                    <w:widowControl/>
                    <w:jc w:val="center"/>
                    <w:textAlignment w:val="center"/>
                    <w:rPr>
                      <w:color w:val="auto"/>
                      <w:sz w:val="18"/>
                      <w:szCs w:val="18"/>
                      <w:highlight w:val="none"/>
                    </w:rPr>
                  </w:pPr>
                  <w:r>
                    <w:rPr>
                      <w:color w:val="auto"/>
                      <w:kern w:val="0"/>
                      <w:sz w:val="18"/>
                      <w:szCs w:val="18"/>
                      <w:highlight w:val="none"/>
                      <w:lang w:bidi="ar"/>
                    </w:rPr>
                    <w:t>废弃研磨介质</w:t>
                  </w:r>
                </w:p>
              </w:tc>
              <w:tc>
                <w:tcPr>
                  <w:tcW w:w="1663" w:type="pct"/>
                  <w:tcBorders>
                    <w:tl2br w:val="nil"/>
                    <w:tr2bl w:val="nil"/>
                  </w:tcBorders>
                  <w:noWrap/>
                  <w:vAlign w:val="center"/>
                </w:tcPr>
                <w:p w14:paraId="3CFE18EC">
                  <w:pPr>
                    <w:widowControl/>
                    <w:jc w:val="center"/>
                    <w:textAlignment w:val="center"/>
                    <w:rPr>
                      <w:color w:val="auto"/>
                      <w:sz w:val="18"/>
                      <w:szCs w:val="18"/>
                      <w:highlight w:val="none"/>
                    </w:rPr>
                  </w:pPr>
                  <w:r>
                    <w:rPr>
                      <w:color w:val="auto"/>
                      <w:kern w:val="0"/>
                      <w:sz w:val="18"/>
                      <w:szCs w:val="18"/>
                      <w:highlight w:val="none"/>
                      <w:lang w:bidi="ar"/>
                    </w:rPr>
                    <w:t>废锆珠、氧化铝珠</w:t>
                  </w:r>
                </w:p>
              </w:tc>
            </w:tr>
            <w:tr w14:paraId="4099F6B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 w:hRule="atLeast"/>
                <w:jc w:val="center"/>
              </w:trPr>
              <w:tc>
                <w:tcPr>
                  <w:tcW w:w="473" w:type="pct"/>
                  <w:vMerge w:val="continue"/>
                  <w:tcBorders>
                    <w:tl2br w:val="nil"/>
                    <w:tr2bl w:val="nil"/>
                  </w:tcBorders>
                  <w:noWrap/>
                  <w:vAlign w:val="center"/>
                </w:tcPr>
                <w:p w14:paraId="0199DE66">
                  <w:pPr>
                    <w:jc w:val="center"/>
                    <w:rPr>
                      <w:color w:val="auto"/>
                      <w:sz w:val="18"/>
                      <w:szCs w:val="18"/>
                      <w:highlight w:val="none"/>
                    </w:rPr>
                  </w:pPr>
                </w:p>
              </w:tc>
              <w:tc>
                <w:tcPr>
                  <w:tcW w:w="387" w:type="pct"/>
                  <w:tcBorders>
                    <w:tl2br w:val="nil"/>
                    <w:tr2bl w:val="nil"/>
                  </w:tcBorders>
                  <w:noWrap/>
                  <w:vAlign w:val="center"/>
                </w:tcPr>
                <w:p w14:paraId="0A31F130">
                  <w:pPr>
                    <w:widowControl/>
                    <w:jc w:val="center"/>
                    <w:textAlignment w:val="center"/>
                    <w:rPr>
                      <w:color w:val="auto"/>
                      <w:sz w:val="18"/>
                      <w:szCs w:val="18"/>
                      <w:highlight w:val="none"/>
                    </w:rPr>
                  </w:pPr>
                  <w:r>
                    <w:rPr>
                      <w:color w:val="auto"/>
                      <w:kern w:val="0"/>
                      <w:sz w:val="18"/>
                      <w:szCs w:val="18"/>
                      <w:highlight w:val="none"/>
                      <w:lang w:bidi="ar"/>
                    </w:rPr>
                    <w:t>S3</w:t>
                  </w:r>
                </w:p>
              </w:tc>
              <w:tc>
                <w:tcPr>
                  <w:tcW w:w="448" w:type="pct"/>
                  <w:vMerge w:val="continue"/>
                  <w:tcBorders>
                    <w:tl2br w:val="nil"/>
                    <w:tr2bl w:val="nil"/>
                  </w:tcBorders>
                  <w:vAlign w:val="center"/>
                </w:tcPr>
                <w:p w14:paraId="1CC6B0BB">
                  <w:pPr>
                    <w:jc w:val="center"/>
                    <w:rPr>
                      <w:color w:val="auto"/>
                      <w:sz w:val="18"/>
                      <w:szCs w:val="18"/>
                      <w:highlight w:val="none"/>
                    </w:rPr>
                  </w:pPr>
                </w:p>
              </w:tc>
              <w:tc>
                <w:tcPr>
                  <w:tcW w:w="762" w:type="pct"/>
                  <w:tcBorders>
                    <w:tl2br w:val="nil"/>
                    <w:tr2bl w:val="nil"/>
                  </w:tcBorders>
                  <w:noWrap/>
                  <w:vAlign w:val="center"/>
                </w:tcPr>
                <w:p w14:paraId="5BF2D357">
                  <w:pPr>
                    <w:widowControl/>
                    <w:jc w:val="center"/>
                    <w:textAlignment w:val="center"/>
                    <w:rPr>
                      <w:color w:val="auto"/>
                      <w:sz w:val="18"/>
                      <w:szCs w:val="18"/>
                      <w:highlight w:val="none"/>
                    </w:rPr>
                  </w:pPr>
                  <w:r>
                    <w:rPr>
                      <w:color w:val="auto"/>
                      <w:kern w:val="0"/>
                      <w:sz w:val="18"/>
                      <w:szCs w:val="18"/>
                      <w:highlight w:val="none"/>
                      <w:lang w:bidi="ar"/>
                    </w:rPr>
                    <w:t>喷雾干燥</w:t>
                  </w:r>
                </w:p>
              </w:tc>
              <w:tc>
                <w:tcPr>
                  <w:tcW w:w="1264" w:type="pct"/>
                  <w:tcBorders>
                    <w:tl2br w:val="nil"/>
                    <w:tr2bl w:val="nil"/>
                  </w:tcBorders>
                  <w:noWrap/>
                  <w:vAlign w:val="center"/>
                </w:tcPr>
                <w:p w14:paraId="7371C633">
                  <w:pPr>
                    <w:widowControl/>
                    <w:jc w:val="center"/>
                    <w:textAlignment w:val="center"/>
                    <w:rPr>
                      <w:color w:val="auto"/>
                      <w:sz w:val="18"/>
                      <w:szCs w:val="18"/>
                      <w:highlight w:val="none"/>
                    </w:rPr>
                  </w:pPr>
                  <w:r>
                    <w:rPr>
                      <w:color w:val="auto"/>
                      <w:kern w:val="0"/>
                      <w:sz w:val="18"/>
                      <w:szCs w:val="18"/>
                      <w:highlight w:val="none"/>
                      <w:lang w:bidi="ar"/>
                    </w:rPr>
                    <w:t>集尘</w:t>
                  </w:r>
                </w:p>
              </w:tc>
              <w:tc>
                <w:tcPr>
                  <w:tcW w:w="1663" w:type="pct"/>
                  <w:tcBorders>
                    <w:tl2br w:val="nil"/>
                    <w:tr2bl w:val="nil"/>
                  </w:tcBorders>
                  <w:noWrap/>
                  <w:vAlign w:val="center"/>
                </w:tcPr>
                <w:p w14:paraId="55ADED40">
                  <w:pPr>
                    <w:widowControl/>
                    <w:jc w:val="center"/>
                    <w:textAlignment w:val="center"/>
                    <w:rPr>
                      <w:color w:val="auto"/>
                      <w:sz w:val="18"/>
                      <w:szCs w:val="18"/>
                      <w:highlight w:val="none"/>
                    </w:rPr>
                  </w:pPr>
                  <w:r>
                    <w:rPr>
                      <w:color w:val="auto"/>
                      <w:kern w:val="0"/>
                      <w:sz w:val="18"/>
                      <w:szCs w:val="18"/>
                      <w:highlight w:val="none"/>
                      <w:lang w:bidi="ar"/>
                    </w:rPr>
                    <w:t>集尘</w:t>
                  </w:r>
                </w:p>
              </w:tc>
            </w:tr>
            <w:tr w14:paraId="158BD6F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 w:hRule="atLeast"/>
                <w:jc w:val="center"/>
              </w:trPr>
              <w:tc>
                <w:tcPr>
                  <w:tcW w:w="473" w:type="pct"/>
                  <w:vMerge w:val="continue"/>
                  <w:tcBorders>
                    <w:tl2br w:val="nil"/>
                    <w:tr2bl w:val="nil"/>
                  </w:tcBorders>
                  <w:noWrap/>
                  <w:vAlign w:val="center"/>
                </w:tcPr>
                <w:p w14:paraId="1E09EB23">
                  <w:pPr>
                    <w:jc w:val="center"/>
                    <w:rPr>
                      <w:color w:val="auto"/>
                      <w:sz w:val="18"/>
                      <w:szCs w:val="18"/>
                      <w:highlight w:val="none"/>
                    </w:rPr>
                  </w:pPr>
                </w:p>
              </w:tc>
              <w:tc>
                <w:tcPr>
                  <w:tcW w:w="387" w:type="pct"/>
                  <w:tcBorders>
                    <w:tl2br w:val="nil"/>
                    <w:tr2bl w:val="nil"/>
                  </w:tcBorders>
                  <w:noWrap/>
                  <w:vAlign w:val="center"/>
                </w:tcPr>
                <w:p w14:paraId="154AE2D1">
                  <w:pPr>
                    <w:widowControl/>
                    <w:jc w:val="center"/>
                    <w:textAlignment w:val="center"/>
                    <w:rPr>
                      <w:color w:val="auto"/>
                      <w:sz w:val="18"/>
                      <w:szCs w:val="18"/>
                      <w:highlight w:val="none"/>
                    </w:rPr>
                  </w:pPr>
                  <w:r>
                    <w:rPr>
                      <w:color w:val="auto"/>
                      <w:kern w:val="0"/>
                      <w:sz w:val="18"/>
                      <w:szCs w:val="18"/>
                      <w:highlight w:val="none"/>
                      <w:lang w:bidi="ar"/>
                    </w:rPr>
                    <w:t>S4</w:t>
                  </w:r>
                </w:p>
              </w:tc>
              <w:tc>
                <w:tcPr>
                  <w:tcW w:w="448" w:type="pct"/>
                  <w:vMerge w:val="continue"/>
                  <w:tcBorders>
                    <w:tl2br w:val="nil"/>
                    <w:tr2bl w:val="nil"/>
                  </w:tcBorders>
                  <w:vAlign w:val="center"/>
                </w:tcPr>
                <w:p w14:paraId="1A083BB3">
                  <w:pPr>
                    <w:jc w:val="center"/>
                    <w:rPr>
                      <w:color w:val="auto"/>
                      <w:sz w:val="18"/>
                      <w:szCs w:val="18"/>
                      <w:highlight w:val="none"/>
                    </w:rPr>
                  </w:pPr>
                </w:p>
              </w:tc>
              <w:tc>
                <w:tcPr>
                  <w:tcW w:w="762" w:type="pct"/>
                  <w:tcBorders>
                    <w:tl2br w:val="nil"/>
                    <w:tr2bl w:val="nil"/>
                  </w:tcBorders>
                  <w:noWrap/>
                  <w:vAlign w:val="center"/>
                </w:tcPr>
                <w:p w14:paraId="547EB134">
                  <w:pPr>
                    <w:widowControl/>
                    <w:jc w:val="center"/>
                    <w:textAlignment w:val="center"/>
                    <w:rPr>
                      <w:color w:val="auto"/>
                      <w:sz w:val="18"/>
                      <w:szCs w:val="18"/>
                      <w:highlight w:val="none"/>
                    </w:rPr>
                  </w:pPr>
                  <w:r>
                    <w:rPr>
                      <w:color w:val="auto"/>
                      <w:kern w:val="0"/>
                      <w:sz w:val="18"/>
                      <w:szCs w:val="18"/>
                      <w:highlight w:val="none"/>
                      <w:lang w:bidi="ar"/>
                    </w:rPr>
                    <w:t>喷雾干燥</w:t>
                  </w:r>
                </w:p>
              </w:tc>
              <w:tc>
                <w:tcPr>
                  <w:tcW w:w="1264" w:type="pct"/>
                  <w:tcBorders>
                    <w:tl2br w:val="nil"/>
                    <w:tr2bl w:val="nil"/>
                  </w:tcBorders>
                  <w:noWrap/>
                  <w:vAlign w:val="center"/>
                </w:tcPr>
                <w:p w14:paraId="1A49C2C2">
                  <w:pPr>
                    <w:widowControl/>
                    <w:jc w:val="center"/>
                    <w:textAlignment w:val="center"/>
                    <w:rPr>
                      <w:color w:val="auto"/>
                      <w:sz w:val="18"/>
                      <w:szCs w:val="18"/>
                      <w:highlight w:val="none"/>
                    </w:rPr>
                  </w:pPr>
                  <w:r>
                    <w:rPr>
                      <w:color w:val="auto"/>
                      <w:kern w:val="0"/>
                      <w:sz w:val="18"/>
                      <w:szCs w:val="18"/>
                      <w:highlight w:val="none"/>
                      <w:lang w:bidi="ar"/>
                    </w:rPr>
                    <w:t>不合格粉体</w:t>
                  </w:r>
                </w:p>
              </w:tc>
              <w:tc>
                <w:tcPr>
                  <w:tcW w:w="1663" w:type="pct"/>
                  <w:tcBorders>
                    <w:tl2br w:val="nil"/>
                    <w:tr2bl w:val="nil"/>
                  </w:tcBorders>
                  <w:noWrap/>
                  <w:vAlign w:val="center"/>
                </w:tcPr>
                <w:p w14:paraId="7F326BED">
                  <w:pPr>
                    <w:widowControl/>
                    <w:jc w:val="center"/>
                    <w:textAlignment w:val="center"/>
                    <w:rPr>
                      <w:color w:val="auto"/>
                      <w:sz w:val="18"/>
                      <w:szCs w:val="18"/>
                      <w:highlight w:val="none"/>
                    </w:rPr>
                  </w:pPr>
                  <w:r>
                    <w:rPr>
                      <w:color w:val="auto"/>
                      <w:kern w:val="0"/>
                      <w:sz w:val="18"/>
                      <w:szCs w:val="18"/>
                      <w:highlight w:val="none"/>
                      <w:lang w:bidi="ar"/>
                    </w:rPr>
                    <w:t>废正极材料粉体</w:t>
                  </w:r>
                </w:p>
              </w:tc>
            </w:tr>
            <w:tr w14:paraId="581C6CA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 w:hRule="atLeast"/>
                <w:jc w:val="center"/>
              </w:trPr>
              <w:tc>
                <w:tcPr>
                  <w:tcW w:w="473" w:type="pct"/>
                  <w:vMerge w:val="continue"/>
                  <w:tcBorders>
                    <w:tl2br w:val="nil"/>
                    <w:tr2bl w:val="nil"/>
                  </w:tcBorders>
                  <w:noWrap/>
                  <w:vAlign w:val="center"/>
                </w:tcPr>
                <w:p w14:paraId="117E2605">
                  <w:pPr>
                    <w:jc w:val="center"/>
                    <w:rPr>
                      <w:color w:val="auto"/>
                      <w:sz w:val="18"/>
                      <w:szCs w:val="18"/>
                      <w:highlight w:val="none"/>
                    </w:rPr>
                  </w:pPr>
                </w:p>
              </w:tc>
              <w:tc>
                <w:tcPr>
                  <w:tcW w:w="387" w:type="pct"/>
                  <w:tcBorders>
                    <w:tl2br w:val="nil"/>
                    <w:tr2bl w:val="nil"/>
                  </w:tcBorders>
                  <w:noWrap/>
                  <w:vAlign w:val="center"/>
                </w:tcPr>
                <w:p w14:paraId="4CB8987C">
                  <w:pPr>
                    <w:widowControl/>
                    <w:jc w:val="center"/>
                    <w:textAlignment w:val="center"/>
                    <w:rPr>
                      <w:color w:val="auto"/>
                      <w:sz w:val="18"/>
                      <w:szCs w:val="18"/>
                      <w:highlight w:val="none"/>
                    </w:rPr>
                  </w:pPr>
                  <w:r>
                    <w:rPr>
                      <w:color w:val="auto"/>
                      <w:kern w:val="0"/>
                      <w:sz w:val="18"/>
                      <w:szCs w:val="18"/>
                      <w:highlight w:val="none"/>
                      <w:lang w:bidi="ar"/>
                    </w:rPr>
                    <w:t>S5</w:t>
                  </w:r>
                </w:p>
              </w:tc>
              <w:tc>
                <w:tcPr>
                  <w:tcW w:w="448" w:type="pct"/>
                  <w:vMerge w:val="continue"/>
                  <w:tcBorders>
                    <w:tl2br w:val="nil"/>
                    <w:tr2bl w:val="nil"/>
                  </w:tcBorders>
                  <w:vAlign w:val="center"/>
                </w:tcPr>
                <w:p w14:paraId="091768A6">
                  <w:pPr>
                    <w:jc w:val="center"/>
                    <w:rPr>
                      <w:color w:val="auto"/>
                      <w:sz w:val="18"/>
                      <w:szCs w:val="18"/>
                      <w:highlight w:val="none"/>
                    </w:rPr>
                  </w:pPr>
                </w:p>
              </w:tc>
              <w:tc>
                <w:tcPr>
                  <w:tcW w:w="762" w:type="pct"/>
                  <w:tcBorders>
                    <w:tl2br w:val="nil"/>
                    <w:tr2bl w:val="nil"/>
                  </w:tcBorders>
                  <w:noWrap/>
                  <w:vAlign w:val="center"/>
                </w:tcPr>
                <w:p w14:paraId="34DB47B1">
                  <w:pPr>
                    <w:widowControl/>
                    <w:jc w:val="center"/>
                    <w:textAlignment w:val="center"/>
                    <w:rPr>
                      <w:color w:val="auto"/>
                      <w:sz w:val="18"/>
                      <w:szCs w:val="18"/>
                      <w:highlight w:val="none"/>
                    </w:rPr>
                  </w:pPr>
                  <w:r>
                    <w:rPr>
                      <w:color w:val="auto"/>
                      <w:kern w:val="0"/>
                      <w:sz w:val="18"/>
                      <w:szCs w:val="18"/>
                      <w:highlight w:val="none"/>
                      <w:lang w:bidi="ar"/>
                    </w:rPr>
                    <w:t>气流粉碎</w:t>
                  </w:r>
                </w:p>
              </w:tc>
              <w:tc>
                <w:tcPr>
                  <w:tcW w:w="1264" w:type="pct"/>
                  <w:tcBorders>
                    <w:tl2br w:val="nil"/>
                    <w:tr2bl w:val="nil"/>
                  </w:tcBorders>
                  <w:noWrap/>
                  <w:vAlign w:val="center"/>
                </w:tcPr>
                <w:p w14:paraId="6801A6C0">
                  <w:pPr>
                    <w:widowControl/>
                    <w:jc w:val="center"/>
                    <w:textAlignment w:val="center"/>
                    <w:rPr>
                      <w:color w:val="auto"/>
                      <w:sz w:val="18"/>
                      <w:szCs w:val="18"/>
                      <w:highlight w:val="none"/>
                    </w:rPr>
                  </w:pPr>
                  <w:r>
                    <w:rPr>
                      <w:color w:val="auto"/>
                      <w:kern w:val="0"/>
                      <w:sz w:val="18"/>
                      <w:szCs w:val="18"/>
                      <w:highlight w:val="none"/>
                      <w:lang w:bidi="ar"/>
                    </w:rPr>
                    <w:t>集尘</w:t>
                  </w:r>
                </w:p>
              </w:tc>
              <w:tc>
                <w:tcPr>
                  <w:tcW w:w="1663" w:type="pct"/>
                  <w:tcBorders>
                    <w:tl2br w:val="nil"/>
                    <w:tr2bl w:val="nil"/>
                  </w:tcBorders>
                  <w:noWrap/>
                  <w:vAlign w:val="center"/>
                </w:tcPr>
                <w:p w14:paraId="4F24FD08">
                  <w:pPr>
                    <w:widowControl/>
                    <w:jc w:val="center"/>
                    <w:textAlignment w:val="center"/>
                    <w:rPr>
                      <w:color w:val="auto"/>
                      <w:sz w:val="18"/>
                      <w:szCs w:val="18"/>
                      <w:highlight w:val="none"/>
                    </w:rPr>
                  </w:pPr>
                  <w:r>
                    <w:rPr>
                      <w:color w:val="auto"/>
                      <w:kern w:val="0"/>
                      <w:sz w:val="18"/>
                      <w:szCs w:val="18"/>
                      <w:highlight w:val="none"/>
                      <w:lang w:bidi="ar"/>
                    </w:rPr>
                    <w:t>集尘</w:t>
                  </w:r>
                </w:p>
              </w:tc>
            </w:tr>
            <w:tr w14:paraId="5C213E2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 w:hRule="atLeast"/>
                <w:jc w:val="center"/>
              </w:trPr>
              <w:tc>
                <w:tcPr>
                  <w:tcW w:w="473" w:type="pct"/>
                  <w:vMerge w:val="continue"/>
                  <w:tcBorders>
                    <w:tl2br w:val="nil"/>
                    <w:tr2bl w:val="nil"/>
                  </w:tcBorders>
                  <w:noWrap/>
                  <w:vAlign w:val="center"/>
                </w:tcPr>
                <w:p w14:paraId="4C005D13">
                  <w:pPr>
                    <w:jc w:val="center"/>
                    <w:rPr>
                      <w:color w:val="auto"/>
                      <w:sz w:val="18"/>
                      <w:szCs w:val="18"/>
                      <w:highlight w:val="none"/>
                    </w:rPr>
                  </w:pPr>
                </w:p>
              </w:tc>
              <w:tc>
                <w:tcPr>
                  <w:tcW w:w="387" w:type="pct"/>
                  <w:tcBorders>
                    <w:tl2br w:val="nil"/>
                    <w:tr2bl w:val="nil"/>
                  </w:tcBorders>
                  <w:noWrap/>
                  <w:vAlign w:val="center"/>
                </w:tcPr>
                <w:p w14:paraId="06115319">
                  <w:pPr>
                    <w:widowControl/>
                    <w:jc w:val="center"/>
                    <w:textAlignment w:val="center"/>
                    <w:rPr>
                      <w:color w:val="auto"/>
                      <w:sz w:val="18"/>
                      <w:szCs w:val="18"/>
                      <w:highlight w:val="none"/>
                    </w:rPr>
                  </w:pPr>
                  <w:r>
                    <w:rPr>
                      <w:color w:val="auto"/>
                      <w:kern w:val="0"/>
                      <w:sz w:val="18"/>
                      <w:szCs w:val="18"/>
                      <w:highlight w:val="none"/>
                      <w:lang w:bidi="ar"/>
                    </w:rPr>
                    <w:t>S6</w:t>
                  </w:r>
                </w:p>
              </w:tc>
              <w:tc>
                <w:tcPr>
                  <w:tcW w:w="448" w:type="pct"/>
                  <w:vMerge w:val="continue"/>
                  <w:tcBorders>
                    <w:tl2br w:val="nil"/>
                    <w:tr2bl w:val="nil"/>
                  </w:tcBorders>
                  <w:vAlign w:val="center"/>
                </w:tcPr>
                <w:p w14:paraId="151EF052">
                  <w:pPr>
                    <w:jc w:val="center"/>
                    <w:rPr>
                      <w:color w:val="auto"/>
                      <w:sz w:val="18"/>
                      <w:szCs w:val="18"/>
                      <w:highlight w:val="none"/>
                    </w:rPr>
                  </w:pPr>
                </w:p>
              </w:tc>
              <w:tc>
                <w:tcPr>
                  <w:tcW w:w="762" w:type="pct"/>
                  <w:tcBorders>
                    <w:tl2br w:val="nil"/>
                    <w:tr2bl w:val="nil"/>
                  </w:tcBorders>
                  <w:noWrap/>
                  <w:vAlign w:val="center"/>
                </w:tcPr>
                <w:p w14:paraId="7DAF7C97">
                  <w:pPr>
                    <w:widowControl/>
                    <w:jc w:val="center"/>
                    <w:textAlignment w:val="center"/>
                    <w:rPr>
                      <w:color w:val="auto"/>
                      <w:sz w:val="18"/>
                      <w:szCs w:val="18"/>
                      <w:highlight w:val="none"/>
                    </w:rPr>
                  </w:pPr>
                  <w:r>
                    <w:rPr>
                      <w:color w:val="auto"/>
                      <w:kern w:val="0"/>
                      <w:sz w:val="18"/>
                      <w:szCs w:val="18"/>
                      <w:highlight w:val="none"/>
                      <w:lang w:bidi="ar"/>
                    </w:rPr>
                    <w:t>振动筛分</w:t>
                  </w:r>
                </w:p>
              </w:tc>
              <w:tc>
                <w:tcPr>
                  <w:tcW w:w="1264" w:type="pct"/>
                  <w:tcBorders>
                    <w:tl2br w:val="nil"/>
                    <w:tr2bl w:val="nil"/>
                  </w:tcBorders>
                  <w:noWrap/>
                  <w:vAlign w:val="center"/>
                </w:tcPr>
                <w:p w14:paraId="5BEBA355">
                  <w:pPr>
                    <w:widowControl/>
                    <w:jc w:val="center"/>
                    <w:textAlignment w:val="center"/>
                    <w:rPr>
                      <w:color w:val="auto"/>
                      <w:sz w:val="18"/>
                      <w:szCs w:val="18"/>
                      <w:highlight w:val="none"/>
                    </w:rPr>
                  </w:pPr>
                  <w:r>
                    <w:rPr>
                      <w:color w:val="auto"/>
                      <w:kern w:val="0"/>
                      <w:sz w:val="18"/>
                      <w:szCs w:val="18"/>
                      <w:highlight w:val="none"/>
                      <w:lang w:bidi="ar"/>
                    </w:rPr>
                    <w:t>不合格粉体</w:t>
                  </w:r>
                </w:p>
              </w:tc>
              <w:tc>
                <w:tcPr>
                  <w:tcW w:w="1663" w:type="pct"/>
                  <w:tcBorders>
                    <w:tl2br w:val="nil"/>
                    <w:tr2bl w:val="nil"/>
                  </w:tcBorders>
                  <w:noWrap/>
                  <w:vAlign w:val="center"/>
                </w:tcPr>
                <w:p w14:paraId="350F8422">
                  <w:pPr>
                    <w:widowControl/>
                    <w:jc w:val="center"/>
                    <w:textAlignment w:val="center"/>
                    <w:rPr>
                      <w:color w:val="auto"/>
                      <w:sz w:val="18"/>
                      <w:szCs w:val="18"/>
                      <w:highlight w:val="none"/>
                    </w:rPr>
                  </w:pPr>
                  <w:r>
                    <w:rPr>
                      <w:color w:val="auto"/>
                      <w:kern w:val="0"/>
                      <w:sz w:val="18"/>
                      <w:szCs w:val="18"/>
                      <w:highlight w:val="none"/>
                      <w:lang w:bidi="ar"/>
                    </w:rPr>
                    <w:t>废正极材料粉体</w:t>
                  </w:r>
                </w:p>
              </w:tc>
            </w:tr>
            <w:tr w14:paraId="7C3231E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 w:hRule="atLeast"/>
                <w:jc w:val="center"/>
              </w:trPr>
              <w:tc>
                <w:tcPr>
                  <w:tcW w:w="473" w:type="pct"/>
                  <w:vMerge w:val="continue"/>
                  <w:tcBorders>
                    <w:tl2br w:val="nil"/>
                    <w:tr2bl w:val="nil"/>
                  </w:tcBorders>
                  <w:noWrap/>
                  <w:vAlign w:val="center"/>
                </w:tcPr>
                <w:p w14:paraId="68F17DF1">
                  <w:pPr>
                    <w:jc w:val="center"/>
                    <w:rPr>
                      <w:color w:val="auto"/>
                      <w:sz w:val="18"/>
                      <w:szCs w:val="18"/>
                      <w:highlight w:val="none"/>
                    </w:rPr>
                  </w:pPr>
                </w:p>
              </w:tc>
              <w:tc>
                <w:tcPr>
                  <w:tcW w:w="387" w:type="pct"/>
                  <w:tcBorders>
                    <w:tl2br w:val="nil"/>
                    <w:tr2bl w:val="nil"/>
                  </w:tcBorders>
                  <w:noWrap/>
                  <w:vAlign w:val="center"/>
                </w:tcPr>
                <w:p w14:paraId="1450B176">
                  <w:pPr>
                    <w:widowControl/>
                    <w:jc w:val="center"/>
                    <w:textAlignment w:val="center"/>
                    <w:rPr>
                      <w:color w:val="auto"/>
                      <w:sz w:val="18"/>
                      <w:szCs w:val="18"/>
                      <w:highlight w:val="none"/>
                    </w:rPr>
                  </w:pPr>
                  <w:r>
                    <w:rPr>
                      <w:color w:val="auto"/>
                      <w:kern w:val="0"/>
                      <w:sz w:val="18"/>
                      <w:szCs w:val="18"/>
                      <w:highlight w:val="none"/>
                      <w:lang w:bidi="ar"/>
                    </w:rPr>
                    <w:t>S7</w:t>
                  </w:r>
                </w:p>
              </w:tc>
              <w:tc>
                <w:tcPr>
                  <w:tcW w:w="448" w:type="pct"/>
                  <w:vMerge w:val="restart"/>
                  <w:tcBorders>
                    <w:tl2br w:val="nil"/>
                    <w:tr2bl w:val="nil"/>
                  </w:tcBorders>
                  <w:vAlign w:val="center"/>
                </w:tcPr>
                <w:p w14:paraId="588FA694">
                  <w:pPr>
                    <w:widowControl/>
                    <w:jc w:val="center"/>
                    <w:textAlignment w:val="center"/>
                    <w:rPr>
                      <w:color w:val="auto"/>
                      <w:sz w:val="18"/>
                      <w:szCs w:val="18"/>
                      <w:highlight w:val="none"/>
                    </w:rPr>
                  </w:pPr>
                  <w:r>
                    <w:rPr>
                      <w:color w:val="auto"/>
                      <w:kern w:val="0"/>
                      <w:sz w:val="18"/>
                      <w:szCs w:val="18"/>
                      <w:highlight w:val="none"/>
                      <w:lang w:bidi="ar"/>
                    </w:rPr>
                    <w:t>扣电组装测试</w:t>
                  </w:r>
                </w:p>
              </w:tc>
              <w:tc>
                <w:tcPr>
                  <w:tcW w:w="762" w:type="pct"/>
                  <w:tcBorders>
                    <w:tl2br w:val="nil"/>
                    <w:tr2bl w:val="nil"/>
                  </w:tcBorders>
                  <w:noWrap/>
                  <w:vAlign w:val="center"/>
                </w:tcPr>
                <w:p w14:paraId="02DF633A">
                  <w:pPr>
                    <w:widowControl/>
                    <w:jc w:val="center"/>
                    <w:textAlignment w:val="center"/>
                    <w:rPr>
                      <w:color w:val="auto"/>
                      <w:sz w:val="18"/>
                      <w:szCs w:val="18"/>
                      <w:highlight w:val="none"/>
                    </w:rPr>
                  </w:pPr>
                  <w:r>
                    <w:rPr>
                      <w:color w:val="auto"/>
                      <w:kern w:val="0"/>
                      <w:sz w:val="18"/>
                      <w:szCs w:val="18"/>
                      <w:highlight w:val="none"/>
                      <w:lang w:bidi="ar"/>
                    </w:rPr>
                    <w:t>粉体理化性质测定</w:t>
                  </w:r>
                </w:p>
              </w:tc>
              <w:tc>
                <w:tcPr>
                  <w:tcW w:w="1264" w:type="pct"/>
                  <w:tcBorders>
                    <w:tl2br w:val="nil"/>
                    <w:tr2bl w:val="nil"/>
                  </w:tcBorders>
                  <w:noWrap/>
                  <w:vAlign w:val="center"/>
                </w:tcPr>
                <w:p w14:paraId="6BB308A4">
                  <w:pPr>
                    <w:widowControl/>
                    <w:jc w:val="center"/>
                    <w:textAlignment w:val="center"/>
                    <w:rPr>
                      <w:color w:val="auto"/>
                      <w:sz w:val="18"/>
                      <w:szCs w:val="18"/>
                      <w:highlight w:val="none"/>
                    </w:rPr>
                  </w:pPr>
                  <w:r>
                    <w:rPr>
                      <w:color w:val="auto"/>
                      <w:kern w:val="0"/>
                      <w:sz w:val="18"/>
                      <w:szCs w:val="18"/>
                      <w:highlight w:val="none"/>
                      <w:lang w:bidi="ar"/>
                    </w:rPr>
                    <w:t>测试废料</w:t>
                  </w:r>
                </w:p>
              </w:tc>
              <w:tc>
                <w:tcPr>
                  <w:tcW w:w="1663" w:type="pct"/>
                  <w:tcBorders>
                    <w:tl2br w:val="nil"/>
                    <w:tr2bl w:val="nil"/>
                  </w:tcBorders>
                  <w:noWrap/>
                  <w:vAlign w:val="center"/>
                </w:tcPr>
                <w:p w14:paraId="4855F12F">
                  <w:pPr>
                    <w:widowControl/>
                    <w:jc w:val="center"/>
                    <w:textAlignment w:val="center"/>
                    <w:rPr>
                      <w:color w:val="auto"/>
                      <w:sz w:val="18"/>
                      <w:szCs w:val="18"/>
                      <w:highlight w:val="none"/>
                    </w:rPr>
                  </w:pPr>
                  <w:r>
                    <w:rPr>
                      <w:color w:val="auto"/>
                      <w:kern w:val="0"/>
                      <w:sz w:val="18"/>
                      <w:szCs w:val="18"/>
                      <w:highlight w:val="none"/>
                      <w:lang w:bidi="ar"/>
                    </w:rPr>
                    <w:t>废正极材料</w:t>
                  </w:r>
                </w:p>
              </w:tc>
            </w:tr>
            <w:tr w14:paraId="6342C13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 w:hRule="atLeast"/>
                <w:jc w:val="center"/>
              </w:trPr>
              <w:tc>
                <w:tcPr>
                  <w:tcW w:w="473" w:type="pct"/>
                  <w:vMerge w:val="continue"/>
                  <w:tcBorders>
                    <w:tl2br w:val="nil"/>
                    <w:tr2bl w:val="nil"/>
                  </w:tcBorders>
                  <w:noWrap/>
                  <w:vAlign w:val="center"/>
                </w:tcPr>
                <w:p w14:paraId="71B45599">
                  <w:pPr>
                    <w:jc w:val="center"/>
                    <w:rPr>
                      <w:color w:val="auto"/>
                      <w:sz w:val="18"/>
                      <w:szCs w:val="18"/>
                      <w:highlight w:val="none"/>
                    </w:rPr>
                  </w:pPr>
                </w:p>
              </w:tc>
              <w:tc>
                <w:tcPr>
                  <w:tcW w:w="387" w:type="pct"/>
                  <w:tcBorders>
                    <w:tl2br w:val="nil"/>
                    <w:tr2bl w:val="nil"/>
                  </w:tcBorders>
                  <w:noWrap/>
                  <w:vAlign w:val="center"/>
                </w:tcPr>
                <w:p w14:paraId="6EB43368">
                  <w:pPr>
                    <w:widowControl/>
                    <w:jc w:val="center"/>
                    <w:textAlignment w:val="center"/>
                    <w:rPr>
                      <w:color w:val="auto"/>
                      <w:sz w:val="18"/>
                      <w:szCs w:val="18"/>
                      <w:highlight w:val="none"/>
                    </w:rPr>
                  </w:pPr>
                  <w:r>
                    <w:rPr>
                      <w:color w:val="auto"/>
                      <w:kern w:val="0"/>
                      <w:sz w:val="18"/>
                      <w:szCs w:val="18"/>
                      <w:highlight w:val="none"/>
                      <w:lang w:bidi="ar"/>
                    </w:rPr>
                    <w:t>S8</w:t>
                  </w:r>
                </w:p>
              </w:tc>
              <w:tc>
                <w:tcPr>
                  <w:tcW w:w="448" w:type="pct"/>
                  <w:vMerge w:val="continue"/>
                  <w:tcBorders>
                    <w:tl2br w:val="nil"/>
                    <w:tr2bl w:val="nil"/>
                  </w:tcBorders>
                  <w:vAlign w:val="center"/>
                </w:tcPr>
                <w:p w14:paraId="2FD0A625">
                  <w:pPr>
                    <w:jc w:val="center"/>
                    <w:rPr>
                      <w:color w:val="auto"/>
                      <w:sz w:val="18"/>
                      <w:szCs w:val="18"/>
                      <w:highlight w:val="none"/>
                    </w:rPr>
                  </w:pPr>
                </w:p>
              </w:tc>
              <w:tc>
                <w:tcPr>
                  <w:tcW w:w="762" w:type="pct"/>
                  <w:tcBorders>
                    <w:tl2br w:val="nil"/>
                    <w:tr2bl w:val="nil"/>
                  </w:tcBorders>
                  <w:noWrap/>
                  <w:vAlign w:val="center"/>
                </w:tcPr>
                <w:p w14:paraId="78C1A8C4">
                  <w:pPr>
                    <w:widowControl/>
                    <w:jc w:val="center"/>
                    <w:textAlignment w:val="center"/>
                    <w:rPr>
                      <w:color w:val="auto"/>
                      <w:sz w:val="18"/>
                      <w:szCs w:val="18"/>
                      <w:highlight w:val="none"/>
                    </w:rPr>
                  </w:pPr>
                  <w:r>
                    <w:rPr>
                      <w:color w:val="auto"/>
                      <w:kern w:val="0"/>
                      <w:sz w:val="18"/>
                      <w:szCs w:val="18"/>
                      <w:highlight w:val="none"/>
                      <w:lang w:bidi="ar"/>
                    </w:rPr>
                    <w:t>制胶、匀浆</w:t>
                  </w:r>
                </w:p>
              </w:tc>
              <w:tc>
                <w:tcPr>
                  <w:tcW w:w="1264" w:type="pct"/>
                  <w:tcBorders>
                    <w:tl2br w:val="nil"/>
                    <w:tr2bl w:val="nil"/>
                  </w:tcBorders>
                  <w:noWrap/>
                  <w:vAlign w:val="center"/>
                </w:tcPr>
                <w:p w14:paraId="10103A8F">
                  <w:pPr>
                    <w:widowControl/>
                    <w:jc w:val="center"/>
                    <w:textAlignment w:val="center"/>
                    <w:rPr>
                      <w:color w:val="auto"/>
                      <w:sz w:val="18"/>
                      <w:szCs w:val="18"/>
                      <w:highlight w:val="none"/>
                    </w:rPr>
                  </w:pPr>
                  <w:r>
                    <w:rPr>
                      <w:color w:val="auto"/>
                      <w:sz w:val="18"/>
                      <w:szCs w:val="18"/>
                      <w:highlight w:val="none"/>
                    </w:rPr>
                    <w:t>沾染化学品的废包装材料</w:t>
                  </w:r>
                </w:p>
              </w:tc>
              <w:tc>
                <w:tcPr>
                  <w:tcW w:w="1663" w:type="pct"/>
                  <w:tcBorders>
                    <w:tl2br w:val="nil"/>
                    <w:tr2bl w:val="nil"/>
                  </w:tcBorders>
                  <w:noWrap/>
                  <w:vAlign w:val="center"/>
                </w:tcPr>
                <w:p w14:paraId="1712DCC6">
                  <w:pPr>
                    <w:widowControl/>
                    <w:jc w:val="center"/>
                    <w:textAlignment w:val="center"/>
                    <w:rPr>
                      <w:color w:val="auto"/>
                      <w:sz w:val="18"/>
                      <w:szCs w:val="18"/>
                      <w:highlight w:val="none"/>
                    </w:rPr>
                  </w:pPr>
                  <w:r>
                    <w:rPr>
                      <w:color w:val="auto"/>
                      <w:kern w:val="0"/>
                      <w:sz w:val="18"/>
                      <w:szCs w:val="18"/>
                      <w:highlight w:val="none"/>
                      <w:lang w:bidi="ar"/>
                    </w:rPr>
                    <w:t>Super P、PVDF、NMP、电解液等</w:t>
                  </w:r>
                </w:p>
              </w:tc>
            </w:tr>
            <w:tr w14:paraId="15F5A76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 w:hRule="atLeast"/>
                <w:jc w:val="center"/>
              </w:trPr>
              <w:tc>
                <w:tcPr>
                  <w:tcW w:w="473" w:type="pct"/>
                  <w:vMerge w:val="continue"/>
                  <w:tcBorders>
                    <w:tl2br w:val="nil"/>
                    <w:tr2bl w:val="nil"/>
                  </w:tcBorders>
                  <w:noWrap/>
                  <w:vAlign w:val="center"/>
                </w:tcPr>
                <w:p w14:paraId="17082C9B">
                  <w:pPr>
                    <w:jc w:val="center"/>
                    <w:rPr>
                      <w:color w:val="auto"/>
                      <w:sz w:val="18"/>
                      <w:szCs w:val="18"/>
                      <w:highlight w:val="none"/>
                    </w:rPr>
                  </w:pPr>
                </w:p>
              </w:tc>
              <w:tc>
                <w:tcPr>
                  <w:tcW w:w="387" w:type="pct"/>
                  <w:tcBorders>
                    <w:tl2br w:val="nil"/>
                    <w:tr2bl w:val="nil"/>
                  </w:tcBorders>
                  <w:noWrap/>
                  <w:vAlign w:val="center"/>
                </w:tcPr>
                <w:p w14:paraId="3E3FA565">
                  <w:pPr>
                    <w:widowControl/>
                    <w:jc w:val="center"/>
                    <w:textAlignment w:val="center"/>
                    <w:rPr>
                      <w:color w:val="auto"/>
                      <w:sz w:val="18"/>
                      <w:szCs w:val="18"/>
                      <w:highlight w:val="none"/>
                    </w:rPr>
                  </w:pPr>
                  <w:r>
                    <w:rPr>
                      <w:color w:val="auto"/>
                      <w:kern w:val="0"/>
                      <w:sz w:val="18"/>
                      <w:szCs w:val="18"/>
                      <w:highlight w:val="none"/>
                      <w:lang w:bidi="ar"/>
                    </w:rPr>
                    <w:t>S9</w:t>
                  </w:r>
                </w:p>
              </w:tc>
              <w:tc>
                <w:tcPr>
                  <w:tcW w:w="448" w:type="pct"/>
                  <w:vMerge w:val="continue"/>
                  <w:tcBorders>
                    <w:tl2br w:val="nil"/>
                    <w:tr2bl w:val="nil"/>
                  </w:tcBorders>
                  <w:vAlign w:val="center"/>
                </w:tcPr>
                <w:p w14:paraId="4FDA6233">
                  <w:pPr>
                    <w:jc w:val="center"/>
                    <w:rPr>
                      <w:color w:val="auto"/>
                      <w:sz w:val="18"/>
                      <w:szCs w:val="18"/>
                      <w:highlight w:val="none"/>
                    </w:rPr>
                  </w:pPr>
                </w:p>
              </w:tc>
              <w:tc>
                <w:tcPr>
                  <w:tcW w:w="762" w:type="pct"/>
                  <w:tcBorders>
                    <w:tl2br w:val="nil"/>
                    <w:tr2bl w:val="nil"/>
                  </w:tcBorders>
                  <w:noWrap/>
                  <w:vAlign w:val="center"/>
                </w:tcPr>
                <w:p w14:paraId="2D4E3909">
                  <w:pPr>
                    <w:widowControl/>
                    <w:jc w:val="center"/>
                    <w:textAlignment w:val="center"/>
                    <w:rPr>
                      <w:color w:val="auto"/>
                      <w:sz w:val="18"/>
                      <w:szCs w:val="18"/>
                      <w:highlight w:val="none"/>
                    </w:rPr>
                  </w:pPr>
                  <w:r>
                    <w:rPr>
                      <w:color w:val="auto"/>
                      <w:kern w:val="0"/>
                      <w:sz w:val="18"/>
                      <w:szCs w:val="18"/>
                      <w:highlight w:val="none"/>
                      <w:lang w:bidi="ar"/>
                    </w:rPr>
                    <w:t>扣电性能测试</w:t>
                  </w:r>
                </w:p>
              </w:tc>
              <w:tc>
                <w:tcPr>
                  <w:tcW w:w="1264" w:type="pct"/>
                  <w:tcBorders>
                    <w:tl2br w:val="nil"/>
                    <w:tr2bl w:val="nil"/>
                  </w:tcBorders>
                  <w:noWrap/>
                  <w:vAlign w:val="center"/>
                </w:tcPr>
                <w:p w14:paraId="0B730745">
                  <w:pPr>
                    <w:widowControl/>
                    <w:jc w:val="center"/>
                    <w:textAlignment w:val="center"/>
                    <w:rPr>
                      <w:color w:val="auto"/>
                      <w:sz w:val="18"/>
                      <w:szCs w:val="18"/>
                      <w:highlight w:val="none"/>
                    </w:rPr>
                  </w:pPr>
                  <w:r>
                    <w:rPr>
                      <w:color w:val="auto"/>
                      <w:kern w:val="0"/>
                      <w:sz w:val="18"/>
                      <w:szCs w:val="18"/>
                      <w:highlight w:val="none"/>
                      <w:lang w:bidi="ar"/>
                    </w:rPr>
                    <w:t>测试废电池</w:t>
                  </w:r>
                </w:p>
              </w:tc>
              <w:tc>
                <w:tcPr>
                  <w:tcW w:w="1663" w:type="pct"/>
                  <w:tcBorders>
                    <w:tl2br w:val="nil"/>
                    <w:tr2bl w:val="nil"/>
                  </w:tcBorders>
                  <w:noWrap/>
                  <w:vAlign w:val="center"/>
                </w:tcPr>
                <w:p w14:paraId="294CB837">
                  <w:pPr>
                    <w:widowControl/>
                    <w:jc w:val="center"/>
                    <w:textAlignment w:val="center"/>
                    <w:rPr>
                      <w:color w:val="auto"/>
                      <w:sz w:val="18"/>
                      <w:szCs w:val="18"/>
                      <w:highlight w:val="none"/>
                    </w:rPr>
                  </w:pPr>
                  <w:r>
                    <w:rPr>
                      <w:color w:val="auto"/>
                      <w:kern w:val="0"/>
                      <w:sz w:val="18"/>
                      <w:szCs w:val="18"/>
                      <w:highlight w:val="none"/>
                      <w:lang w:bidi="ar"/>
                    </w:rPr>
                    <w:t>废纽扣电池</w:t>
                  </w:r>
                </w:p>
              </w:tc>
            </w:tr>
            <w:tr w14:paraId="3075C30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 w:hRule="atLeast"/>
                <w:jc w:val="center"/>
              </w:trPr>
              <w:tc>
                <w:tcPr>
                  <w:tcW w:w="473" w:type="pct"/>
                  <w:vMerge w:val="continue"/>
                  <w:tcBorders>
                    <w:tl2br w:val="nil"/>
                    <w:tr2bl w:val="nil"/>
                  </w:tcBorders>
                  <w:noWrap/>
                  <w:vAlign w:val="center"/>
                </w:tcPr>
                <w:p w14:paraId="6E7B7EF6">
                  <w:pPr>
                    <w:jc w:val="center"/>
                    <w:rPr>
                      <w:color w:val="auto"/>
                      <w:sz w:val="18"/>
                      <w:szCs w:val="18"/>
                      <w:highlight w:val="none"/>
                    </w:rPr>
                  </w:pPr>
                </w:p>
              </w:tc>
              <w:tc>
                <w:tcPr>
                  <w:tcW w:w="387" w:type="pct"/>
                  <w:tcBorders>
                    <w:tl2br w:val="nil"/>
                    <w:tr2bl w:val="nil"/>
                  </w:tcBorders>
                  <w:noWrap/>
                  <w:vAlign w:val="center"/>
                </w:tcPr>
                <w:p w14:paraId="10E34F42">
                  <w:pPr>
                    <w:widowControl/>
                    <w:jc w:val="center"/>
                    <w:textAlignment w:val="center"/>
                    <w:rPr>
                      <w:rFonts w:hint="default" w:eastAsia="宋体"/>
                      <w:color w:val="auto"/>
                      <w:sz w:val="18"/>
                      <w:szCs w:val="18"/>
                      <w:highlight w:val="none"/>
                      <w:lang w:eastAsia="zh-CN"/>
                    </w:rPr>
                  </w:pPr>
                  <w:r>
                    <w:rPr>
                      <w:color w:val="auto"/>
                      <w:kern w:val="0"/>
                      <w:sz w:val="18"/>
                      <w:szCs w:val="18"/>
                      <w:highlight w:val="none"/>
                      <w:lang w:bidi="ar"/>
                    </w:rPr>
                    <w:t>S1</w:t>
                  </w:r>
                  <w:r>
                    <w:rPr>
                      <w:rFonts w:hint="default"/>
                      <w:color w:val="auto"/>
                      <w:kern w:val="0"/>
                      <w:sz w:val="18"/>
                      <w:szCs w:val="18"/>
                      <w:highlight w:val="none"/>
                      <w:lang w:val="en-US" w:eastAsia="zh-CN" w:bidi="ar"/>
                    </w:rPr>
                    <w:t>0</w:t>
                  </w:r>
                </w:p>
              </w:tc>
              <w:tc>
                <w:tcPr>
                  <w:tcW w:w="448" w:type="pct"/>
                  <w:tcBorders>
                    <w:tl2br w:val="nil"/>
                    <w:tr2bl w:val="nil"/>
                  </w:tcBorders>
                  <w:noWrap/>
                  <w:vAlign w:val="center"/>
                </w:tcPr>
                <w:p w14:paraId="012F249A">
                  <w:pPr>
                    <w:widowControl/>
                    <w:jc w:val="center"/>
                    <w:textAlignment w:val="center"/>
                    <w:rPr>
                      <w:color w:val="auto"/>
                      <w:kern w:val="0"/>
                      <w:sz w:val="18"/>
                      <w:szCs w:val="18"/>
                      <w:highlight w:val="none"/>
                      <w:lang w:bidi="ar"/>
                    </w:rPr>
                  </w:pPr>
                  <w:r>
                    <w:rPr>
                      <w:rFonts w:hint="default"/>
                      <w:color w:val="auto"/>
                      <w:kern w:val="0"/>
                      <w:sz w:val="18"/>
                      <w:szCs w:val="18"/>
                      <w:highlight w:val="none"/>
                      <w:lang w:bidi="ar"/>
                    </w:rPr>
                    <w:t>/</w:t>
                  </w:r>
                </w:p>
              </w:tc>
              <w:tc>
                <w:tcPr>
                  <w:tcW w:w="762" w:type="pct"/>
                  <w:tcBorders>
                    <w:tl2br w:val="nil"/>
                    <w:tr2bl w:val="nil"/>
                  </w:tcBorders>
                  <w:noWrap/>
                  <w:vAlign w:val="center"/>
                </w:tcPr>
                <w:p w14:paraId="32B1DAB7">
                  <w:pPr>
                    <w:widowControl/>
                    <w:jc w:val="center"/>
                    <w:textAlignment w:val="center"/>
                    <w:rPr>
                      <w:color w:val="auto"/>
                      <w:kern w:val="0"/>
                      <w:sz w:val="18"/>
                      <w:szCs w:val="18"/>
                      <w:highlight w:val="none"/>
                      <w:lang w:bidi="ar"/>
                    </w:rPr>
                  </w:pPr>
                  <w:r>
                    <w:rPr>
                      <w:color w:val="auto"/>
                      <w:kern w:val="0"/>
                      <w:sz w:val="18"/>
                      <w:szCs w:val="18"/>
                      <w:highlight w:val="none"/>
                      <w:lang w:bidi="ar"/>
                    </w:rPr>
                    <w:t>废气处理</w:t>
                  </w:r>
                </w:p>
              </w:tc>
              <w:tc>
                <w:tcPr>
                  <w:tcW w:w="1264" w:type="pct"/>
                  <w:tcBorders>
                    <w:tl2br w:val="nil"/>
                    <w:tr2bl w:val="nil"/>
                  </w:tcBorders>
                  <w:noWrap/>
                  <w:vAlign w:val="center"/>
                </w:tcPr>
                <w:p w14:paraId="5554E51D">
                  <w:pPr>
                    <w:widowControl/>
                    <w:jc w:val="center"/>
                    <w:textAlignment w:val="center"/>
                    <w:rPr>
                      <w:rFonts w:hint="default" w:eastAsia="宋体"/>
                      <w:color w:val="auto"/>
                      <w:kern w:val="0"/>
                      <w:sz w:val="18"/>
                      <w:szCs w:val="18"/>
                      <w:highlight w:val="none"/>
                      <w:lang w:val="en-US" w:eastAsia="zh-CN" w:bidi="ar"/>
                    </w:rPr>
                  </w:pPr>
                  <w:r>
                    <w:rPr>
                      <w:color w:val="auto"/>
                      <w:kern w:val="0"/>
                      <w:sz w:val="18"/>
                      <w:szCs w:val="18"/>
                      <w:highlight w:val="none"/>
                      <w:lang w:bidi="ar"/>
                    </w:rPr>
                    <w:t>废活性炭</w:t>
                  </w:r>
                </w:p>
              </w:tc>
              <w:tc>
                <w:tcPr>
                  <w:tcW w:w="1663" w:type="pct"/>
                  <w:tcBorders>
                    <w:tl2br w:val="nil"/>
                    <w:tr2bl w:val="nil"/>
                  </w:tcBorders>
                  <w:noWrap/>
                  <w:vAlign w:val="center"/>
                </w:tcPr>
                <w:p w14:paraId="02B6810D">
                  <w:pPr>
                    <w:widowControl/>
                    <w:jc w:val="center"/>
                    <w:textAlignment w:val="center"/>
                    <w:rPr>
                      <w:rFonts w:hint="default" w:eastAsia="宋体"/>
                      <w:color w:val="auto"/>
                      <w:kern w:val="0"/>
                      <w:sz w:val="18"/>
                      <w:szCs w:val="18"/>
                      <w:highlight w:val="none"/>
                      <w:lang w:val="en-US" w:eastAsia="zh-CN" w:bidi="ar"/>
                    </w:rPr>
                  </w:pPr>
                  <w:r>
                    <w:rPr>
                      <w:color w:val="auto"/>
                      <w:kern w:val="0"/>
                      <w:sz w:val="18"/>
                      <w:szCs w:val="18"/>
                      <w:highlight w:val="none"/>
                      <w:lang w:bidi="ar"/>
                    </w:rPr>
                    <w:t>废活性炭</w:t>
                  </w:r>
                </w:p>
              </w:tc>
            </w:tr>
            <w:tr w14:paraId="6CE4A68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 w:hRule="atLeast"/>
                <w:jc w:val="center"/>
              </w:trPr>
              <w:tc>
                <w:tcPr>
                  <w:tcW w:w="473" w:type="pct"/>
                  <w:vMerge w:val="continue"/>
                  <w:tcBorders>
                    <w:tl2br w:val="nil"/>
                    <w:tr2bl w:val="nil"/>
                  </w:tcBorders>
                  <w:noWrap/>
                  <w:vAlign w:val="center"/>
                </w:tcPr>
                <w:p w14:paraId="0DDD0926">
                  <w:pPr>
                    <w:jc w:val="center"/>
                    <w:rPr>
                      <w:color w:val="auto"/>
                      <w:sz w:val="18"/>
                      <w:szCs w:val="18"/>
                      <w:highlight w:val="none"/>
                    </w:rPr>
                  </w:pPr>
                </w:p>
              </w:tc>
              <w:tc>
                <w:tcPr>
                  <w:tcW w:w="387" w:type="pct"/>
                  <w:tcBorders>
                    <w:tl2br w:val="nil"/>
                    <w:tr2bl w:val="nil"/>
                  </w:tcBorders>
                  <w:noWrap/>
                  <w:vAlign w:val="center"/>
                </w:tcPr>
                <w:p w14:paraId="364B870E">
                  <w:pPr>
                    <w:widowControl/>
                    <w:jc w:val="center"/>
                    <w:textAlignment w:val="center"/>
                    <w:rPr>
                      <w:rFonts w:hint="default" w:eastAsia="宋体"/>
                      <w:color w:val="auto"/>
                      <w:kern w:val="0"/>
                      <w:sz w:val="18"/>
                      <w:szCs w:val="18"/>
                      <w:highlight w:val="none"/>
                      <w:lang w:eastAsia="zh-CN" w:bidi="ar"/>
                    </w:rPr>
                  </w:pPr>
                  <w:r>
                    <w:rPr>
                      <w:rFonts w:hint="default"/>
                      <w:color w:val="auto"/>
                      <w:kern w:val="0"/>
                      <w:sz w:val="18"/>
                      <w:szCs w:val="18"/>
                      <w:highlight w:val="none"/>
                      <w:lang w:bidi="ar"/>
                    </w:rPr>
                    <w:t>S1</w:t>
                  </w:r>
                  <w:r>
                    <w:rPr>
                      <w:rFonts w:hint="default"/>
                      <w:color w:val="auto"/>
                      <w:kern w:val="0"/>
                      <w:sz w:val="18"/>
                      <w:szCs w:val="18"/>
                      <w:highlight w:val="none"/>
                      <w:lang w:val="en-US" w:eastAsia="zh-CN" w:bidi="ar"/>
                    </w:rPr>
                    <w:t>1</w:t>
                  </w:r>
                </w:p>
              </w:tc>
              <w:tc>
                <w:tcPr>
                  <w:tcW w:w="448" w:type="pct"/>
                  <w:tcBorders>
                    <w:tl2br w:val="nil"/>
                    <w:tr2bl w:val="nil"/>
                  </w:tcBorders>
                  <w:noWrap/>
                  <w:vAlign w:val="center"/>
                </w:tcPr>
                <w:p w14:paraId="540BDCEC">
                  <w:pPr>
                    <w:widowControl/>
                    <w:jc w:val="center"/>
                    <w:textAlignment w:val="center"/>
                    <w:rPr>
                      <w:color w:val="auto"/>
                      <w:sz w:val="18"/>
                      <w:szCs w:val="18"/>
                      <w:highlight w:val="none"/>
                    </w:rPr>
                  </w:pPr>
                  <w:r>
                    <w:rPr>
                      <w:color w:val="auto"/>
                      <w:kern w:val="0"/>
                      <w:sz w:val="18"/>
                      <w:szCs w:val="18"/>
                      <w:highlight w:val="none"/>
                      <w:lang w:bidi="ar"/>
                    </w:rPr>
                    <w:t>/</w:t>
                  </w:r>
                </w:p>
              </w:tc>
              <w:tc>
                <w:tcPr>
                  <w:tcW w:w="762" w:type="pct"/>
                  <w:tcBorders>
                    <w:tl2br w:val="nil"/>
                    <w:tr2bl w:val="nil"/>
                  </w:tcBorders>
                  <w:shd w:val="clear" w:color="auto" w:fill="auto"/>
                  <w:noWrap/>
                  <w:vAlign w:val="center"/>
                </w:tcPr>
                <w:p w14:paraId="0026D562">
                  <w:pPr>
                    <w:widowControl/>
                    <w:jc w:val="center"/>
                    <w:textAlignment w:val="center"/>
                    <w:rPr>
                      <w:rFonts w:ascii="Times New Roman" w:hAnsi="Times New Roman" w:eastAsia="宋体" w:cs="Times New Roman"/>
                      <w:color w:val="auto"/>
                      <w:kern w:val="0"/>
                      <w:sz w:val="18"/>
                      <w:szCs w:val="18"/>
                      <w:highlight w:val="none"/>
                      <w:lang w:val="en-US" w:eastAsia="zh-CN" w:bidi="ar"/>
                    </w:rPr>
                  </w:pPr>
                  <w:r>
                    <w:rPr>
                      <w:rFonts w:hint="default"/>
                      <w:color w:val="auto"/>
                      <w:kern w:val="0"/>
                      <w:sz w:val="18"/>
                      <w:szCs w:val="18"/>
                      <w:highlight w:val="none"/>
                      <w:lang w:bidi="ar"/>
                    </w:rPr>
                    <w:t>废水处理</w:t>
                  </w:r>
                </w:p>
              </w:tc>
              <w:tc>
                <w:tcPr>
                  <w:tcW w:w="1264" w:type="pct"/>
                  <w:tcBorders>
                    <w:tl2br w:val="nil"/>
                    <w:tr2bl w:val="nil"/>
                  </w:tcBorders>
                  <w:shd w:val="clear" w:color="auto" w:fill="auto"/>
                  <w:noWrap/>
                  <w:vAlign w:val="center"/>
                </w:tcPr>
                <w:p w14:paraId="55E571CD">
                  <w:pPr>
                    <w:widowControl/>
                    <w:jc w:val="center"/>
                    <w:textAlignment w:val="center"/>
                    <w:rPr>
                      <w:rFonts w:ascii="Times New Roman" w:hAnsi="Times New Roman" w:eastAsia="宋体" w:cs="Times New Roman"/>
                      <w:color w:val="auto"/>
                      <w:kern w:val="0"/>
                      <w:sz w:val="18"/>
                      <w:szCs w:val="18"/>
                      <w:highlight w:val="none"/>
                      <w:lang w:val="en-US" w:eastAsia="zh-CN" w:bidi="ar"/>
                    </w:rPr>
                  </w:pPr>
                  <w:r>
                    <w:rPr>
                      <w:rFonts w:hint="default"/>
                      <w:color w:val="auto"/>
                      <w:kern w:val="0"/>
                      <w:sz w:val="18"/>
                      <w:szCs w:val="18"/>
                      <w:highlight w:val="none"/>
                      <w:lang w:bidi="ar"/>
                    </w:rPr>
                    <w:t>沉淀污泥</w:t>
                  </w:r>
                </w:p>
              </w:tc>
              <w:tc>
                <w:tcPr>
                  <w:tcW w:w="1663" w:type="pct"/>
                  <w:tcBorders>
                    <w:tl2br w:val="nil"/>
                    <w:tr2bl w:val="nil"/>
                  </w:tcBorders>
                  <w:shd w:val="clear" w:color="auto" w:fill="auto"/>
                  <w:noWrap/>
                  <w:vAlign w:val="center"/>
                </w:tcPr>
                <w:p w14:paraId="3E2F6F21">
                  <w:pPr>
                    <w:widowControl/>
                    <w:jc w:val="center"/>
                    <w:textAlignment w:val="center"/>
                    <w:rPr>
                      <w:rFonts w:ascii="Times New Roman" w:hAnsi="Times New Roman" w:eastAsia="宋体" w:cs="Times New Roman"/>
                      <w:color w:val="auto"/>
                      <w:kern w:val="0"/>
                      <w:sz w:val="18"/>
                      <w:szCs w:val="18"/>
                      <w:highlight w:val="none"/>
                      <w:lang w:val="en-US" w:eastAsia="zh-CN" w:bidi="ar"/>
                    </w:rPr>
                  </w:pPr>
                  <w:r>
                    <w:rPr>
                      <w:rFonts w:hint="default"/>
                      <w:color w:val="auto"/>
                      <w:kern w:val="0"/>
                      <w:sz w:val="18"/>
                      <w:szCs w:val="18"/>
                      <w:highlight w:val="none"/>
                      <w:lang w:bidi="ar"/>
                    </w:rPr>
                    <w:t>不溶性金属氧化物、磷酸盐</w:t>
                  </w:r>
                </w:p>
              </w:tc>
            </w:tr>
            <w:tr w14:paraId="083465A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 w:hRule="atLeast"/>
                <w:jc w:val="center"/>
              </w:trPr>
              <w:tc>
                <w:tcPr>
                  <w:tcW w:w="473" w:type="pct"/>
                  <w:vMerge w:val="continue"/>
                  <w:tcBorders>
                    <w:tl2br w:val="nil"/>
                    <w:tr2bl w:val="nil"/>
                  </w:tcBorders>
                  <w:noWrap/>
                  <w:vAlign w:val="center"/>
                </w:tcPr>
                <w:p w14:paraId="38A8BD42">
                  <w:pPr>
                    <w:jc w:val="center"/>
                    <w:rPr>
                      <w:color w:val="auto"/>
                      <w:sz w:val="18"/>
                      <w:szCs w:val="18"/>
                      <w:highlight w:val="none"/>
                    </w:rPr>
                  </w:pPr>
                </w:p>
              </w:tc>
              <w:tc>
                <w:tcPr>
                  <w:tcW w:w="387" w:type="pct"/>
                  <w:tcBorders>
                    <w:tl2br w:val="nil"/>
                    <w:tr2bl w:val="nil"/>
                  </w:tcBorders>
                  <w:noWrap/>
                  <w:vAlign w:val="center"/>
                </w:tcPr>
                <w:p w14:paraId="07140D15">
                  <w:pPr>
                    <w:widowControl/>
                    <w:jc w:val="center"/>
                    <w:textAlignment w:val="center"/>
                    <w:rPr>
                      <w:rFonts w:hint="default" w:eastAsia="宋体"/>
                      <w:color w:val="auto"/>
                      <w:kern w:val="0"/>
                      <w:sz w:val="18"/>
                      <w:szCs w:val="18"/>
                      <w:highlight w:val="none"/>
                      <w:lang w:eastAsia="zh-CN" w:bidi="ar"/>
                    </w:rPr>
                  </w:pPr>
                  <w:r>
                    <w:rPr>
                      <w:rFonts w:hint="default"/>
                      <w:color w:val="auto"/>
                      <w:kern w:val="0"/>
                      <w:sz w:val="18"/>
                      <w:szCs w:val="18"/>
                      <w:highlight w:val="none"/>
                      <w:lang w:bidi="ar"/>
                    </w:rPr>
                    <w:t>S1</w:t>
                  </w:r>
                  <w:r>
                    <w:rPr>
                      <w:rFonts w:hint="default"/>
                      <w:color w:val="auto"/>
                      <w:kern w:val="0"/>
                      <w:sz w:val="18"/>
                      <w:szCs w:val="18"/>
                      <w:highlight w:val="none"/>
                      <w:lang w:val="en-US" w:eastAsia="zh-CN" w:bidi="ar"/>
                    </w:rPr>
                    <w:t>2</w:t>
                  </w:r>
                </w:p>
              </w:tc>
              <w:tc>
                <w:tcPr>
                  <w:tcW w:w="448" w:type="pct"/>
                  <w:tcBorders>
                    <w:tl2br w:val="nil"/>
                    <w:tr2bl w:val="nil"/>
                  </w:tcBorders>
                  <w:noWrap/>
                  <w:vAlign w:val="center"/>
                </w:tcPr>
                <w:p w14:paraId="20F47C7B">
                  <w:pPr>
                    <w:widowControl/>
                    <w:jc w:val="center"/>
                    <w:textAlignment w:val="center"/>
                    <w:rPr>
                      <w:color w:val="auto"/>
                      <w:sz w:val="18"/>
                      <w:szCs w:val="18"/>
                      <w:highlight w:val="none"/>
                    </w:rPr>
                  </w:pPr>
                  <w:r>
                    <w:rPr>
                      <w:color w:val="auto"/>
                      <w:kern w:val="0"/>
                      <w:sz w:val="18"/>
                      <w:szCs w:val="18"/>
                      <w:highlight w:val="none"/>
                      <w:lang w:bidi="ar"/>
                    </w:rPr>
                    <w:t>/</w:t>
                  </w:r>
                </w:p>
              </w:tc>
              <w:tc>
                <w:tcPr>
                  <w:tcW w:w="762" w:type="pct"/>
                  <w:tcBorders>
                    <w:tl2br w:val="nil"/>
                    <w:tr2bl w:val="nil"/>
                  </w:tcBorders>
                  <w:shd w:val="clear" w:color="auto" w:fill="auto"/>
                  <w:noWrap/>
                  <w:vAlign w:val="center"/>
                </w:tcPr>
                <w:p w14:paraId="5154EB25">
                  <w:pPr>
                    <w:widowControl/>
                    <w:jc w:val="center"/>
                    <w:textAlignment w:val="center"/>
                    <w:rPr>
                      <w:rFonts w:ascii="Times New Roman" w:hAnsi="Times New Roman" w:eastAsia="宋体" w:cs="Times New Roman"/>
                      <w:color w:val="auto"/>
                      <w:kern w:val="2"/>
                      <w:sz w:val="18"/>
                      <w:szCs w:val="18"/>
                      <w:highlight w:val="none"/>
                      <w:lang w:val="en-US" w:eastAsia="zh-CN" w:bidi="ar-SA"/>
                    </w:rPr>
                  </w:pPr>
                  <w:r>
                    <w:rPr>
                      <w:color w:val="auto"/>
                      <w:kern w:val="0"/>
                      <w:sz w:val="18"/>
                      <w:szCs w:val="18"/>
                      <w:highlight w:val="none"/>
                      <w:lang w:bidi="ar"/>
                    </w:rPr>
                    <w:t>纯水制备</w:t>
                  </w:r>
                </w:p>
              </w:tc>
              <w:tc>
                <w:tcPr>
                  <w:tcW w:w="1264" w:type="pct"/>
                  <w:tcBorders>
                    <w:tl2br w:val="nil"/>
                    <w:tr2bl w:val="nil"/>
                  </w:tcBorders>
                  <w:shd w:val="clear" w:color="auto" w:fill="auto"/>
                  <w:noWrap/>
                  <w:vAlign w:val="center"/>
                </w:tcPr>
                <w:p w14:paraId="0C763097">
                  <w:pPr>
                    <w:widowControl/>
                    <w:jc w:val="center"/>
                    <w:textAlignment w:val="center"/>
                    <w:rPr>
                      <w:rFonts w:ascii="Times New Roman" w:hAnsi="Times New Roman" w:eastAsia="宋体" w:cs="Times New Roman"/>
                      <w:color w:val="auto"/>
                      <w:kern w:val="2"/>
                      <w:sz w:val="18"/>
                      <w:szCs w:val="18"/>
                      <w:highlight w:val="none"/>
                      <w:lang w:val="en-US" w:eastAsia="zh-CN" w:bidi="ar-SA"/>
                    </w:rPr>
                  </w:pPr>
                  <w:r>
                    <w:rPr>
                      <w:color w:val="auto"/>
                      <w:kern w:val="0"/>
                      <w:sz w:val="18"/>
                      <w:szCs w:val="18"/>
                      <w:highlight w:val="none"/>
                      <w:lang w:bidi="ar"/>
                    </w:rPr>
                    <w:t>纯水制备过滤介质</w:t>
                  </w:r>
                </w:p>
              </w:tc>
              <w:tc>
                <w:tcPr>
                  <w:tcW w:w="1663" w:type="pct"/>
                  <w:tcBorders>
                    <w:tl2br w:val="nil"/>
                    <w:tr2bl w:val="nil"/>
                  </w:tcBorders>
                  <w:shd w:val="clear" w:color="auto" w:fill="auto"/>
                  <w:noWrap/>
                  <w:vAlign w:val="center"/>
                </w:tcPr>
                <w:p w14:paraId="7D02E08A">
                  <w:pPr>
                    <w:widowControl/>
                    <w:jc w:val="center"/>
                    <w:textAlignment w:val="center"/>
                    <w:rPr>
                      <w:rFonts w:ascii="Times New Roman" w:hAnsi="Times New Roman" w:eastAsia="宋体" w:cs="Times New Roman"/>
                      <w:color w:val="auto"/>
                      <w:kern w:val="2"/>
                      <w:sz w:val="18"/>
                      <w:szCs w:val="18"/>
                      <w:highlight w:val="none"/>
                      <w:lang w:val="en-US" w:eastAsia="zh-CN" w:bidi="ar-SA"/>
                    </w:rPr>
                  </w:pPr>
                  <w:r>
                    <w:rPr>
                      <w:color w:val="auto"/>
                      <w:kern w:val="0"/>
                      <w:sz w:val="18"/>
                      <w:szCs w:val="18"/>
                      <w:highlight w:val="none"/>
                      <w:lang w:bidi="ar"/>
                    </w:rPr>
                    <w:t>废树脂</w:t>
                  </w:r>
                </w:p>
              </w:tc>
            </w:tr>
            <w:tr w14:paraId="0E72C82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 w:hRule="atLeast"/>
                <w:jc w:val="center"/>
              </w:trPr>
              <w:tc>
                <w:tcPr>
                  <w:tcW w:w="473" w:type="pct"/>
                  <w:vMerge w:val="continue"/>
                  <w:tcBorders>
                    <w:tl2br w:val="nil"/>
                    <w:tr2bl w:val="nil"/>
                  </w:tcBorders>
                  <w:noWrap/>
                  <w:vAlign w:val="center"/>
                </w:tcPr>
                <w:p w14:paraId="7CEA4270">
                  <w:pPr>
                    <w:jc w:val="center"/>
                    <w:rPr>
                      <w:color w:val="auto"/>
                      <w:sz w:val="18"/>
                      <w:szCs w:val="18"/>
                      <w:highlight w:val="none"/>
                    </w:rPr>
                  </w:pPr>
                </w:p>
              </w:tc>
              <w:tc>
                <w:tcPr>
                  <w:tcW w:w="387" w:type="pct"/>
                  <w:tcBorders>
                    <w:tl2br w:val="nil"/>
                    <w:tr2bl w:val="nil"/>
                  </w:tcBorders>
                  <w:noWrap/>
                  <w:vAlign w:val="center"/>
                </w:tcPr>
                <w:p w14:paraId="5C76CDFE">
                  <w:pPr>
                    <w:widowControl/>
                    <w:jc w:val="center"/>
                    <w:textAlignment w:val="center"/>
                    <w:rPr>
                      <w:rFonts w:hint="default" w:eastAsia="宋体"/>
                      <w:color w:val="auto"/>
                      <w:kern w:val="0"/>
                      <w:sz w:val="18"/>
                      <w:szCs w:val="18"/>
                      <w:highlight w:val="none"/>
                      <w:lang w:eastAsia="zh-CN" w:bidi="ar"/>
                    </w:rPr>
                  </w:pPr>
                  <w:r>
                    <w:rPr>
                      <w:rFonts w:hint="default"/>
                      <w:color w:val="auto"/>
                      <w:kern w:val="0"/>
                      <w:sz w:val="18"/>
                      <w:szCs w:val="18"/>
                      <w:highlight w:val="none"/>
                      <w:lang w:bidi="ar"/>
                    </w:rPr>
                    <w:t>S1</w:t>
                  </w:r>
                  <w:r>
                    <w:rPr>
                      <w:rFonts w:hint="default"/>
                      <w:color w:val="auto"/>
                      <w:kern w:val="0"/>
                      <w:sz w:val="18"/>
                      <w:szCs w:val="18"/>
                      <w:highlight w:val="none"/>
                      <w:lang w:val="en-US" w:eastAsia="zh-CN" w:bidi="ar"/>
                    </w:rPr>
                    <w:t>3</w:t>
                  </w:r>
                </w:p>
              </w:tc>
              <w:tc>
                <w:tcPr>
                  <w:tcW w:w="448" w:type="pct"/>
                  <w:tcBorders>
                    <w:tl2br w:val="nil"/>
                    <w:tr2bl w:val="nil"/>
                  </w:tcBorders>
                  <w:noWrap/>
                  <w:vAlign w:val="center"/>
                </w:tcPr>
                <w:p w14:paraId="0030A0D1">
                  <w:pPr>
                    <w:widowControl/>
                    <w:jc w:val="center"/>
                    <w:textAlignment w:val="center"/>
                    <w:rPr>
                      <w:color w:val="auto"/>
                      <w:sz w:val="18"/>
                      <w:szCs w:val="18"/>
                      <w:highlight w:val="none"/>
                    </w:rPr>
                  </w:pPr>
                  <w:r>
                    <w:rPr>
                      <w:color w:val="auto"/>
                      <w:kern w:val="0"/>
                      <w:sz w:val="18"/>
                      <w:szCs w:val="18"/>
                      <w:highlight w:val="none"/>
                      <w:lang w:bidi="ar"/>
                    </w:rPr>
                    <w:t>/</w:t>
                  </w:r>
                </w:p>
              </w:tc>
              <w:tc>
                <w:tcPr>
                  <w:tcW w:w="762" w:type="pct"/>
                  <w:tcBorders>
                    <w:tl2br w:val="nil"/>
                    <w:tr2bl w:val="nil"/>
                  </w:tcBorders>
                  <w:shd w:val="clear" w:color="auto" w:fill="auto"/>
                  <w:noWrap/>
                  <w:vAlign w:val="center"/>
                </w:tcPr>
                <w:p w14:paraId="19F950A9">
                  <w:pPr>
                    <w:widowControl/>
                    <w:jc w:val="center"/>
                    <w:textAlignment w:val="center"/>
                    <w:rPr>
                      <w:rFonts w:ascii="Times New Roman" w:hAnsi="Times New Roman" w:eastAsia="宋体" w:cs="Times New Roman"/>
                      <w:color w:val="auto"/>
                      <w:kern w:val="0"/>
                      <w:sz w:val="18"/>
                      <w:szCs w:val="18"/>
                      <w:highlight w:val="none"/>
                      <w:lang w:val="en-US" w:eastAsia="zh-CN" w:bidi="ar"/>
                    </w:rPr>
                  </w:pPr>
                  <w:r>
                    <w:rPr>
                      <w:rFonts w:hint="default" w:ascii="Times New Roman" w:hAnsi="Times New Roman" w:cs="Times New Roman"/>
                      <w:color w:val="auto"/>
                      <w:kern w:val="0"/>
                      <w:sz w:val="18"/>
                      <w:szCs w:val="18"/>
                      <w:highlight w:val="none"/>
                      <w:lang w:bidi="ar"/>
                    </w:rPr>
                    <w:t>设备运行</w:t>
                  </w:r>
                </w:p>
              </w:tc>
              <w:tc>
                <w:tcPr>
                  <w:tcW w:w="1264" w:type="pct"/>
                  <w:tcBorders>
                    <w:tl2br w:val="nil"/>
                    <w:tr2bl w:val="nil"/>
                  </w:tcBorders>
                  <w:shd w:val="clear" w:color="auto" w:fill="auto"/>
                  <w:noWrap/>
                  <w:vAlign w:val="center"/>
                </w:tcPr>
                <w:p w14:paraId="3EBAF672">
                  <w:pPr>
                    <w:widowControl/>
                    <w:jc w:val="center"/>
                    <w:textAlignment w:val="center"/>
                    <w:rPr>
                      <w:rFonts w:ascii="Times New Roman" w:hAnsi="Times New Roman" w:eastAsia="宋体" w:cs="Times New Roman"/>
                      <w:color w:val="auto"/>
                      <w:kern w:val="0"/>
                      <w:sz w:val="18"/>
                      <w:szCs w:val="18"/>
                      <w:highlight w:val="none"/>
                      <w:lang w:val="en-US" w:eastAsia="zh-CN" w:bidi="ar"/>
                    </w:rPr>
                  </w:pPr>
                  <w:r>
                    <w:rPr>
                      <w:rFonts w:hint="default" w:ascii="Times New Roman" w:hAnsi="Times New Roman" w:cs="Times New Roman"/>
                      <w:color w:val="auto"/>
                      <w:kern w:val="0"/>
                      <w:sz w:val="18"/>
                      <w:szCs w:val="18"/>
                      <w:highlight w:val="none"/>
                      <w:lang w:bidi="ar"/>
                    </w:rPr>
                    <w:t>设备废滤料</w:t>
                  </w:r>
                </w:p>
              </w:tc>
              <w:tc>
                <w:tcPr>
                  <w:tcW w:w="1663" w:type="pct"/>
                  <w:tcBorders>
                    <w:tl2br w:val="nil"/>
                    <w:tr2bl w:val="nil"/>
                  </w:tcBorders>
                  <w:shd w:val="clear" w:color="auto" w:fill="auto"/>
                  <w:noWrap/>
                  <w:vAlign w:val="center"/>
                </w:tcPr>
                <w:p w14:paraId="06B8C853">
                  <w:pPr>
                    <w:widowControl/>
                    <w:jc w:val="center"/>
                    <w:textAlignment w:val="center"/>
                    <w:rPr>
                      <w:rFonts w:ascii="Times New Roman" w:hAnsi="Times New Roman" w:eastAsia="宋体" w:cs="Times New Roman"/>
                      <w:color w:val="auto"/>
                      <w:kern w:val="0"/>
                      <w:sz w:val="18"/>
                      <w:szCs w:val="18"/>
                      <w:highlight w:val="none"/>
                      <w:lang w:val="en-US" w:eastAsia="zh-CN" w:bidi="ar"/>
                    </w:rPr>
                  </w:pPr>
                  <w:r>
                    <w:rPr>
                      <w:rFonts w:hint="default" w:ascii="Times New Roman" w:hAnsi="Times New Roman" w:cs="Times New Roman"/>
                      <w:color w:val="auto"/>
                      <w:kern w:val="0"/>
                      <w:sz w:val="18"/>
                      <w:szCs w:val="18"/>
                      <w:highlight w:val="none"/>
                      <w:lang w:bidi="ar"/>
                    </w:rPr>
                    <w:t>废滤网、滤芯、碳分子筛</w:t>
                  </w:r>
                </w:p>
              </w:tc>
            </w:tr>
            <w:tr w14:paraId="1564665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 w:hRule="atLeast"/>
                <w:jc w:val="center"/>
              </w:trPr>
              <w:tc>
                <w:tcPr>
                  <w:tcW w:w="473" w:type="pct"/>
                  <w:vMerge w:val="continue"/>
                  <w:tcBorders>
                    <w:tl2br w:val="nil"/>
                    <w:tr2bl w:val="nil"/>
                  </w:tcBorders>
                  <w:noWrap/>
                  <w:vAlign w:val="center"/>
                </w:tcPr>
                <w:p w14:paraId="16A0DD6F">
                  <w:pPr>
                    <w:jc w:val="center"/>
                    <w:rPr>
                      <w:color w:val="auto"/>
                      <w:sz w:val="18"/>
                      <w:szCs w:val="18"/>
                      <w:highlight w:val="none"/>
                    </w:rPr>
                  </w:pPr>
                </w:p>
              </w:tc>
              <w:tc>
                <w:tcPr>
                  <w:tcW w:w="387" w:type="pct"/>
                  <w:tcBorders>
                    <w:tl2br w:val="nil"/>
                    <w:tr2bl w:val="nil"/>
                  </w:tcBorders>
                  <w:noWrap/>
                  <w:vAlign w:val="center"/>
                </w:tcPr>
                <w:p w14:paraId="6713B71B">
                  <w:pPr>
                    <w:widowControl/>
                    <w:jc w:val="center"/>
                    <w:textAlignment w:val="center"/>
                    <w:rPr>
                      <w:rFonts w:hint="default" w:eastAsia="宋体"/>
                      <w:color w:val="auto"/>
                      <w:kern w:val="0"/>
                      <w:sz w:val="18"/>
                      <w:szCs w:val="18"/>
                      <w:highlight w:val="none"/>
                      <w:lang w:val="en-US" w:eastAsia="zh-CN" w:bidi="ar"/>
                    </w:rPr>
                  </w:pPr>
                  <w:r>
                    <w:rPr>
                      <w:rFonts w:hint="default"/>
                      <w:color w:val="auto"/>
                      <w:kern w:val="0"/>
                      <w:sz w:val="18"/>
                      <w:szCs w:val="18"/>
                      <w:highlight w:val="none"/>
                      <w:lang w:val="en-US" w:eastAsia="zh-CN" w:bidi="ar"/>
                    </w:rPr>
                    <w:t>S14</w:t>
                  </w:r>
                </w:p>
              </w:tc>
              <w:tc>
                <w:tcPr>
                  <w:tcW w:w="448" w:type="pct"/>
                  <w:tcBorders>
                    <w:tl2br w:val="nil"/>
                    <w:tr2bl w:val="nil"/>
                  </w:tcBorders>
                  <w:noWrap/>
                  <w:vAlign w:val="center"/>
                </w:tcPr>
                <w:p w14:paraId="7DE16825">
                  <w:pPr>
                    <w:widowControl/>
                    <w:jc w:val="center"/>
                    <w:textAlignment w:val="center"/>
                    <w:rPr>
                      <w:color w:val="auto"/>
                      <w:kern w:val="0"/>
                      <w:sz w:val="18"/>
                      <w:szCs w:val="18"/>
                      <w:highlight w:val="none"/>
                      <w:lang w:bidi="ar"/>
                    </w:rPr>
                  </w:pPr>
                  <w:r>
                    <w:rPr>
                      <w:color w:val="auto"/>
                      <w:kern w:val="0"/>
                      <w:sz w:val="18"/>
                      <w:szCs w:val="18"/>
                      <w:highlight w:val="none"/>
                      <w:lang w:bidi="ar"/>
                    </w:rPr>
                    <w:t>/</w:t>
                  </w:r>
                </w:p>
              </w:tc>
              <w:tc>
                <w:tcPr>
                  <w:tcW w:w="762" w:type="pct"/>
                  <w:tcBorders>
                    <w:tl2br w:val="nil"/>
                    <w:tr2bl w:val="nil"/>
                  </w:tcBorders>
                  <w:shd w:val="clear" w:color="auto" w:fill="auto"/>
                  <w:noWrap/>
                  <w:vAlign w:val="center"/>
                </w:tcPr>
                <w:p w14:paraId="3ECFEF92">
                  <w:pPr>
                    <w:widowControl/>
                    <w:jc w:val="center"/>
                    <w:textAlignment w:val="center"/>
                    <w:rPr>
                      <w:rFonts w:ascii="Times New Roman" w:hAnsi="Times New Roman" w:eastAsia="宋体" w:cs="Times New Roman"/>
                      <w:color w:val="auto"/>
                      <w:kern w:val="0"/>
                      <w:sz w:val="18"/>
                      <w:szCs w:val="18"/>
                      <w:highlight w:val="none"/>
                      <w:lang w:val="en-US" w:eastAsia="zh-CN" w:bidi="ar"/>
                    </w:rPr>
                  </w:pPr>
                  <w:r>
                    <w:rPr>
                      <w:rFonts w:hint="default" w:ascii="Times New Roman" w:hAnsi="Times New Roman" w:cs="Times New Roman"/>
                      <w:color w:val="auto"/>
                      <w:kern w:val="0"/>
                      <w:sz w:val="18"/>
                      <w:szCs w:val="18"/>
                      <w:highlight w:val="none"/>
                      <w:lang w:bidi="ar"/>
                    </w:rPr>
                    <w:t>设备运行</w:t>
                  </w:r>
                </w:p>
              </w:tc>
              <w:tc>
                <w:tcPr>
                  <w:tcW w:w="1264" w:type="pct"/>
                  <w:tcBorders>
                    <w:tl2br w:val="nil"/>
                    <w:tr2bl w:val="nil"/>
                  </w:tcBorders>
                  <w:shd w:val="clear" w:color="auto" w:fill="auto"/>
                  <w:noWrap/>
                  <w:vAlign w:val="center"/>
                </w:tcPr>
                <w:p w14:paraId="47A6F399">
                  <w:pPr>
                    <w:widowControl/>
                    <w:jc w:val="center"/>
                    <w:textAlignment w:val="center"/>
                    <w:rPr>
                      <w:rFonts w:ascii="Times New Roman" w:hAnsi="Times New Roman" w:eastAsia="宋体" w:cs="Times New Roman"/>
                      <w:color w:val="auto"/>
                      <w:kern w:val="0"/>
                      <w:sz w:val="18"/>
                      <w:szCs w:val="18"/>
                      <w:highlight w:val="none"/>
                      <w:lang w:val="en-US" w:eastAsia="zh-CN" w:bidi="ar"/>
                    </w:rPr>
                  </w:pPr>
                  <w:r>
                    <w:rPr>
                      <w:rFonts w:hint="default" w:ascii="Times New Roman" w:hAnsi="Times New Roman" w:cs="Times New Roman"/>
                      <w:color w:val="auto"/>
                      <w:kern w:val="0"/>
                      <w:sz w:val="18"/>
                      <w:szCs w:val="18"/>
                      <w:highlight w:val="none"/>
                      <w:lang w:bidi="ar"/>
                    </w:rPr>
                    <w:t>废布袋</w:t>
                  </w:r>
                </w:p>
              </w:tc>
              <w:tc>
                <w:tcPr>
                  <w:tcW w:w="1663" w:type="pct"/>
                  <w:tcBorders>
                    <w:tl2br w:val="nil"/>
                    <w:tr2bl w:val="nil"/>
                  </w:tcBorders>
                  <w:shd w:val="clear" w:color="auto" w:fill="auto"/>
                  <w:noWrap/>
                  <w:vAlign w:val="center"/>
                </w:tcPr>
                <w:p w14:paraId="6F805204">
                  <w:pPr>
                    <w:widowControl/>
                    <w:jc w:val="center"/>
                    <w:textAlignment w:val="center"/>
                    <w:rPr>
                      <w:rFonts w:ascii="Times New Roman" w:hAnsi="Times New Roman" w:eastAsia="宋体" w:cs="Times New Roman"/>
                      <w:color w:val="auto"/>
                      <w:kern w:val="0"/>
                      <w:sz w:val="18"/>
                      <w:szCs w:val="18"/>
                      <w:highlight w:val="none"/>
                      <w:lang w:val="en-US" w:eastAsia="zh-CN" w:bidi="ar"/>
                    </w:rPr>
                  </w:pPr>
                  <w:r>
                    <w:rPr>
                      <w:rFonts w:hint="default" w:ascii="Times New Roman" w:hAnsi="Times New Roman" w:cs="Times New Roman"/>
                      <w:color w:val="auto"/>
                      <w:kern w:val="0"/>
                      <w:sz w:val="18"/>
                      <w:szCs w:val="18"/>
                      <w:highlight w:val="none"/>
                      <w:lang w:bidi="ar"/>
                    </w:rPr>
                    <w:t>废布袋</w:t>
                  </w:r>
                </w:p>
              </w:tc>
            </w:tr>
            <w:tr w14:paraId="07AAC80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 w:hRule="atLeast"/>
                <w:jc w:val="center"/>
              </w:trPr>
              <w:tc>
                <w:tcPr>
                  <w:tcW w:w="473" w:type="pct"/>
                  <w:vMerge w:val="continue"/>
                  <w:tcBorders>
                    <w:tl2br w:val="nil"/>
                    <w:tr2bl w:val="nil"/>
                  </w:tcBorders>
                  <w:noWrap/>
                  <w:vAlign w:val="center"/>
                </w:tcPr>
                <w:p w14:paraId="5E5CD880">
                  <w:pPr>
                    <w:jc w:val="center"/>
                    <w:rPr>
                      <w:color w:val="auto"/>
                      <w:sz w:val="18"/>
                      <w:szCs w:val="18"/>
                      <w:highlight w:val="none"/>
                    </w:rPr>
                  </w:pPr>
                </w:p>
              </w:tc>
              <w:tc>
                <w:tcPr>
                  <w:tcW w:w="387" w:type="pct"/>
                  <w:tcBorders>
                    <w:tl2br w:val="nil"/>
                    <w:tr2bl w:val="nil"/>
                  </w:tcBorders>
                  <w:noWrap/>
                  <w:vAlign w:val="center"/>
                </w:tcPr>
                <w:p w14:paraId="45505460">
                  <w:pPr>
                    <w:widowControl/>
                    <w:jc w:val="center"/>
                    <w:textAlignment w:val="center"/>
                    <w:rPr>
                      <w:rFonts w:hint="default"/>
                      <w:color w:val="auto"/>
                      <w:kern w:val="0"/>
                      <w:sz w:val="18"/>
                      <w:szCs w:val="18"/>
                      <w:highlight w:val="none"/>
                      <w:lang w:val="en-US" w:eastAsia="zh-CN" w:bidi="ar"/>
                    </w:rPr>
                  </w:pPr>
                  <w:r>
                    <w:rPr>
                      <w:rFonts w:hint="default"/>
                      <w:color w:val="auto"/>
                      <w:kern w:val="0"/>
                      <w:sz w:val="18"/>
                      <w:szCs w:val="18"/>
                      <w:highlight w:val="none"/>
                      <w:lang w:val="en-US" w:eastAsia="zh-CN" w:bidi="ar"/>
                    </w:rPr>
                    <w:t>S15</w:t>
                  </w:r>
                </w:p>
              </w:tc>
              <w:tc>
                <w:tcPr>
                  <w:tcW w:w="448" w:type="pct"/>
                  <w:tcBorders>
                    <w:tl2br w:val="nil"/>
                    <w:tr2bl w:val="nil"/>
                  </w:tcBorders>
                  <w:noWrap/>
                  <w:vAlign w:val="center"/>
                </w:tcPr>
                <w:p w14:paraId="2F022AD4">
                  <w:pPr>
                    <w:widowControl/>
                    <w:jc w:val="center"/>
                    <w:textAlignment w:val="center"/>
                    <w:rPr>
                      <w:color w:val="auto"/>
                      <w:kern w:val="0"/>
                      <w:sz w:val="18"/>
                      <w:szCs w:val="18"/>
                      <w:highlight w:val="none"/>
                      <w:lang w:bidi="ar"/>
                    </w:rPr>
                  </w:pPr>
                </w:p>
              </w:tc>
              <w:tc>
                <w:tcPr>
                  <w:tcW w:w="762" w:type="pct"/>
                  <w:tcBorders>
                    <w:tl2br w:val="nil"/>
                    <w:tr2bl w:val="nil"/>
                  </w:tcBorders>
                  <w:shd w:val="clear" w:color="auto" w:fill="auto"/>
                  <w:noWrap/>
                  <w:vAlign w:val="center"/>
                </w:tcPr>
                <w:p w14:paraId="2C3156C9">
                  <w:pPr>
                    <w:widowControl/>
                    <w:jc w:val="center"/>
                    <w:textAlignment w:val="center"/>
                    <w:rPr>
                      <w:rFonts w:hint="default" w:ascii="Times New Roman" w:hAnsi="Times New Roman" w:eastAsia="宋体" w:cs="Times New Roman"/>
                      <w:color w:val="auto"/>
                      <w:kern w:val="0"/>
                      <w:sz w:val="18"/>
                      <w:szCs w:val="18"/>
                      <w:highlight w:val="none"/>
                      <w:lang w:val="en-US" w:eastAsia="zh-CN" w:bidi="ar"/>
                    </w:rPr>
                  </w:pPr>
                  <w:r>
                    <w:rPr>
                      <w:rFonts w:hint="default" w:ascii="Times New Roman" w:hAnsi="Times New Roman" w:cs="Times New Roman"/>
                      <w:color w:val="auto"/>
                      <w:kern w:val="0"/>
                      <w:sz w:val="18"/>
                      <w:szCs w:val="18"/>
                      <w:highlight w:val="none"/>
                      <w:lang w:bidi="ar"/>
                    </w:rPr>
                    <w:t>员工生活</w:t>
                  </w:r>
                </w:p>
              </w:tc>
              <w:tc>
                <w:tcPr>
                  <w:tcW w:w="1264" w:type="pct"/>
                  <w:tcBorders>
                    <w:tl2br w:val="nil"/>
                    <w:tr2bl w:val="nil"/>
                  </w:tcBorders>
                  <w:shd w:val="clear" w:color="auto" w:fill="auto"/>
                  <w:noWrap/>
                  <w:vAlign w:val="center"/>
                </w:tcPr>
                <w:p w14:paraId="46C3EDD8">
                  <w:pPr>
                    <w:widowControl/>
                    <w:jc w:val="center"/>
                    <w:textAlignment w:val="center"/>
                    <w:rPr>
                      <w:rFonts w:hint="default" w:ascii="Times New Roman" w:hAnsi="Times New Roman" w:eastAsia="宋体" w:cs="Times New Roman"/>
                      <w:color w:val="auto"/>
                      <w:kern w:val="0"/>
                      <w:sz w:val="18"/>
                      <w:szCs w:val="18"/>
                      <w:highlight w:val="none"/>
                      <w:lang w:val="en-US" w:eastAsia="zh-CN" w:bidi="ar"/>
                    </w:rPr>
                  </w:pPr>
                  <w:r>
                    <w:rPr>
                      <w:rFonts w:hint="default" w:ascii="Times New Roman" w:hAnsi="Times New Roman" w:cs="Times New Roman"/>
                      <w:color w:val="auto"/>
                      <w:kern w:val="0"/>
                      <w:sz w:val="18"/>
                      <w:szCs w:val="18"/>
                      <w:highlight w:val="none"/>
                      <w:lang w:bidi="ar"/>
                    </w:rPr>
                    <w:t>生活垃圾</w:t>
                  </w:r>
                </w:p>
              </w:tc>
              <w:tc>
                <w:tcPr>
                  <w:tcW w:w="1663" w:type="pct"/>
                  <w:tcBorders>
                    <w:tl2br w:val="nil"/>
                    <w:tr2bl w:val="nil"/>
                  </w:tcBorders>
                  <w:shd w:val="clear" w:color="auto" w:fill="auto"/>
                  <w:noWrap/>
                  <w:vAlign w:val="center"/>
                </w:tcPr>
                <w:p w14:paraId="3A084688">
                  <w:pPr>
                    <w:widowControl/>
                    <w:jc w:val="center"/>
                    <w:textAlignment w:val="center"/>
                    <w:rPr>
                      <w:rFonts w:hint="default" w:ascii="Times New Roman" w:hAnsi="Times New Roman" w:eastAsia="宋体" w:cs="Times New Roman"/>
                      <w:color w:val="auto"/>
                      <w:kern w:val="0"/>
                      <w:sz w:val="18"/>
                      <w:szCs w:val="18"/>
                      <w:highlight w:val="none"/>
                      <w:lang w:val="en-US" w:eastAsia="zh-CN" w:bidi="ar"/>
                    </w:rPr>
                  </w:pPr>
                  <w:r>
                    <w:rPr>
                      <w:rFonts w:hint="default" w:ascii="Times New Roman" w:hAnsi="Times New Roman" w:cs="Times New Roman"/>
                      <w:color w:val="auto"/>
                      <w:kern w:val="0"/>
                      <w:sz w:val="18"/>
                      <w:szCs w:val="18"/>
                      <w:highlight w:val="none"/>
                      <w:lang w:bidi="ar"/>
                    </w:rPr>
                    <w:t>生活垃圾</w:t>
                  </w:r>
                </w:p>
              </w:tc>
            </w:tr>
          </w:tbl>
          <w:p w14:paraId="51729224">
            <w:pPr>
              <w:adjustRightInd w:val="0"/>
              <w:snapToGrid w:val="0"/>
              <w:rPr>
                <w:bCs/>
                <w:color w:val="auto"/>
                <w:szCs w:val="21"/>
                <w:highlight w:val="none"/>
              </w:rPr>
            </w:pPr>
          </w:p>
        </w:tc>
      </w:tr>
      <w:tr w14:paraId="2C3F458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87" w:hRule="atLeast"/>
          <w:jc w:val="center"/>
        </w:trPr>
        <w:tc>
          <w:tcPr>
            <w:tcW w:w="555" w:type="dxa"/>
            <w:vAlign w:val="center"/>
          </w:tcPr>
          <w:p w14:paraId="36223A08">
            <w:pPr>
              <w:pStyle w:val="20"/>
              <w:adjustRightInd w:val="0"/>
              <w:snapToGrid w:val="0"/>
              <w:spacing w:before="0" w:beforeAutospacing="0" w:after="0" w:afterAutospacing="0"/>
              <w:jc w:val="center"/>
              <w:rPr>
                <w:rFonts w:ascii="Times New Roman" w:hAnsi="Times New Roman"/>
                <w:color w:val="auto"/>
                <w:sz w:val="21"/>
                <w:szCs w:val="21"/>
                <w:highlight w:val="none"/>
              </w:rPr>
            </w:pPr>
            <w:r>
              <w:rPr>
                <w:rFonts w:ascii="Times New Roman" w:hAnsi="Times New Roman"/>
                <w:bCs/>
                <w:color w:val="auto"/>
                <w:kern w:val="2"/>
                <w:sz w:val="21"/>
                <w:szCs w:val="21"/>
                <w:highlight w:val="none"/>
              </w:rPr>
              <w:t>与项目有关的原有环境污染问题</w:t>
            </w:r>
          </w:p>
        </w:tc>
        <w:tc>
          <w:tcPr>
            <w:tcW w:w="8269" w:type="dxa"/>
            <w:tcBorders>
              <w:top w:val="single" w:color="auto" w:sz="4" w:space="0"/>
            </w:tcBorders>
          </w:tcPr>
          <w:p w14:paraId="2C188A6F">
            <w:pPr>
              <w:widowControl/>
              <w:adjustRightInd w:val="0"/>
              <w:snapToGrid w:val="0"/>
              <w:spacing w:line="360" w:lineRule="auto"/>
              <w:rPr>
                <w:b/>
                <w:color w:val="auto"/>
                <w:kern w:val="0"/>
                <w:sz w:val="24"/>
                <w:szCs w:val="24"/>
                <w:highlight w:val="none"/>
              </w:rPr>
            </w:pPr>
            <w:r>
              <w:rPr>
                <w:rFonts w:hint="default"/>
                <w:b/>
                <w:color w:val="auto"/>
                <w:kern w:val="0"/>
                <w:sz w:val="24"/>
                <w:szCs w:val="24"/>
                <w:highlight w:val="none"/>
              </w:rPr>
              <w:t xml:space="preserve">2.3 </w:t>
            </w:r>
            <w:r>
              <w:rPr>
                <w:rFonts w:hint="default"/>
                <w:b/>
                <w:color w:val="auto"/>
                <w:kern w:val="0"/>
                <w:sz w:val="24"/>
                <w:szCs w:val="24"/>
                <w:highlight w:val="none"/>
                <w:lang w:val="en-US" w:eastAsia="zh-CN"/>
              </w:rPr>
              <w:t xml:space="preserve"> </w:t>
            </w:r>
            <w:r>
              <w:rPr>
                <w:rFonts w:hint="default"/>
                <w:b/>
                <w:color w:val="auto"/>
                <w:kern w:val="0"/>
                <w:sz w:val="24"/>
                <w:szCs w:val="24"/>
                <w:highlight w:val="none"/>
              </w:rPr>
              <w:t>与项目有关的原有环境问题</w:t>
            </w:r>
          </w:p>
          <w:p w14:paraId="6F6A2E48">
            <w:pPr>
              <w:adjustRightInd w:val="0"/>
              <w:snapToGrid w:val="0"/>
              <w:spacing w:line="360" w:lineRule="auto"/>
              <w:ind w:firstLine="420" w:firstLineChars="200"/>
              <w:rPr>
                <w:bCs/>
                <w:color w:val="auto"/>
                <w:szCs w:val="21"/>
                <w:highlight w:val="none"/>
              </w:rPr>
            </w:pPr>
            <w:r>
              <w:rPr>
                <w:rFonts w:hint="default"/>
                <w:bCs/>
                <w:color w:val="auto"/>
                <w:kern w:val="0"/>
                <w:szCs w:val="21"/>
                <w:highlight w:val="none"/>
              </w:rPr>
              <w:t>本项目为新建项目，</w:t>
            </w:r>
            <w:r>
              <w:rPr>
                <w:rFonts w:hint="default"/>
                <w:color w:val="auto"/>
                <w:highlight w:val="none"/>
              </w:rPr>
              <w:t>租用浙江东恒肽康医药有限公司闲置厂房（浙江省杭州市余杭区仁和街道獐山北路9号，东恒肽康医药园6幢9楼）</w:t>
            </w:r>
            <w:r>
              <w:rPr>
                <w:rFonts w:hint="default"/>
                <w:bCs/>
                <w:color w:val="auto"/>
                <w:szCs w:val="21"/>
                <w:highlight w:val="none"/>
              </w:rPr>
              <w:t>进行研发项目。该厂房之前并无生产项目运行，故</w:t>
            </w:r>
            <w:r>
              <w:rPr>
                <w:rFonts w:hint="default"/>
                <w:color w:val="auto"/>
                <w:szCs w:val="21"/>
                <w:highlight w:val="none"/>
              </w:rPr>
              <w:t>不存在与本项目有关的原有环境污染问题</w:t>
            </w:r>
            <w:r>
              <w:rPr>
                <w:rFonts w:hint="default"/>
                <w:bCs/>
                <w:color w:val="auto"/>
                <w:szCs w:val="21"/>
                <w:highlight w:val="none"/>
              </w:rPr>
              <w:t>。</w:t>
            </w:r>
          </w:p>
        </w:tc>
      </w:tr>
    </w:tbl>
    <w:p w14:paraId="1750ECCD">
      <w:pPr>
        <w:pStyle w:val="20"/>
        <w:jc w:val="center"/>
        <w:rPr>
          <w:rFonts w:ascii="Times New Roman" w:hAnsi="Times New Roman" w:eastAsia="黑体" w:cs="Times New Roman"/>
          <w:snapToGrid w:val="0"/>
          <w:color w:val="auto"/>
          <w:sz w:val="36"/>
          <w:szCs w:val="36"/>
          <w:highlight w:val="none"/>
        </w:rPr>
        <w:sectPr>
          <w:pgSz w:w="11906" w:h="16838"/>
          <w:pgMar w:top="1701" w:right="1531" w:bottom="1701" w:left="1531" w:header="851" w:footer="851" w:gutter="0"/>
          <w:pgBorders>
            <w:top w:val="none" w:sz="0" w:space="0"/>
            <w:left w:val="none" w:sz="0" w:space="0"/>
            <w:bottom w:val="none" w:sz="0" w:space="0"/>
            <w:right w:val="none" w:sz="0" w:space="0"/>
          </w:pgBorders>
          <w:cols w:space="720" w:num="1"/>
          <w:docGrid w:linePitch="312" w:charSpace="0"/>
        </w:sectPr>
      </w:pPr>
    </w:p>
    <w:p w14:paraId="1A4EE395">
      <w:pPr>
        <w:pStyle w:val="20"/>
        <w:adjustRightInd w:val="0"/>
        <w:snapToGrid w:val="0"/>
        <w:spacing w:before="0" w:beforeAutospacing="0" w:after="0" w:afterAutospacing="0" w:line="14" w:lineRule="auto"/>
        <w:jc w:val="center"/>
        <w:rPr>
          <w:rFonts w:ascii="Times New Roman" w:hAnsi="Times New Roman" w:eastAsia="黑体"/>
          <w:snapToGrid w:val="0"/>
          <w:color w:val="auto"/>
          <w:sz w:val="30"/>
          <w:szCs w:val="30"/>
          <w:highlight w:val="none"/>
        </w:rPr>
      </w:pPr>
    </w:p>
    <w:p w14:paraId="5F7D9A2D">
      <w:pPr>
        <w:pStyle w:val="20"/>
        <w:jc w:val="center"/>
        <w:outlineLvl w:val="0"/>
        <w:rPr>
          <w:rFonts w:ascii="Times New Roman" w:hAnsi="Times New Roman" w:eastAsia="黑体"/>
          <w:snapToGrid w:val="0"/>
          <w:color w:val="auto"/>
          <w:sz w:val="30"/>
          <w:szCs w:val="30"/>
          <w:highlight w:val="none"/>
        </w:rPr>
      </w:pPr>
      <w:bookmarkStart w:id="30" w:name="_Toc19781"/>
      <w:bookmarkStart w:id="31" w:name="_Toc17715"/>
      <w:bookmarkStart w:id="32" w:name="_Toc4997"/>
      <w:bookmarkStart w:id="33" w:name="_Toc16646"/>
      <w:bookmarkStart w:id="34" w:name="_Toc7969"/>
      <w:r>
        <w:rPr>
          <w:rFonts w:ascii="Times New Roman" w:hAnsi="Times New Roman" w:eastAsia="黑体"/>
          <w:snapToGrid w:val="0"/>
          <w:color w:val="auto"/>
          <w:sz w:val="30"/>
          <w:szCs w:val="30"/>
          <w:highlight w:val="none"/>
        </w:rPr>
        <w:t>三、区域环境质量现状、环境保护目标及评价标准</w:t>
      </w:r>
      <w:bookmarkEnd w:id="30"/>
      <w:bookmarkEnd w:id="31"/>
      <w:bookmarkEnd w:id="32"/>
      <w:bookmarkEnd w:id="33"/>
      <w:bookmarkEnd w:id="34"/>
    </w:p>
    <w:tbl>
      <w:tblPr>
        <w:tblStyle w:val="24"/>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425"/>
        <w:gridCol w:w="8400"/>
      </w:tblGrid>
      <w:tr w14:paraId="110E17A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64" w:hRule="atLeast"/>
          <w:jc w:val="center"/>
        </w:trPr>
        <w:tc>
          <w:tcPr>
            <w:tcW w:w="800" w:type="dxa"/>
            <w:vAlign w:val="center"/>
          </w:tcPr>
          <w:p w14:paraId="7090A263">
            <w:pPr>
              <w:adjustRightInd w:val="0"/>
              <w:snapToGrid w:val="0"/>
              <w:jc w:val="center"/>
              <w:rPr>
                <w:color w:val="auto"/>
                <w:kern w:val="0"/>
                <w:szCs w:val="21"/>
                <w:highlight w:val="none"/>
              </w:rPr>
            </w:pPr>
            <w:r>
              <w:rPr>
                <w:color w:val="auto"/>
                <w:kern w:val="0"/>
                <w:szCs w:val="21"/>
                <w:highlight w:val="none"/>
              </w:rPr>
              <w:t>区域</w:t>
            </w:r>
          </w:p>
          <w:p w14:paraId="77B29B56">
            <w:pPr>
              <w:adjustRightInd w:val="0"/>
              <w:snapToGrid w:val="0"/>
              <w:jc w:val="center"/>
              <w:rPr>
                <w:color w:val="auto"/>
                <w:kern w:val="0"/>
                <w:szCs w:val="21"/>
                <w:highlight w:val="none"/>
              </w:rPr>
            </w:pPr>
            <w:r>
              <w:rPr>
                <w:color w:val="auto"/>
                <w:kern w:val="0"/>
                <w:szCs w:val="21"/>
                <w:highlight w:val="none"/>
              </w:rPr>
              <w:t>环境</w:t>
            </w:r>
          </w:p>
          <w:p w14:paraId="19FE1753">
            <w:pPr>
              <w:adjustRightInd w:val="0"/>
              <w:snapToGrid w:val="0"/>
              <w:jc w:val="center"/>
              <w:rPr>
                <w:color w:val="auto"/>
                <w:kern w:val="0"/>
                <w:szCs w:val="21"/>
                <w:highlight w:val="none"/>
              </w:rPr>
            </w:pPr>
            <w:r>
              <w:rPr>
                <w:color w:val="auto"/>
                <w:kern w:val="0"/>
                <w:szCs w:val="21"/>
                <w:highlight w:val="none"/>
              </w:rPr>
              <w:t>质量</w:t>
            </w:r>
          </w:p>
          <w:p w14:paraId="43D17FFA">
            <w:pPr>
              <w:adjustRightInd w:val="0"/>
              <w:snapToGrid w:val="0"/>
              <w:jc w:val="center"/>
              <w:rPr>
                <w:color w:val="auto"/>
                <w:kern w:val="0"/>
                <w:szCs w:val="21"/>
                <w:highlight w:val="none"/>
              </w:rPr>
            </w:pPr>
            <w:r>
              <w:rPr>
                <w:color w:val="auto"/>
                <w:kern w:val="0"/>
                <w:szCs w:val="21"/>
                <w:highlight w:val="none"/>
              </w:rPr>
              <w:t>现状</w:t>
            </w:r>
          </w:p>
        </w:tc>
        <w:tc>
          <w:tcPr>
            <w:tcW w:w="8190" w:type="dxa"/>
            <w:vAlign w:val="center"/>
          </w:tcPr>
          <w:p w14:paraId="166A5941">
            <w:pPr>
              <w:adjustRightInd w:val="0"/>
              <w:snapToGrid w:val="0"/>
              <w:spacing w:line="360" w:lineRule="auto"/>
              <w:rPr>
                <w:rFonts w:cs="Times New Roman"/>
                <w:b/>
                <w:color w:val="auto"/>
                <w:kern w:val="0"/>
                <w:sz w:val="24"/>
                <w:szCs w:val="24"/>
                <w:highlight w:val="none"/>
              </w:rPr>
            </w:pPr>
            <w:r>
              <w:rPr>
                <w:rFonts w:hint="default" w:cs="Times New Roman"/>
                <w:b/>
                <w:color w:val="auto"/>
                <w:kern w:val="0"/>
                <w:sz w:val="24"/>
                <w:szCs w:val="24"/>
                <w:highlight w:val="none"/>
              </w:rPr>
              <w:t xml:space="preserve">3.1 </w:t>
            </w:r>
            <w:r>
              <w:rPr>
                <w:rFonts w:hint="default" w:cs="Times New Roman"/>
                <w:b/>
                <w:color w:val="auto"/>
                <w:kern w:val="0"/>
                <w:sz w:val="24"/>
                <w:szCs w:val="24"/>
                <w:highlight w:val="none"/>
                <w:lang w:val="en-US" w:eastAsia="zh-CN"/>
              </w:rPr>
              <w:t xml:space="preserve"> </w:t>
            </w:r>
            <w:r>
              <w:rPr>
                <w:rFonts w:hint="default" w:cs="Times New Roman"/>
                <w:b/>
                <w:color w:val="auto"/>
                <w:kern w:val="0"/>
                <w:sz w:val="24"/>
                <w:szCs w:val="24"/>
                <w:highlight w:val="none"/>
              </w:rPr>
              <w:t>区域环境</w:t>
            </w:r>
            <w:r>
              <w:rPr>
                <w:rFonts w:cs="Times New Roman"/>
                <w:b/>
                <w:color w:val="auto"/>
                <w:kern w:val="0"/>
                <w:sz w:val="24"/>
                <w:szCs w:val="24"/>
                <w:highlight w:val="none"/>
              </w:rPr>
              <w:t>质量现状</w:t>
            </w:r>
          </w:p>
          <w:p w14:paraId="3FC2E0CA">
            <w:pPr>
              <w:adjustRightInd w:val="0"/>
              <w:snapToGrid w:val="0"/>
              <w:spacing w:line="360" w:lineRule="auto"/>
              <w:rPr>
                <w:rFonts w:cs="Times New Roman"/>
                <w:b/>
                <w:color w:val="auto"/>
                <w:kern w:val="0"/>
                <w:sz w:val="22"/>
                <w:szCs w:val="22"/>
                <w:highlight w:val="none"/>
              </w:rPr>
            </w:pPr>
            <w:r>
              <w:rPr>
                <w:rFonts w:hint="default" w:cs="Times New Roman"/>
                <w:b/>
                <w:color w:val="auto"/>
                <w:kern w:val="0"/>
                <w:sz w:val="22"/>
                <w:szCs w:val="22"/>
                <w:highlight w:val="none"/>
              </w:rPr>
              <w:t>3.1.1</w:t>
            </w:r>
            <w:r>
              <w:rPr>
                <w:rFonts w:hint="default" w:cs="Times New Roman"/>
                <w:b/>
                <w:color w:val="auto"/>
                <w:kern w:val="0"/>
                <w:sz w:val="22"/>
                <w:szCs w:val="22"/>
                <w:highlight w:val="none"/>
                <w:lang w:val="en-US" w:eastAsia="zh-CN"/>
              </w:rPr>
              <w:t xml:space="preserve"> </w:t>
            </w:r>
            <w:r>
              <w:rPr>
                <w:rFonts w:hint="default" w:cs="Times New Roman"/>
                <w:b/>
                <w:color w:val="auto"/>
                <w:kern w:val="0"/>
                <w:sz w:val="22"/>
                <w:szCs w:val="22"/>
                <w:highlight w:val="none"/>
              </w:rPr>
              <w:t xml:space="preserve"> 环境空气</w:t>
            </w:r>
            <w:r>
              <w:rPr>
                <w:rFonts w:cs="Times New Roman"/>
                <w:b/>
                <w:color w:val="auto"/>
                <w:kern w:val="0"/>
                <w:sz w:val="22"/>
                <w:szCs w:val="22"/>
                <w:highlight w:val="none"/>
              </w:rPr>
              <w:t>质量现状</w:t>
            </w:r>
          </w:p>
          <w:p w14:paraId="5A9CDDE0">
            <w:pPr>
              <w:spacing w:line="360" w:lineRule="auto"/>
              <w:ind w:firstLine="422" w:firstLineChars="200"/>
              <w:rPr>
                <w:b/>
                <w:bCs/>
                <w:color w:val="auto"/>
                <w:highlight w:val="none"/>
              </w:rPr>
            </w:pPr>
            <w:r>
              <w:rPr>
                <w:rFonts w:hint="default"/>
                <w:b/>
                <w:bCs/>
                <w:color w:val="auto"/>
                <w:highlight w:val="none"/>
              </w:rPr>
              <w:t>1、环境空气质量达标区判定</w:t>
            </w:r>
          </w:p>
          <w:p w14:paraId="54FA113D">
            <w:pPr>
              <w:spacing w:line="360" w:lineRule="auto"/>
              <w:ind w:firstLine="420" w:firstLineChars="200"/>
              <w:rPr>
                <w:rFonts w:hint="default" w:ascii="Times New Roman" w:hAnsi="Times New Roman" w:eastAsia="宋体" w:cs="Times New Roman"/>
                <w:color w:val="auto"/>
                <w:sz w:val="21"/>
                <w:szCs w:val="21"/>
              </w:rPr>
            </w:pPr>
            <w:bookmarkStart w:id="35" w:name="_Hlk131175006"/>
            <w:r>
              <w:rPr>
                <w:rFonts w:hint="eastAsia" w:cs="Times New Roman"/>
                <w:color w:val="auto"/>
                <w:sz w:val="21"/>
                <w:szCs w:val="21"/>
                <w:lang w:val="en-US" w:eastAsia="zh-CN"/>
              </w:rPr>
              <w:t>根</w:t>
            </w:r>
            <w:r>
              <w:rPr>
                <w:rFonts w:hint="default" w:ascii="Times New Roman" w:hAnsi="Times New Roman" w:eastAsia="宋体" w:cs="Times New Roman"/>
                <w:color w:val="auto"/>
                <w:sz w:val="21"/>
                <w:szCs w:val="21"/>
              </w:rPr>
              <w:t>据功能区划，项目所在地环境空气为二类环境功能区。为了了解评价项目所在区域环境空气质量情况，本次评价引用《2025年浙江省生态环境状况公报》中的相关数据：11个设区城市中，宁波市、温州市、绍兴市、金华市、衢州市、舟山市、台州市和丽水市8个设区城市环境空气质量达到国家二级标准；日环境空气质量（AQI）优良天数比例为82.2%～99.2%，平均为92.4%，较上年上升2.3个百分点。</w:t>
            </w:r>
          </w:p>
          <w:p w14:paraId="4B098585">
            <w:pPr>
              <w:spacing w:line="360" w:lineRule="auto"/>
              <w:ind w:firstLine="420" w:firstLineChars="20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细颗粒物（粒径小于等于2.5微米，PM</w:t>
            </w:r>
            <w:r>
              <w:rPr>
                <w:rFonts w:hint="default" w:ascii="Times New Roman" w:hAnsi="Times New Roman" w:eastAsia="宋体" w:cs="Times New Roman"/>
                <w:color w:val="auto"/>
                <w:sz w:val="21"/>
                <w:szCs w:val="21"/>
                <w:vertAlign w:val="subscript"/>
              </w:rPr>
              <w:t>2.5</w:t>
            </w:r>
            <w:r>
              <w:rPr>
                <w:rFonts w:hint="default" w:ascii="Times New Roman" w:hAnsi="Times New Roman" w:eastAsia="宋体" w:cs="Times New Roman"/>
                <w:color w:val="auto"/>
                <w:sz w:val="21"/>
                <w:szCs w:val="21"/>
              </w:rPr>
              <w:t>）年均浓度范围为15.5～31.0微克/立方米，平均为24.9微克/立方米，较上年下降4.6%；各城市均达到国家二级标准。</w:t>
            </w:r>
          </w:p>
          <w:p w14:paraId="43118C11">
            <w:pPr>
              <w:spacing w:line="360" w:lineRule="auto"/>
              <w:ind w:firstLine="420" w:firstLineChars="20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可吸入颗粒物（粒径小于等于10微米，PM</w:t>
            </w:r>
            <w:r>
              <w:rPr>
                <w:rFonts w:hint="default" w:ascii="Times New Roman" w:hAnsi="Times New Roman" w:eastAsia="宋体" w:cs="Times New Roman"/>
                <w:color w:val="auto"/>
                <w:sz w:val="21"/>
                <w:szCs w:val="21"/>
                <w:vertAlign w:val="subscript"/>
              </w:rPr>
              <w:t>10</w:t>
            </w:r>
            <w:r>
              <w:rPr>
                <w:rFonts w:hint="default" w:ascii="Times New Roman" w:hAnsi="Times New Roman" w:eastAsia="宋体" w:cs="Times New Roman"/>
                <w:color w:val="auto"/>
                <w:sz w:val="21"/>
                <w:szCs w:val="21"/>
              </w:rPr>
              <w:t>）年均浓度范围为29～51微克/立方米，平均为42微克/立方米，与上年持平；各城市均达到国家二级标准。</w:t>
            </w:r>
          </w:p>
          <w:p w14:paraId="21310DF3">
            <w:pPr>
              <w:spacing w:line="360" w:lineRule="auto"/>
              <w:ind w:firstLine="420" w:firstLineChars="20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二氧化硫（SO</w:t>
            </w:r>
            <w:r>
              <w:rPr>
                <w:rFonts w:hint="default" w:ascii="Times New Roman" w:hAnsi="Times New Roman" w:eastAsia="宋体" w:cs="Times New Roman"/>
                <w:color w:val="auto"/>
                <w:sz w:val="21"/>
                <w:szCs w:val="21"/>
                <w:vertAlign w:val="subscript"/>
              </w:rPr>
              <w:t>2</w:t>
            </w:r>
            <w:r>
              <w:rPr>
                <w:rFonts w:hint="default" w:ascii="Times New Roman" w:hAnsi="Times New Roman" w:eastAsia="宋体" w:cs="Times New Roman"/>
                <w:color w:val="auto"/>
                <w:sz w:val="21"/>
                <w:szCs w:val="21"/>
              </w:rPr>
              <w:t>）年均浓度范围为4～7微克/立方米，平均为6微克/立方米，与上年区域环境质量现状持平；各城市均达到国家一级标准。</w:t>
            </w:r>
          </w:p>
          <w:p w14:paraId="28DDBEF6">
            <w:pPr>
              <w:spacing w:line="360" w:lineRule="auto"/>
              <w:ind w:firstLine="420" w:firstLineChars="20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二氧化氮（NO</w:t>
            </w:r>
            <w:r>
              <w:rPr>
                <w:rFonts w:hint="default" w:ascii="Times New Roman" w:hAnsi="Times New Roman" w:eastAsia="宋体" w:cs="Times New Roman"/>
                <w:color w:val="auto"/>
                <w:sz w:val="21"/>
                <w:szCs w:val="21"/>
                <w:vertAlign w:val="subscript"/>
              </w:rPr>
              <w:t>2</w:t>
            </w:r>
            <w:r>
              <w:rPr>
                <w:rFonts w:hint="default" w:ascii="Times New Roman" w:hAnsi="Times New Roman" w:eastAsia="宋体" w:cs="Times New Roman"/>
                <w:color w:val="auto"/>
                <w:sz w:val="21"/>
                <w:szCs w:val="21"/>
              </w:rPr>
              <w:t>）年均浓度范围为17～30微克/立方米，平均为23微克/立方米，较上年下降4.2%；各城市均达到国家一级标准。</w:t>
            </w:r>
          </w:p>
          <w:p w14:paraId="22CFB3AC">
            <w:pPr>
              <w:spacing w:line="360" w:lineRule="auto"/>
              <w:ind w:firstLine="420" w:firstLineChars="20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一氧化碳（CO）日均值第95百分位数浓度范围为0.7～0.9毫克/立方米，平均为0.8毫克/立方米，与上年持平；各城市均达到国家一级标准。</w:t>
            </w:r>
          </w:p>
          <w:p w14:paraId="4AE6AED3">
            <w:pPr>
              <w:spacing w:line="360" w:lineRule="auto"/>
              <w:ind w:firstLine="420" w:firstLineChars="20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臭氧（O</w:t>
            </w:r>
            <w:r>
              <w:rPr>
                <w:rFonts w:hint="default" w:ascii="Times New Roman" w:hAnsi="Times New Roman" w:eastAsia="宋体" w:cs="Times New Roman"/>
                <w:color w:val="auto"/>
                <w:sz w:val="21"/>
                <w:szCs w:val="21"/>
                <w:vertAlign w:val="subscript"/>
              </w:rPr>
              <w:t>3</w:t>
            </w:r>
            <w:r>
              <w:rPr>
                <w:rFonts w:hint="default" w:ascii="Times New Roman" w:hAnsi="Times New Roman" w:eastAsia="宋体" w:cs="Times New Roman"/>
                <w:color w:val="auto"/>
                <w:sz w:val="21"/>
                <w:szCs w:val="21"/>
              </w:rPr>
              <w:t>）日最大8小时平均值第90百分位数浓度范围为131～175微克/立方米，平均为149微克/立方米，较上年上升2.1%；8个设区城市达到国家二级标准，杭州市、湖州市和嘉兴市未达到国家二级标准。</w:t>
            </w:r>
          </w:p>
          <w:p w14:paraId="6C39AC8D">
            <w:pPr>
              <w:spacing w:line="360" w:lineRule="auto"/>
              <w:ind w:firstLine="420" w:firstLineChars="20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综上所述，项目所在区域大气环境质量为不达标区，超标因子为臭氧。</w:t>
            </w:r>
          </w:p>
          <w:p w14:paraId="6C2B410A">
            <w:pPr>
              <w:spacing w:line="360" w:lineRule="auto"/>
              <w:ind w:firstLine="420" w:firstLineChars="200"/>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根据《余杭区环境空气质量提质进位三年行动方案（2024</w:t>
            </w:r>
            <w:r>
              <w:rPr>
                <w:rFonts w:hint="eastAsia" w:cs="Times New Roman"/>
                <w:color w:val="auto"/>
                <w:sz w:val="21"/>
                <w:szCs w:val="21"/>
                <w:lang w:eastAsia="zh-CN"/>
              </w:rPr>
              <w:t>—</w:t>
            </w:r>
            <w:r>
              <w:rPr>
                <w:rFonts w:hint="default" w:ascii="Times New Roman" w:hAnsi="Times New Roman" w:cs="Times New Roman"/>
                <w:color w:val="auto"/>
                <w:sz w:val="21"/>
                <w:szCs w:val="21"/>
              </w:rPr>
              <w:t>2026年）》，为提升区域大气环境质量，拟采取</w:t>
            </w:r>
            <w:r>
              <w:rPr>
                <w:rFonts w:hint="eastAsia" w:cs="Times New Roman"/>
                <w:color w:val="auto"/>
                <w:sz w:val="21"/>
                <w:szCs w:val="21"/>
                <w:lang w:eastAsia="zh-CN"/>
              </w:rPr>
              <w:t>以下</w:t>
            </w:r>
            <w:r>
              <w:rPr>
                <w:rFonts w:hint="default" w:ascii="Times New Roman" w:hAnsi="Times New Roman" w:cs="Times New Roman"/>
                <w:color w:val="auto"/>
                <w:sz w:val="21"/>
                <w:szCs w:val="21"/>
              </w:rPr>
              <w:t>措施：</w:t>
            </w:r>
          </w:p>
          <w:p w14:paraId="78E9143E">
            <w:pPr>
              <w:spacing w:line="360" w:lineRule="auto"/>
              <w:ind w:firstLine="420" w:firstLineChars="200"/>
              <w:rPr>
                <w:rFonts w:hint="default" w:ascii="Times New Roman" w:hAnsi="Times New Roman" w:cs="Times New Roman"/>
                <w:color w:val="auto"/>
                <w:sz w:val="21"/>
                <w:szCs w:val="21"/>
              </w:rPr>
            </w:pPr>
            <w:r>
              <w:rPr>
                <w:rFonts w:hint="default" w:ascii="Times New Roman" w:hAnsi="Times New Roman" w:cs="Times New Roman"/>
                <w:color w:val="auto"/>
                <w:sz w:val="21"/>
                <w:szCs w:val="21"/>
              </w:rPr>
              <w:t>（1）工业源减排：完成207个省市减排任务、142个区级项目，淘汰3台2蒸吨生物质锅炉，推进活性炭集中再生与氮氧化物深度治理。​</w:t>
            </w:r>
          </w:p>
          <w:p w14:paraId="7F19986F">
            <w:pPr>
              <w:spacing w:line="360" w:lineRule="auto"/>
              <w:ind w:firstLine="420" w:firstLineChars="200"/>
              <w:rPr>
                <w:rFonts w:hint="default" w:ascii="Times New Roman" w:hAnsi="Times New Roman" w:cs="Times New Roman"/>
                <w:color w:val="auto"/>
                <w:sz w:val="21"/>
                <w:szCs w:val="21"/>
              </w:rPr>
            </w:pPr>
            <w:r>
              <w:rPr>
                <w:rFonts w:hint="default" w:ascii="Times New Roman" w:hAnsi="Times New Roman" w:cs="Times New Roman"/>
                <w:color w:val="auto"/>
                <w:sz w:val="21"/>
                <w:szCs w:val="21"/>
              </w:rPr>
              <w:t>（2）扬尘源管控：技术赋能：部署公交车移动监测、无人机巡查、走航车监测等设备，建立工地扬尘预警处置机制；长效管理：实现颗粒物异常的快速闭环处置，良渚论坛保障期间创同期PM</w:t>
            </w:r>
            <w:r>
              <w:rPr>
                <w:rFonts w:hint="eastAsia" w:cs="Times New Roman"/>
                <w:color w:val="auto"/>
                <w:sz w:val="21"/>
                <w:szCs w:val="21"/>
                <w:vertAlign w:val="subscript"/>
                <w:lang w:val="en-US" w:eastAsia="zh-CN"/>
              </w:rPr>
              <w:t>2.5</w:t>
            </w:r>
            <w:r>
              <w:rPr>
                <w:rFonts w:hint="default" w:ascii="Times New Roman" w:hAnsi="Times New Roman" w:cs="Times New Roman"/>
                <w:color w:val="auto"/>
                <w:sz w:val="21"/>
                <w:szCs w:val="21"/>
              </w:rPr>
              <w:t>最优水平。​</w:t>
            </w:r>
          </w:p>
          <w:p w14:paraId="6022FF7E">
            <w:pPr>
              <w:spacing w:line="360" w:lineRule="auto"/>
              <w:ind w:firstLine="420" w:firstLineChars="200"/>
              <w:rPr>
                <w:rFonts w:hint="default" w:ascii="Times New Roman" w:hAnsi="Times New Roman" w:cs="Times New Roman"/>
                <w:color w:val="auto"/>
                <w:sz w:val="21"/>
                <w:szCs w:val="21"/>
              </w:rPr>
            </w:pPr>
            <w:r>
              <w:rPr>
                <w:rFonts w:hint="default" w:ascii="Times New Roman" w:hAnsi="Times New Roman" w:cs="Times New Roman"/>
                <w:color w:val="auto"/>
                <w:sz w:val="21"/>
                <w:szCs w:val="21"/>
              </w:rPr>
              <w:t>（3）移动源治理：淘汰国四及以下柴油车327辆、老旧非道机械301台。</w:t>
            </w:r>
          </w:p>
          <w:p w14:paraId="301B84EF">
            <w:pPr>
              <w:spacing w:line="360" w:lineRule="auto"/>
              <w:ind w:firstLine="420" w:firstLineChars="200"/>
              <w:rPr>
                <w:color w:val="auto"/>
                <w:highlight w:val="none"/>
              </w:rPr>
            </w:pPr>
            <w:r>
              <w:rPr>
                <w:rFonts w:hint="default" w:ascii="Times New Roman" w:hAnsi="Times New Roman" w:cs="Times New Roman"/>
                <w:color w:val="auto"/>
                <w:sz w:val="21"/>
                <w:szCs w:val="21"/>
              </w:rPr>
              <w:t>（4）生活源整治：安装餐饮油烟在线监测189套，119家汽修企业纳入活性炭“绿岛”再生体系；建成62个高位瞭望设施，落实“1530”秸秆焚烧闭环处置机制。</w:t>
            </w:r>
          </w:p>
          <w:p w14:paraId="72CCE163">
            <w:pPr>
              <w:spacing w:line="360" w:lineRule="auto"/>
              <w:ind w:firstLine="422" w:firstLineChars="200"/>
              <w:rPr>
                <w:b/>
                <w:bCs/>
                <w:color w:val="auto"/>
                <w:highlight w:val="none"/>
              </w:rPr>
            </w:pPr>
            <w:r>
              <w:rPr>
                <w:rFonts w:hint="default"/>
                <w:b/>
                <w:bCs/>
                <w:color w:val="auto"/>
                <w:highlight w:val="none"/>
              </w:rPr>
              <w:t>2、其他</w:t>
            </w:r>
            <w:r>
              <w:rPr>
                <w:rFonts w:hint="default"/>
                <w:b/>
                <w:bCs/>
                <w:color w:val="auto"/>
                <w:highlight w:val="none"/>
                <w:lang w:val="en-US" w:eastAsia="zh-CN"/>
              </w:rPr>
              <w:t>特征</w:t>
            </w:r>
            <w:r>
              <w:rPr>
                <w:rFonts w:hint="default"/>
                <w:b/>
                <w:bCs/>
                <w:color w:val="auto"/>
                <w:highlight w:val="none"/>
              </w:rPr>
              <w:t>污染物环境质量现状</w:t>
            </w:r>
          </w:p>
          <w:p w14:paraId="2CF33C21">
            <w:pPr>
              <w:spacing w:line="360" w:lineRule="auto"/>
              <w:ind w:firstLine="420" w:firstLineChars="200"/>
              <w:rPr>
                <w:rFonts w:hint="default" w:eastAsia="宋体"/>
                <w:color w:val="auto"/>
                <w:highlight w:val="none"/>
                <w:lang w:val="en-US" w:eastAsia="zh-CN"/>
              </w:rPr>
            </w:pPr>
            <w:r>
              <w:rPr>
                <w:color w:val="auto"/>
                <w:highlight w:val="none"/>
              </w:rPr>
              <w:t>为了解项目</w:t>
            </w:r>
            <w:r>
              <w:rPr>
                <w:rFonts w:hint="default"/>
                <w:color w:val="auto"/>
                <w:highlight w:val="none"/>
              </w:rPr>
              <w:t>所在</w:t>
            </w:r>
            <w:r>
              <w:rPr>
                <w:color w:val="auto"/>
                <w:highlight w:val="none"/>
              </w:rPr>
              <w:t>区域大气环境中其他特征污染物环境质量现状，本环评引用《</w:t>
            </w:r>
            <w:r>
              <w:rPr>
                <w:rFonts w:hint="default"/>
                <w:color w:val="auto"/>
                <w:highlight w:val="none"/>
              </w:rPr>
              <w:t>余政工出【2022】3号地块医药制造业项目环境影响报告书</w:t>
            </w:r>
            <w:r>
              <w:rPr>
                <w:color w:val="auto"/>
                <w:highlight w:val="none"/>
              </w:rPr>
              <w:t>》</w:t>
            </w:r>
            <w:r>
              <w:rPr>
                <w:rFonts w:hint="default"/>
                <w:color w:val="auto"/>
                <w:highlight w:val="none"/>
              </w:rPr>
              <w:t>（批复文号：环评批复[2025]16号）</w:t>
            </w:r>
            <w:r>
              <w:rPr>
                <w:color w:val="auto"/>
                <w:highlight w:val="none"/>
              </w:rPr>
              <w:t>，委托浙江鸿博环境检测有限公司开展的大气环境监测数据（报告编号：HJ202</w:t>
            </w:r>
            <w:r>
              <w:rPr>
                <w:rFonts w:hint="default"/>
                <w:color w:val="auto"/>
                <w:highlight w:val="none"/>
              </w:rPr>
              <w:t>40971</w:t>
            </w:r>
            <w:r>
              <w:rPr>
                <w:color w:val="auto"/>
                <w:highlight w:val="none"/>
              </w:rPr>
              <w:t>-</w:t>
            </w:r>
            <w:r>
              <w:rPr>
                <w:rFonts w:hint="default"/>
                <w:color w:val="auto"/>
                <w:highlight w:val="none"/>
              </w:rPr>
              <w:t>BG0</w:t>
            </w:r>
            <w:r>
              <w:rPr>
                <w:color w:val="auto"/>
                <w:highlight w:val="none"/>
              </w:rPr>
              <w:t>01）进行评价。</w:t>
            </w:r>
            <w:r>
              <w:rPr>
                <w:rFonts w:hint="default"/>
                <w:color w:val="auto"/>
                <w:highlight w:val="none"/>
                <w:lang w:val="en-US" w:eastAsia="zh-CN"/>
              </w:rPr>
              <w:t>污染物监测点位信息如表3-1所示。</w:t>
            </w:r>
          </w:p>
          <w:p w14:paraId="67D2AEA4">
            <w:pPr>
              <w:pStyle w:val="14"/>
              <w:keepNext w:val="0"/>
              <w:keepLines w:val="0"/>
              <w:pageBreakBefore w:val="0"/>
              <w:widowControl/>
              <w:numPr>
                <w:ilvl w:val="0"/>
                <w:numId w:val="4"/>
              </w:numPr>
              <w:tabs>
                <w:tab w:val="left" w:pos="4515"/>
                <w:tab w:val="left" w:pos="5883"/>
                <w:tab w:val="left" w:pos="8718"/>
              </w:tabs>
              <w:kinsoku/>
              <w:wordWrap/>
              <w:overflowPunct/>
              <w:topLinePunct w:val="0"/>
              <w:autoSpaceDE/>
              <w:autoSpaceDN/>
              <w:bidi w:val="0"/>
              <w:adjustRightInd w:val="0"/>
              <w:snapToGrid w:val="0"/>
              <w:spacing w:line="360" w:lineRule="auto"/>
              <w:jc w:val="center"/>
              <w:textAlignment w:val="auto"/>
              <w:rPr>
                <w:rFonts w:hint="default" w:ascii="Times New Roman" w:hAnsi="Times New Roman" w:eastAsia="黑体" w:cs="Times New Roman"/>
                <w:b w:val="0"/>
                <w:bCs/>
                <w:color w:val="auto"/>
                <w:highlight w:val="none"/>
                <w:lang w:val="zh-CN"/>
              </w:rPr>
            </w:pPr>
            <w:r>
              <w:rPr>
                <w:rFonts w:hint="default" w:ascii="Times New Roman" w:hAnsi="Times New Roman" w:eastAsia="黑体" w:cs="Times New Roman"/>
                <w:b w:val="0"/>
                <w:bCs/>
                <w:color w:val="auto"/>
                <w:highlight w:val="none"/>
                <w:lang w:val="en-US" w:eastAsia="zh-CN"/>
              </w:rPr>
              <w:t xml:space="preserve"> </w:t>
            </w:r>
            <w:r>
              <w:rPr>
                <w:rFonts w:hint="default" w:ascii="Times New Roman" w:hAnsi="Times New Roman" w:eastAsia="黑体" w:cs="Times New Roman"/>
                <w:b w:val="0"/>
                <w:bCs/>
                <w:color w:val="auto"/>
                <w:highlight w:val="none"/>
              </w:rPr>
              <w:t>污染物监测点位基本信息</w:t>
            </w:r>
          </w:p>
          <w:tbl>
            <w:tblPr>
              <w:tblStyle w:val="25"/>
              <w:tblW w:w="5000" w:type="pct"/>
              <w:tblInd w:w="-1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773"/>
              <w:gridCol w:w="756"/>
              <w:gridCol w:w="846"/>
              <w:gridCol w:w="978"/>
              <w:gridCol w:w="913"/>
              <w:gridCol w:w="572"/>
              <w:gridCol w:w="732"/>
              <w:gridCol w:w="753"/>
              <w:gridCol w:w="1831"/>
            </w:tblGrid>
            <w:tr w14:paraId="218DD97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483" w:type="pct"/>
                  <w:vMerge w:val="restart"/>
                  <w:tcBorders>
                    <w:tl2br w:val="nil"/>
                    <w:tr2bl w:val="nil"/>
                  </w:tcBorders>
                  <w:vAlign w:val="center"/>
                </w:tcPr>
                <w:p w14:paraId="39F5F1AA">
                  <w:pPr>
                    <w:jc w:val="center"/>
                    <w:rPr>
                      <w:color w:val="auto"/>
                      <w:sz w:val="18"/>
                      <w:szCs w:val="18"/>
                      <w:highlight w:val="none"/>
                    </w:rPr>
                  </w:pPr>
                  <w:r>
                    <w:rPr>
                      <w:rFonts w:hint="default"/>
                      <w:color w:val="auto"/>
                      <w:sz w:val="18"/>
                      <w:szCs w:val="18"/>
                      <w:highlight w:val="none"/>
                    </w:rPr>
                    <w:t>监测点名称</w:t>
                  </w:r>
                </w:p>
              </w:tc>
              <w:tc>
                <w:tcPr>
                  <w:tcW w:w="952" w:type="pct"/>
                  <w:gridSpan w:val="2"/>
                  <w:tcBorders>
                    <w:tl2br w:val="nil"/>
                    <w:tr2bl w:val="nil"/>
                  </w:tcBorders>
                  <w:vAlign w:val="center"/>
                </w:tcPr>
                <w:p w14:paraId="13F4441A">
                  <w:pPr>
                    <w:jc w:val="center"/>
                    <w:rPr>
                      <w:color w:val="auto"/>
                      <w:sz w:val="18"/>
                      <w:szCs w:val="18"/>
                      <w:highlight w:val="none"/>
                    </w:rPr>
                  </w:pPr>
                  <w:r>
                    <w:rPr>
                      <w:rFonts w:hint="default"/>
                      <w:color w:val="auto"/>
                      <w:sz w:val="18"/>
                      <w:szCs w:val="18"/>
                      <w:highlight w:val="none"/>
                    </w:rPr>
                    <w:t>UTM坐标/m</w:t>
                  </w:r>
                </w:p>
              </w:tc>
              <w:tc>
                <w:tcPr>
                  <w:tcW w:w="608" w:type="pct"/>
                  <w:vMerge w:val="restart"/>
                  <w:tcBorders>
                    <w:tl2br w:val="nil"/>
                    <w:tr2bl w:val="nil"/>
                  </w:tcBorders>
                  <w:vAlign w:val="center"/>
                </w:tcPr>
                <w:p w14:paraId="78BBE5EC">
                  <w:pPr>
                    <w:jc w:val="center"/>
                    <w:rPr>
                      <w:color w:val="auto"/>
                      <w:sz w:val="18"/>
                      <w:szCs w:val="18"/>
                      <w:highlight w:val="none"/>
                    </w:rPr>
                  </w:pPr>
                  <w:r>
                    <w:rPr>
                      <w:rFonts w:hint="default"/>
                      <w:color w:val="auto"/>
                      <w:sz w:val="18"/>
                      <w:szCs w:val="18"/>
                      <w:highlight w:val="none"/>
                    </w:rPr>
                    <w:t>相对本项目方位</w:t>
                  </w:r>
                </w:p>
              </w:tc>
              <w:tc>
                <w:tcPr>
                  <w:tcW w:w="568" w:type="pct"/>
                  <w:vMerge w:val="restart"/>
                  <w:tcBorders>
                    <w:tl2br w:val="nil"/>
                    <w:tr2bl w:val="nil"/>
                  </w:tcBorders>
                  <w:vAlign w:val="center"/>
                </w:tcPr>
                <w:p w14:paraId="6F949C1A">
                  <w:pPr>
                    <w:jc w:val="center"/>
                    <w:rPr>
                      <w:color w:val="auto"/>
                      <w:sz w:val="18"/>
                      <w:szCs w:val="18"/>
                      <w:highlight w:val="none"/>
                    </w:rPr>
                  </w:pPr>
                  <w:r>
                    <w:rPr>
                      <w:rFonts w:hint="default"/>
                      <w:color w:val="auto"/>
                      <w:sz w:val="18"/>
                      <w:szCs w:val="18"/>
                      <w:highlight w:val="none"/>
                    </w:rPr>
                    <w:t>据本项目距离</w:t>
                  </w:r>
                </w:p>
              </w:tc>
              <w:tc>
                <w:tcPr>
                  <w:tcW w:w="359" w:type="pct"/>
                  <w:vMerge w:val="restart"/>
                  <w:tcBorders>
                    <w:tl2br w:val="nil"/>
                    <w:tr2bl w:val="nil"/>
                  </w:tcBorders>
                  <w:vAlign w:val="center"/>
                </w:tcPr>
                <w:p w14:paraId="11706EE5">
                  <w:pPr>
                    <w:jc w:val="center"/>
                    <w:rPr>
                      <w:color w:val="auto"/>
                      <w:sz w:val="18"/>
                      <w:szCs w:val="18"/>
                      <w:highlight w:val="none"/>
                    </w:rPr>
                  </w:pPr>
                  <w:r>
                    <w:rPr>
                      <w:rFonts w:hint="default"/>
                      <w:color w:val="auto"/>
                      <w:sz w:val="18"/>
                      <w:szCs w:val="18"/>
                      <w:highlight w:val="none"/>
                    </w:rPr>
                    <w:t>备注</w:t>
                  </w:r>
                </w:p>
              </w:tc>
              <w:tc>
                <w:tcPr>
                  <w:tcW w:w="457" w:type="pct"/>
                  <w:vMerge w:val="restart"/>
                  <w:tcBorders>
                    <w:tl2br w:val="nil"/>
                    <w:tr2bl w:val="nil"/>
                  </w:tcBorders>
                  <w:vAlign w:val="center"/>
                </w:tcPr>
                <w:p w14:paraId="55008B16">
                  <w:pPr>
                    <w:jc w:val="center"/>
                    <w:rPr>
                      <w:color w:val="auto"/>
                      <w:sz w:val="18"/>
                      <w:szCs w:val="18"/>
                      <w:highlight w:val="none"/>
                    </w:rPr>
                  </w:pPr>
                  <w:r>
                    <w:rPr>
                      <w:rFonts w:hint="default"/>
                      <w:color w:val="auto"/>
                      <w:sz w:val="18"/>
                      <w:szCs w:val="18"/>
                      <w:highlight w:val="none"/>
                    </w:rPr>
                    <w:t>监测项目</w:t>
                  </w:r>
                </w:p>
              </w:tc>
              <w:tc>
                <w:tcPr>
                  <w:tcW w:w="470" w:type="pct"/>
                  <w:vMerge w:val="restart"/>
                  <w:tcBorders>
                    <w:tl2br w:val="nil"/>
                    <w:tr2bl w:val="nil"/>
                  </w:tcBorders>
                  <w:vAlign w:val="center"/>
                </w:tcPr>
                <w:p w14:paraId="23B5215C">
                  <w:pPr>
                    <w:jc w:val="center"/>
                    <w:rPr>
                      <w:color w:val="auto"/>
                      <w:sz w:val="18"/>
                      <w:szCs w:val="18"/>
                      <w:highlight w:val="none"/>
                    </w:rPr>
                  </w:pPr>
                  <w:r>
                    <w:rPr>
                      <w:rFonts w:hint="default"/>
                      <w:color w:val="auto"/>
                      <w:sz w:val="18"/>
                      <w:szCs w:val="18"/>
                      <w:highlight w:val="none"/>
                    </w:rPr>
                    <w:t>采样频次</w:t>
                  </w:r>
                </w:p>
              </w:tc>
              <w:tc>
                <w:tcPr>
                  <w:tcW w:w="1100" w:type="pct"/>
                  <w:vMerge w:val="restart"/>
                  <w:tcBorders>
                    <w:tl2br w:val="nil"/>
                    <w:tr2bl w:val="nil"/>
                  </w:tcBorders>
                  <w:vAlign w:val="center"/>
                </w:tcPr>
                <w:p w14:paraId="733AD25F">
                  <w:pPr>
                    <w:jc w:val="center"/>
                    <w:rPr>
                      <w:color w:val="auto"/>
                      <w:sz w:val="18"/>
                      <w:szCs w:val="18"/>
                      <w:highlight w:val="none"/>
                    </w:rPr>
                  </w:pPr>
                  <w:r>
                    <w:rPr>
                      <w:rFonts w:hint="default"/>
                      <w:color w:val="auto"/>
                      <w:sz w:val="18"/>
                      <w:szCs w:val="18"/>
                      <w:highlight w:val="none"/>
                    </w:rPr>
                    <w:t>采样时间</w:t>
                  </w:r>
                </w:p>
              </w:tc>
            </w:tr>
            <w:tr w14:paraId="3BCEFF2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483" w:type="pct"/>
                  <w:vMerge w:val="continue"/>
                  <w:tcBorders>
                    <w:tl2br w:val="nil"/>
                    <w:tr2bl w:val="nil"/>
                  </w:tcBorders>
                  <w:vAlign w:val="center"/>
                </w:tcPr>
                <w:p w14:paraId="49C2A618">
                  <w:pPr>
                    <w:jc w:val="center"/>
                    <w:rPr>
                      <w:color w:val="auto"/>
                      <w:sz w:val="18"/>
                      <w:szCs w:val="18"/>
                      <w:highlight w:val="none"/>
                    </w:rPr>
                  </w:pPr>
                </w:p>
              </w:tc>
              <w:tc>
                <w:tcPr>
                  <w:tcW w:w="449" w:type="pct"/>
                  <w:tcBorders>
                    <w:tl2br w:val="nil"/>
                    <w:tr2bl w:val="nil"/>
                  </w:tcBorders>
                  <w:vAlign w:val="center"/>
                </w:tcPr>
                <w:p w14:paraId="42444487">
                  <w:pPr>
                    <w:jc w:val="center"/>
                    <w:rPr>
                      <w:color w:val="auto"/>
                      <w:sz w:val="18"/>
                      <w:szCs w:val="18"/>
                      <w:highlight w:val="none"/>
                    </w:rPr>
                  </w:pPr>
                  <w:r>
                    <w:rPr>
                      <w:rFonts w:hint="default"/>
                      <w:color w:val="auto"/>
                      <w:sz w:val="18"/>
                      <w:szCs w:val="18"/>
                      <w:highlight w:val="none"/>
                    </w:rPr>
                    <w:t>X</w:t>
                  </w:r>
                </w:p>
              </w:tc>
              <w:tc>
                <w:tcPr>
                  <w:tcW w:w="503" w:type="pct"/>
                  <w:tcBorders>
                    <w:tl2br w:val="nil"/>
                    <w:tr2bl w:val="nil"/>
                  </w:tcBorders>
                  <w:vAlign w:val="center"/>
                </w:tcPr>
                <w:p w14:paraId="7077A920">
                  <w:pPr>
                    <w:jc w:val="center"/>
                    <w:rPr>
                      <w:color w:val="auto"/>
                      <w:sz w:val="18"/>
                      <w:szCs w:val="18"/>
                      <w:highlight w:val="none"/>
                    </w:rPr>
                  </w:pPr>
                  <w:r>
                    <w:rPr>
                      <w:rFonts w:hint="default"/>
                      <w:color w:val="auto"/>
                      <w:sz w:val="18"/>
                      <w:szCs w:val="18"/>
                      <w:highlight w:val="none"/>
                    </w:rPr>
                    <w:t>Y</w:t>
                  </w:r>
                </w:p>
              </w:tc>
              <w:tc>
                <w:tcPr>
                  <w:tcW w:w="608" w:type="pct"/>
                  <w:vMerge w:val="continue"/>
                  <w:tcBorders>
                    <w:tl2br w:val="nil"/>
                    <w:tr2bl w:val="nil"/>
                  </w:tcBorders>
                  <w:vAlign w:val="center"/>
                </w:tcPr>
                <w:p w14:paraId="5241F78A">
                  <w:pPr>
                    <w:jc w:val="center"/>
                    <w:rPr>
                      <w:color w:val="auto"/>
                      <w:sz w:val="18"/>
                      <w:szCs w:val="18"/>
                      <w:highlight w:val="none"/>
                    </w:rPr>
                  </w:pPr>
                </w:p>
              </w:tc>
              <w:tc>
                <w:tcPr>
                  <w:tcW w:w="568" w:type="pct"/>
                  <w:vMerge w:val="continue"/>
                  <w:tcBorders>
                    <w:tl2br w:val="nil"/>
                    <w:tr2bl w:val="nil"/>
                  </w:tcBorders>
                  <w:vAlign w:val="center"/>
                </w:tcPr>
                <w:p w14:paraId="3C21C5DE">
                  <w:pPr>
                    <w:jc w:val="center"/>
                    <w:rPr>
                      <w:color w:val="auto"/>
                      <w:sz w:val="18"/>
                      <w:szCs w:val="18"/>
                      <w:highlight w:val="none"/>
                    </w:rPr>
                  </w:pPr>
                </w:p>
              </w:tc>
              <w:tc>
                <w:tcPr>
                  <w:tcW w:w="359" w:type="pct"/>
                  <w:vMerge w:val="continue"/>
                  <w:tcBorders>
                    <w:tl2br w:val="nil"/>
                    <w:tr2bl w:val="nil"/>
                  </w:tcBorders>
                  <w:vAlign w:val="center"/>
                </w:tcPr>
                <w:p w14:paraId="5838D3A0">
                  <w:pPr>
                    <w:jc w:val="center"/>
                    <w:rPr>
                      <w:color w:val="auto"/>
                      <w:sz w:val="18"/>
                      <w:szCs w:val="18"/>
                      <w:highlight w:val="none"/>
                    </w:rPr>
                  </w:pPr>
                </w:p>
              </w:tc>
              <w:tc>
                <w:tcPr>
                  <w:tcW w:w="457" w:type="pct"/>
                  <w:vMerge w:val="continue"/>
                  <w:tcBorders>
                    <w:tl2br w:val="nil"/>
                    <w:tr2bl w:val="nil"/>
                  </w:tcBorders>
                  <w:vAlign w:val="center"/>
                </w:tcPr>
                <w:p w14:paraId="3C9F57A2">
                  <w:pPr>
                    <w:jc w:val="center"/>
                    <w:rPr>
                      <w:color w:val="auto"/>
                      <w:sz w:val="18"/>
                      <w:szCs w:val="18"/>
                      <w:highlight w:val="none"/>
                    </w:rPr>
                  </w:pPr>
                </w:p>
              </w:tc>
              <w:tc>
                <w:tcPr>
                  <w:tcW w:w="470" w:type="pct"/>
                  <w:vMerge w:val="continue"/>
                  <w:tcBorders>
                    <w:tl2br w:val="nil"/>
                    <w:tr2bl w:val="nil"/>
                  </w:tcBorders>
                  <w:vAlign w:val="center"/>
                </w:tcPr>
                <w:p w14:paraId="7809E535">
                  <w:pPr>
                    <w:jc w:val="center"/>
                    <w:rPr>
                      <w:color w:val="auto"/>
                      <w:sz w:val="18"/>
                      <w:szCs w:val="18"/>
                      <w:highlight w:val="none"/>
                    </w:rPr>
                  </w:pPr>
                </w:p>
              </w:tc>
              <w:tc>
                <w:tcPr>
                  <w:tcW w:w="1100" w:type="pct"/>
                  <w:vMerge w:val="continue"/>
                  <w:tcBorders>
                    <w:tl2br w:val="nil"/>
                    <w:tr2bl w:val="nil"/>
                  </w:tcBorders>
                  <w:vAlign w:val="center"/>
                </w:tcPr>
                <w:p w14:paraId="2D5B0AEC">
                  <w:pPr>
                    <w:jc w:val="center"/>
                    <w:rPr>
                      <w:color w:val="auto"/>
                      <w:sz w:val="18"/>
                      <w:szCs w:val="18"/>
                      <w:highlight w:val="none"/>
                    </w:rPr>
                  </w:pPr>
                </w:p>
              </w:tc>
            </w:tr>
            <w:tr w14:paraId="1529510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483" w:type="pct"/>
                  <w:vMerge w:val="restart"/>
                  <w:tcBorders>
                    <w:tl2br w:val="nil"/>
                    <w:tr2bl w:val="nil"/>
                  </w:tcBorders>
                  <w:vAlign w:val="center"/>
                </w:tcPr>
                <w:p w14:paraId="538471C4">
                  <w:pPr>
                    <w:jc w:val="center"/>
                    <w:rPr>
                      <w:color w:val="auto"/>
                      <w:sz w:val="18"/>
                      <w:szCs w:val="18"/>
                      <w:highlight w:val="none"/>
                    </w:rPr>
                  </w:pPr>
                  <w:r>
                    <w:rPr>
                      <w:rFonts w:hint="default"/>
                      <w:color w:val="auto"/>
                      <w:sz w:val="18"/>
                      <w:szCs w:val="18"/>
                      <w:highlight w:val="none"/>
                    </w:rPr>
                    <w:t>西宅斗村</w:t>
                  </w:r>
                </w:p>
              </w:tc>
              <w:tc>
                <w:tcPr>
                  <w:tcW w:w="449" w:type="pct"/>
                  <w:vMerge w:val="restart"/>
                  <w:tcBorders>
                    <w:tl2br w:val="nil"/>
                    <w:tr2bl w:val="nil"/>
                  </w:tcBorders>
                  <w:vAlign w:val="center"/>
                </w:tcPr>
                <w:p w14:paraId="2A09FD3F">
                  <w:pPr>
                    <w:jc w:val="center"/>
                    <w:rPr>
                      <w:color w:val="auto"/>
                      <w:sz w:val="18"/>
                      <w:szCs w:val="18"/>
                      <w:highlight w:val="none"/>
                    </w:rPr>
                  </w:pPr>
                  <w:r>
                    <w:rPr>
                      <w:rFonts w:hint="default"/>
                      <w:color w:val="auto"/>
                      <w:sz w:val="18"/>
                      <w:szCs w:val="18"/>
                      <w:highlight w:val="none"/>
                    </w:rPr>
                    <w:t>219828</w:t>
                  </w:r>
                </w:p>
              </w:tc>
              <w:tc>
                <w:tcPr>
                  <w:tcW w:w="503" w:type="pct"/>
                  <w:vMerge w:val="restart"/>
                  <w:tcBorders>
                    <w:tl2br w:val="nil"/>
                    <w:tr2bl w:val="nil"/>
                  </w:tcBorders>
                  <w:vAlign w:val="center"/>
                </w:tcPr>
                <w:p w14:paraId="1F6510FE">
                  <w:pPr>
                    <w:jc w:val="center"/>
                    <w:rPr>
                      <w:color w:val="auto"/>
                      <w:sz w:val="18"/>
                      <w:szCs w:val="18"/>
                      <w:highlight w:val="none"/>
                    </w:rPr>
                  </w:pPr>
                  <w:r>
                    <w:rPr>
                      <w:rFonts w:hint="default"/>
                      <w:color w:val="auto"/>
                      <w:sz w:val="18"/>
                      <w:szCs w:val="18"/>
                      <w:highlight w:val="none"/>
                    </w:rPr>
                    <w:t>3373526</w:t>
                  </w:r>
                </w:p>
              </w:tc>
              <w:tc>
                <w:tcPr>
                  <w:tcW w:w="608" w:type="pct"/>
                  <w:vMerge w:val="restart"/>
                  <w:tcBorders>
                    <w:tl2br w:val="nil"/>
                    <w:tr2bl w:val="nil"/>
                  </w:tcBorders>
                  <w:vAlign w:val="center"/>
                </w:tcPr>
                <w:p w14:paraId="1EBBE9D6">
                  <w:pPr>
                    <w:jc w:val="center"/>
                    <w:rPr>
                      <w:color w:val="auto"/>
                      <w:sz w:val="18"/>
                      <w:szCs w:val="18"/>
                      <w:highlight w:val="none"/>
                    </w:rPr>
                  </w:pPr>
                  <w:r>
                    <w:rPr>
                      <w:rFonts w:hint="default"/>
                      <w:color w:val="auto"/>
                      <w:sz w:val="18"/>
                      <w:szCs w:val="18"/>
                      <w:highlight w:val="none"/>
                    </w:rPr>
                    <w:t>东</w:t>
                  </w:r>
                </w:p>
              </w:tc>
              <w:tc>
                <w:tcPr>
                  <w:tcW w:w="568" w:type="pct"/>
                  <w:vMerge w:val="restart"/>
                  <w:tcBorders>
                    <w:tl2br w:val="nil"/>
                    <w:tr2bl w:val="nil"/>
                  </w:tcBorders>
                  <w:vAlign w:val="center"/>
                </w:tcPr>
                <w:p w14:paraId="76E20392">
                  <w:pPr>
                    <w:jc w:val="center"/>
                    <w:rPr>
                      <w:color w:val="auto"/>
                      <w:sz w:val="18"/>
                      <w:szCs w:val="18"/>
                      <w:highlight w:val="none"/>
                    </w:rPr>
                  </w:pPr>
                  <w:r>
                    <w:rPr>
                      <w:rFonts w:hint="default"/>
                      <w:color w:val="auto"/>
                      <w:sz w:val="18"/>
                      <w:szCs w:val="18"/>
                      <w:highlight w:val="none"/>
                    </w:rPr>
                    <w:t>677 m</w:t>
                  </w:r>
                </w:p>
              </w:tc>
              <w:tc>
                <w:tcPr>
                  <w:tcW w:w="359" w:type="pct"/>
                  <w:vMerge w:val="restart"/>
                  <w:tcBorders>
                    <w:tl2br w:val="nil"/>
                    <w:tr2bl w:val="nil"/>
                  </w:tcBorders>
                  <w:vAlign w:val="center"/>
                </w:tcPr>
                <w:p w14:paraId="5D7EB3D0">
                  <w:pPr>
                    <w:jc w:val="center"/>
                    <w:rPr>
                      <w:color w:val="auto"/>
                      <w:sz w:val="18"/>
                      <w:szCs w:val="18"/>
                      <w:highlight w:val="none"/>
                    </w:rPr>
                  </w:pPr>
                  <w:r>
                    <w:rPr>
                      <w:rFonts w:hint="default"/>
                      <w:color w:val="auto"/>
                      <w:sz w:val="18"/>
                      <w:szCs w:val="18"/>
                      <w:highlight w:val="none"/>
                    </w:rPr>
                    <w:t>下风向</w:t>
                  </w:r>
                </w:p>
              </w:tc>
              <w:tc>
                <w:tcPr>
                  <w:tcW w:w="457" w:type="pct"/>
                  <w:tcBorders>
                    <w:tl2br w:val="nil"/>
                    <w:tr2bl w:val="nil"/>
                  </w:tcBorders>
                  <w:vAlign w:val="center"/>
                </w:tcPr>
                <w:p w14:paraId="3172F5E0">
                  <w:pPr>
                    <w:jc w:val="center"/>
                    <w:rPr>
                      <w:color w:val="auto"/>
                      <w:sz w:val="18"/>
                      <w:szCs w:val="18"/>
                      <w:highlight w:val="none"/>
                    </w:rPr>
                  </w:pPr>
                  <w:r>
                    <w:rPr>
                      <w:rFonts w:hint="default"/>
                      <w:color w:val="auto"/>
                      <w:sz w:val="18"/>
                      <w:szCs w:val="18"/>
                      <w:highlight w:val="none"/>
                    </w:rPr>
                    <w:t>TSP</w:t>
                  </w:r>
                </w:p>
              </w:tc>
              <w:tc>
                <w:tcPr>
                  <w:tcW w:w="470" w:type="pct"/>
                  <w:tcBorders>
                    <w:tl2br w:val="nil"/>
                    <w:tr2bl w:val="nil"/>
                  </w:tcBorders>
                  <w:vAlign w:val="center"/>
                </w:tcPr>
                <w:p w14:paraId="4D77C9FB">
                  <w:pPr>
                    <w:jc w:val="center"/>
                    <w:rPr>
                      <w:color w:val="auto"/>
                      <w:sz w:val="18"/>
                      <w:szCs w:val="18"/>
                      <w:highlight w:val="none"/>
                    </w:rPr>
                  </w:pPr>
                  <w:r>
                    <w:rPr>
                      <w:rFonts w:hint="default"/>
                      <w:color w:val="auto"/>
                      <w:sz w:val="18"/>
                      <w:szCs w:val="18"/>
                      <w:highlight w:val="none"/>
                    </w:rPr>
                    <w:t>日均值</w:t>
                  </w:r>
                </w:p>
              </w:tc>
              <w:tc>
                <w:tcPr>
                  <w:tcW w:w="1100" w:type="pct"/>
                  <w:vMerge w:val="restart"/>
                  <w:tcBorders>
                    <w:tl2br w:val="nil"/>
                    <w:tr2bl w:val="nil"/>
                  </w:tcBorders>
                  <w:vAlign w:val="center"/>
                </w:tcPr>
                <w:p w14:paraId="3A4CE1C2">
                  <w:pPr>
                    <w:jc w:val="center"/>
                    <w:rPr>
                      <w:color w:val="auto"/>
                      <w:sz w:val="18"/>
                      <w:szCs w:val="18"/>
                      <w:highlight w:val="none"/>
                    </w:rPr>
                  </w:pPr>
                  <w:r>
                    <w:rPr>
                      <w:rFonts w:hint="default"/>
                      <w:color w:val="auto"/>
                      <w:sz w:val="18"/>
                      <w:szCs w:val="18"/>
                      <w:highlight w:val="none"/>
                    </w:rPr>
                    <w:t>2024.11.4~2024.11.10</w:t>
                  </w:r>
                </w:p>
              </w:tc>
            </w:tr>
            <w:tr w14:paraId="4B522DB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483" w:type="pct"/>
                  <w:vMerge w:val="continue"/>
                  <w:tcBorders>
                    <w:tl2br w:val="nil"/>
                    <w:tr2bl w:val="nil"/>
                  </w:tcBorders>
                  <w:vAlign w:val="center"/>
                </w:tcPr>
                <w:p w14:paraId="3407D678">
                  <w:pPr>
                    <w:jc w:val="center"/>
                    <w:rPr>
                      <w:color w:val="auto"/>
                      <w:sz w:val="18"/>
                      <w:szCs w:val="18"/>
                      <w:highlight w:val="none"/>
                    </w:rPr>
                  </w:pPr>
                </w:p>
              </w:tc>
              <w:tc>
                <w:tcPr>
                  <w:tcW w:w="449" w:type="pct"/>
                  <w:vMerge w:val="continue"/>
                  <w:tcBorders>
                    <w:tl2br w:val="nil"/>
                    <w:tr2bl w:val="nil"/>
                  </w:tcBorders>
                  <w:vAlign w:val="center"/>
                </w:tcPr>
                <w:p w14:paraId="42DEB6A0">
                  <w:pPr>
                    <w:jc w:val="center"/>
                    <w:rPr>
                      <w:color w:val="auto"/>
                      <w:sz w:val="18"/>
                      <w:szCs w:val="18"/>
                      <w:highlight w:val="none"/>
                    </w:rPr>
                  </w:pPr>
                </w:p>
              </w:tc>
              <w:tc>
                <w:tcPr>
                  <w:tcW w:w="503" w:type="pct"/>
                  <w:vMerge w:val="continue"/>
                  <w:tcBorders>
                    <w:tl2br w:val="nil"/>
                    <w:tr2bl w:val="nil"/>
                  </w:tcBorders>
                  <w:vAlign w:val="center"/>
                </w:tcPr>
                <w:p w14:paraId="11A74502">
                  <w:pPr>
                    <w:jc w:val="center"/>
                    <w:rPr>
                      <w:color w:val="auto"/>
                      <w:sz w:val="18"/>
                      <w:szCs w:val="18"/>
                      <w:highlight w:val="none"/>
                    </w:rPr>
                  </w:pPr>
                </w:p>
              </w:tc>
              <w:tc>
                <w:tcPr>
                  <w:tcW w:w="608" w:type="pct"/>
                  <w:vMerge w:val="continue"/>
                  <w:tcBorders>
                    <w:tl2br w:val="nil"/>
                    <w:tr2bl w:val="nil"/>
                  </w:tcBorders>
                  <w:vAlign w:val="center"/>
                </w:tcPr>
                <w:p w14:paraId="0EE38558">
                  <w:pPr>
                    <w:jc w:val="center"/>
                    <w:rPr>
                      <w:color w:val="auto"/>
                      <w:sz w:val="18"/>
                      <w:szCs w:val="18"/>
                      <w:highlight w:val="none"/>
                    </w:rPr>
                  </w:pPr>
                </w:p>
              </w:tc>
              <w:tc>
                <w:tcPr>
                  <w:tcW w:w="568" w:type="pct"/>
                  <w:vMerge w:val="continue"/>
                  <w:tcBorders>
                    <w:tl2br w:val="nil"/>
                    <w:tr2bl w:val="nil"/>
                  </w:tcBorders>
                  <w:vAlign w:val="center"/>
                </w:tcPr>
                <w:p w14:paraId="77E0E005">
                  <w:pPr>
                    <w:jc w:val="center"/>
                    <w:rPr>
                      <w:color w:val="auto"/>
                      <w:sz w:val="18"/>
                      <w:szCs w:val="18"/>
                      <w:highlight w:val="none"/>
                    </w:rPr>
                  </w:pPr>
                </w:p>
              </w:tc>
              <w:tc>
                <w:tcPr>
                  <w:tcW w:w="359" w:type="pct"/>
                  <w:vMerge w:val="continue"/>
                  <w:tcBorders>
                    <w:tl2br w:val="nil"/>
                    <w:tr2bl w:val="nil"/>
                  </w:tcBorders>
                  <w:vAlign w:val="center"/>
                </w:tcPr>
                <w:p w14:paraId="01331738">
                  <w:pPr>
                    <w:jc w:val="center"/>
                    <w:rPr>
                      <w:color w:val="auto"/>
                      <w:sz w:val="18"/>
                      <w:szCs w:val="18"/>
                      <w:highlight w:val="none"/>
                    </w:rPr>
                  </w:pPr>
                </w:p>
              </w:tc>
              <w:tc>
                <w:tcPr>
                  <w:tcW w:w="457" w:type="pct"/>
                  <w:tcBorders>
                    <w:tl2br w:val="nil"/>
                    <w:tr2bl w:val="nil"/>
                  </w:tcBorders>
                  <w:vAlign w:val="center"/>
                </w:tcPr>
                <w:p w14:paraId="6D04CD95">
                  <w:pPr>
                    <w:jc w:val="center"/>
                    <w:rPr>
                      <w:color w:val="auto"/>
                      <w:sz w:val="18"/>
                      <w:szCs w:val="18"/>
                      <w:highlight w:val="none"/>
                    </w:rPr>
                  </w:pPr>
                  <w:r>
                    <w:rPr>
                      <w:rFonts w:hint="default"/>
                      <w:color w:val="auto"/>
                      <w:sz w:val="18"/>
                      <w:szCs w:val="18"/>
                      <w:highlight w:val="none"/>
                    </w:rPr>
                    <w:t>非甲烷总烃</w:t>
                  </w:r>
                </w:p>
              </w:tc>
              <w:tc>
                <w:tcPr>
                  <w:tcW w:w="470" w:type="pct"/>
                  <w:tcBorders>
                    <w:tl2br w:val="nil"/>
                    <w:tr2bl w:val="nil"/>
                  </w:tcBorders>
                  <w:vAlign w:val="center"/>
                </w:tcPr>
                <w:p w14:paraId="4D009BE4">
                  <w:pPr>
                    <w:jc w:val="center"/>
                    <w:rPr>
                      <w:color w:val="auto"/>
                      <w:sz w:val="18"/>
                      <w:szCs w:val="18"/>
                      <w:highlight w:val="none"/>
                    </w:rPr>
                  </w:pPr>
                  <w:r>
                    <w:rPr>
                      <w:rFonts w:hint="default"/>
                      <w:color w:val="auto"/>
                      <w:sz w:val="18"/>
                      <w:szCs w:val="18"/>
                      <w:highlight w:val="none"/>
                    </w:rPr>
                    <w:t>小时均值</w:t>
                  </w:r>
                </w:p>
              </w:tc>
              <w:tc>
                <w:tcPr>
                  <w:tcW w:w="1100" w:type="pct"/>
                  <w:vMerge w:val="continue"/>
                  <w:tcBorders>
                    <w:tl2br w:val="nil"/>
                    <w:tr2bl w:val="nil"/>
                  </w:tcBorders>
                  <w:vAlign w:val="center"/>
                </w:tcPr>
                <w:p w14:paraId="30BF4E85">
                  <w:pPr>
                    <w:jc w:val="center"/>
                    <w:rPr>
                      <w:color w:val="auto"/>
                      <w:sz w:val="18"/>
                      <w:szCs w:val="18"/>
                      <w:highlight w:val="none"/>
                    </w:rPr>
                  </w:pPr>
                </w:p>
              </w:tc>
            </w:tr>
          </w:tbl>
          <w:p w14:paraId="5421A9CB">
            <w:pPr>
              <w:spacing w:line="360" w:lineRule="auto"/>
              <w:rPr>
                <w:color w:val="auto"/>
                <w:highlight w:val="none"/>
              </w:rPr>
            </w:pPr>
          </w:p>
          <w:p w14:paraId="1A4281E3">
            <w:pPr>
              <w:spacing w:line="360" w:lineRule="auto"/>
              <w:jc w:val="center"/>
              <w:rPr>
                <w:rFonts w:hint="default" w:eastAsia="宋体"/>
                <w:color w:val="auto"/>
                <w:highlight w:val="none"/>
                <w:lang w:eastAsia="zh-CN"/>
              </w:rPr>
            </w:pPr>
            <w:r>
              <w:rPr>
                <w:rFonts w:hint="default" w:eastAsia="宋体"/>
                <w:color w:val="auto"/>
                <w:highlight w:val="none"/>
                <w:lang w:eastAsia="zh-CN"/>
              </w:rPr>
              <w:drawing>
                <wp:inline distT="0" distB="0" distL="114300" distR="114300">
                  <wp:extent cx="5207635" cy="2917190"/>
                  <wp:effectExtent l="0" t="0" r="4445" b="8890"/>
                  <wp:docPr id="9" name="图片 9" descr="d72d25c8-1adb-4f11-8f11-ef5ef028eb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d72d25c8-1adb-4f11-8f11-ef5ef028eb48"/>
                          <pic:cNvPicPr>
                            <a:picLocks noChangeAspect="1"/>
                          </pic:cNvPicPr>
                        </pic:nvPicPr>
                        <pic:blipFill>
                          <a:blip r:embed="rId13"/>
                          <a:stretch>
                            <a:fillRect/>
                          </a:stretch>
                        </pic:blipFill>
                        <pic:spPr>
                          <a:xfrm>
                            <a:off x="0" y="0"/>
                            <a:ext cx="5207635" cy="2917190"/>
                          </a:xfrm>
                          <a:prstGeom prst="rect">
                            <a:avLst/>
                          </a:prstGeom>
                        </pic:spPr>
                      </pic:pic>
                    </a:graphicData>
                  </a:graphic>
                </wp:inline>
              </w:drawing>
            </w:r>
          </w:p>
          <w:p w14:paraId="6E0978C2">
            <w:pPr>
              <w:spacing w:line="360" w:lineRule="auto"/>
              <w:jc w:val="center"/>
              <w:rPr>
                <w:rFonts w:hint="default" w:ascii="Times New Roman" w:hAnsi="Times New Roman" w:eastAsia="黑体" w:cs="Times New Roman"/>
                <w:b w:val="0"/>
                <w:bCs w:val="0"/>
                <w:color w:val="auto"/>
                <w:highlight w:val="none"/>
              </w:rPr>
            </w:pPr>
            <w:r>
              <w:rPr>
                <w:rFonts w:hint="default" w:ascii="Times New Roman" w:hAnsi="Times New Roman" w:eastAsia="黑体" w:cs="Times New Roman"/>
                <w:b w:val="0"/>
                <w:bCs w:val="0"/>
                <w:color w:val="auto"/>
                <w:highlight w:val="none"/>
              </w:rPr>
              <w:t>图3-1 监测点位示意图</w:t>
            </w:r>
          </w:p>
          <w:p w14:paraId="67111819">
            <w:pPr>
              <w:spacing w:line="360" w:lineRule="auto"/>
              <w:ind w:firstLine="420" w:firstLineChars="200"/>
              <w:rPr>
                <w:color w:val="auto"/>
                <w:highlight w:val="none"/>
              </w:rPr>
            </w:pPr>
            <w:r>
              <w:rPr>
                <w:rFonts w:hint="default"/>
                <w:color w:val="auto"/>
                <w:highlight w:val="none"/>
              </w:rPr>
              <w:t>上述环境空气现状监测点特征污染物监测统计情况</w:t>
            </w:r>
            <w:r>
              <w:rPr>
                <w:rFonts w:hint="default"/>
                <w:color w:val="auto"/>
                <w:highlight w:val="none"/>
                <w:lang w:val="en-US" w:eastAsia="zh-CN"/>
              </w:rPr>
              <w:t>如</w:t>
            </w:r>
            <w:r>
              <w:rPr>
                <w:rFonts w:hint="default"/>
                <w:color w:val="auto"/>
                <w:highlight w:val="none"/>
              </w:rPr>
              <w:t>表</w:t>
            </w:r>
            <w:r>
              <w:rPr>
                <w:rFonts w:hint="default"/>
                <w:color w:val="auto"/>
                <w:highlight w:val="none"/>
                <w:lang w:val="en-US" w:eastAsia="zh-CN"/>
              </w:rPr>
              <w:t>3-2所示。</w:t>
            </w:r>
          </w:p>
          <w:p w14:paraId="455C8C65">
            <w:pPr>
              <w:pStyle w:val="14"/>
              <w:widowControl/>
              <w:numPr>
                <w:ilvl w:val="0"/>
                <w:numId w:val="4"/>
              </w:numPr>
              <w:tabs>
                <w:tab w:val="left" w:pos="4515"/>
                <w:tab w:val="left" w:pos="5883"/>
                <w:tab w:val="left" w:pos="8718"/>
              </w:tabs>
              <w:adjustRightInd w:val="0"/>
              <w:snapToGrid w:val="0"/>
              <w:spacing w:line="360" w:lineRule="auto"/>
              <w:jc w:val="center"/>
              <w:rPr>
                <w:rFonts w:ascii="Times New Roman" w:hAnsi="Times New Roman" w:cs="Times New Roman"/>
                <w:b/>
                <w:color w:val="auto"/>
                <w:highlight w:val="none"/>
                <w:lang w:val="zh-CN"/>
              </w:rPr>
            </w:pPr>
            <w:r>
              <w:rPr>
                <w:rFonts w:hint="default" w:ascii="Times New Roman" w:hAnsi="Times New Roman" w:eastAsia="黑体" w:cs="Times New Roman"/>
                <w:b w:val="0"/>
                <w:bCs/>
                <w:color w:val="auto"/>
                <w:highlight w:val="none"/>
                <w:lang w:val="en-US" w:eastAsia="zh-CN"/>
              </w:rPr>
              <w:t xml:space="preserve"> </w:t>
            </w:r>
            <w:r>
              <w:rPr>
                <w:rFonts w:hint="default" w:ascii="Times New Roman" w:hAnsi="Times New Roman" w:eastAsia="黑体" w:cs="Times New Roman"/>
                <w:b w:val="0"/>
                <w:bCs/>
                <w:color w:val="auto"/>
                <w:highlight w:val="none"/>
              </w:rPr>
              <w:t>大气污染物环境质量现状（监测结果）一览表</w:t>
            </w:r>
          </w:p>
          <w:tbl>
            <w:tblPr>
              <w:tblStyle w:val="24"/>
              <w:tblW w:w="4998"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0" w:type="dxa"/>
                <w:bottom w:w="0" w:type="dxa"/>
                <w:right w:w="0" w:type="dxa"/>
              </w:tblCellMar>
            </w:tblPr>
            <w:tblGrid>
              <w:gridCol w:w="414"/>
              <w:gridCol w:w="910"/>
              <w:gridCol w:w="964"/>
              <w:gridCol w:w="1233"/>
              <w:gridCol w:w="1380"/>
              <w:gridCol w:w="1376"/>
              <w:gridCol w:w="1223"/>
              <w:gridCol w:w="651"/>
            </w:tblGrid>
            <w:tr w14:paraId="5E351D1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280" w:type="pct"/>
                  <w:vMerge w:val="restart"/>
                  <w:tcBorders>
                    <w:tl2br w:val="nil"/>
                    <w:tr2bl w:val="nil"/>
                  </w:tcBorders>
                  <w:shd w:val="clear" w:color="000000" w:fill="FFFFFF"/>
                  <w:vAlign w:val="center"/>
                </w:tcPr>
                <w:p w14:paraId="72F6F7F2">
                  <w:pPr>
                    <w:jc w:val="center"/>
                    <w:rPr>
                      <w:color w:val="auto"/>
                      <w:sz w:val="18"/>
                      <w:szCs w:val="18"/>
                      <w:highlight w:val="none"/>
                    </w:rPr>
                  </w:pPr>
                  <w:r>
                    <w:rPr>
                      <w:color w:val="auto"/>
                      <w:sz w:val="18"/>
                      <w:szCs w:val="18"/>
                      <w:highlight w:val="none"/>
                    </w:rPr>
                    <w:t>监测点位</w:t>
                  </w:r>
                </w:p>
              </w:tc>
              <w:tc>
                <w:tcPr>
                  <w:tcW w:w="378" w:type="pct"/>
                  <w:vMerge w:val="restart"/>
                  <w:tcBorders>
                    <w:tl2br w:val="nil"/>
                    <w:tr2bl w:val="nil"/>
                  </w:tcBorders>
                  <w:shd w:val="clear" w:color="000000" w:fill="FFFFFF"/>
                  <w:vAlign w:val="center"/>
                </w:tcPr>
                <w:p w14:paraId="419AC51A">
                  <w:pPr>
                    <w:jc w:val="center"/>
                    <w:rPr>
                      <w:color w:val="auto"/>
                      <w:sz w:val="18"/>
                      <w:szCs w:val="18"/>
                      <w:highlight w:val="none"/>
                    </w:rPr>
                  </w:pPr>
                  <w:r>
                    <w:rPr>
                      <w:color w:val="auto"/>
                      <w:sz w:val="18"/>
                      <w:szCs w:val="18"/>
                      <w:highlight w:val="none"/>
                    </w:rPr>
                    <w:t>污染物</w:t>
                  </w:r>
                </w:p>
              </w:tc>
              <w:tc>
                <w:tcPr>
                  <w:tcW w:w="617" w:type="pct"/>
                  <w:vMerge w:val="restart"/>
                  <w:tcBorders>
                    <w:tl2br w:val="nil"/>
                    <w:tr2bl w:val="nil"/>
                  </w:tcBorders>
                  <w:shd w:val="clear" w:color="000000" w:fill="FFFFFF"/>
                  <w:vAlign w:val="center"/>
                </w:tcPr>
                <w:p w14:paraId="0324C87E">
                  <w:pPr>
                    <w:jc w:val="center"/>
                    <w:rPr>
                      <w:color w:val="auto"/>
                      <w:sz w:val="18"/>
                      <w:szCs w:val="18"/>
                      <w:highlight w:val="none"/>
                    </w:rPr>
                  </w:pPr>
                  <w:r>
                    <w:rPr>
                      <w:color w:val="auto"/>
                      <w:sz w:val="18"/>
                      <w:szCs w:val="18"/>
                      <w:highlight w:val="none"/>
                    </w:rPr>
                    <w:t>平均</w:t>
                  </w:r>
                </w:p>
                <w:p w14:paraId="3BC40049">
                  <w:pPr>
                    <w:jc w:val="center"/>
                    <w:rPr>
                      <w:color w:val="auto"/>
                      <w:sz w:val="18"/>
                      <w:szCs w:val="18"/>
                      <w:highlight w:val="none"/>
                    </w:rPr>
                  </w:pPr>
                  <w:r>
                    <w:rPr>
                      <w:color w:val="auto"/>
                      <w:sz w:val="18"/>
                      <w:szCs w:val="18"/>
                      <w:highlight w:val="none"/>
                    </w:rPr>
                    <w:t>时间</w:t>
                  </w:r>
                </w:p>
              </w:tc>
              <w:tc>
                <w:tcPr>
                  <w:tcW w:w="782" w:type="pct"/>
                  <w:tcBorders>
                    <w:tl2br w:val="nil"/>
                    <w:tr2bl w:val="nil"/>
                  </w:tcBorders>
                  <w:shd w:val="clear" w:color="000000" w:fill="FFFFFF"/>
                  <w:vAlign w:val="center"/>
                </w:tcPr>
                <w:p w14:paraId="3EE1B17F">
                  <w:pPr>
                    <w:jc w:val="center"/>
                    <w:rPr>
                      <w:color w:val="auto"/>
                      <w:sz w:val="18"/>
                      <w:szCs w:val="18"/>
                      <w:highlight w:val="none"/>
                    </w:rPr>
                  </w:pPr>
                  <w:r>
                    <w:rPr>
                      <w:color w:val="auto"/>
                      <w:sz w:val="18"/>
                      <w:szCs w:val="18"/>
                      <w:highlight w:val="none"/>
                    </w:rPr>
                    <w:t>评价标准</w:t>
                  </w:r>
                </w:p>
              </w:tc>
              <w:tc>
                <w:tcPr>
                  <w:tcW w:w="872" w:type="pct"/>
                  <w:tcBorders>
                    <w:tl2br w:val="nil"/>
                    <w:tr2bl w:val="nil"/>
                  </w:tcBorders>
                  <w:shd w:val="clear" w:color="000000" w:fill="FFFFFF"/>
                  <w:vAlign w:val="center"/>
                </w:tcPr>
                <w:p w14:paraId="5C979DEF">
                  <w:pPr>
                    <w:jc w:val="center"/>
                    <w:rPr>
                      <w:color w:val="auto"/>
                      <w:sz w:val="18"/>
                      <w:szCs w:val="18"/>
                      <w:highlight w:val="none"/>
                    </w:rPr>
                  </w:pPr>
                  <w:r>
                    <w:rPr>
                      <w:color w:val="auto"/>
                      <w:sz w:val="18"/>
                      <w:szCs w:val="18"/>
                      <w:highlight w:val="none"/>
                    </w:rPr>
                    <w:t>浓度范围</w:t>
                  </w:r>
                </w:p>
              </w:tc>
              <w:tc>
                <w:tcPr>
                  <w:tcW w:w="870" w:type="pct"/>
                  <w:tcBorders>
                    <w:tl2br w:val="nil"/>
                    <w:tr2bl w:val="nil"/>
                  </w:tcBorders>
                  <w:shd w:val="clear" w:color="000000" w:fill="FFFFFF"/>
                  <w:vAlign w:val="center"/>
                </w:tcPr>
                <w:p w14:paraId="4B7EA21E">
                  <w:pPr>
                    <w:jc w:val="center"/>
                    <w:rPr>
                      <w:color w:val="auto"/>
                      <w:sz w:val="18"/>
                      <w:szCs w:val="18"/>
                      <w:highlight w:val="none"/>
                    </w:rPr>
                  </w:pPr>
                  <w:r>
                    <w:rPr>
                      <w:color w:val="auto"/>
                      <w:sz w:val="18"/>
                      <w:szCs w:val="18"/>
                      <w:highlight w:val="none"/>
                    </w:rPr>
                    <w:t>最大占标率</w:t>
                  </w:r>
                </w:p>
              </w:tc>
              <w:tc>
                <w:tcPr>
                  <w:tcW w:w="776" w:type="pct"/>
                  <w:tcBorders>
                    <w:tl2br w:val="nil"/>
                    <w:tr2bl w:val="nil"/>
                  </w:tcBorders>
                  <w:shd w:val="clear" w:color="000000" w:fill="FFFFFF"/>
                  <w:vAlign w:val="center"/>
                </w:tcPr>
                <w:p w14:paraId="295D50D0">
                  <w:pPr>
                    <w:jc w:val="center"/>
                    <w:rPr>
                      <w:color w:val="auto"/>
                      <w:sz w:val="18"/>
                      <w:szCs w:val="18"/>
                      <w:highlight w:val="none"/>
                    </w:rPr>
                  </w:pPr>
                  <w:r>
                    <w:rPr>
                      <w:color w:val="auto"/>
                      <w:sz w:val="18"/>
                      <w:szCs w:val="18"/>
                      <w:highlight w:val="none"/>
                    </w:rPr>
                    <w:t>超标概率</w:t>
                  </w:r>
                </w:p>
              </w:tc>
              <w:tc>
                <w:tcPr>
                  <w:tcW w:w="422" w:type="pct"/>
                  <w:vMerge w:val="restart"/>
                  <w:tcBorders>
                    <w:tl2br w:val="nil"/>
                    <w:tr2bl w:val="nil"/>
                  </w:tcBorders>
                  <w:shd w:val="clear" w:color="000000" w:fill="FFFFFF"/>
                  <w:vAlign w:val="center"/>
                </w:tcPr>
                <w:p w14:paraId="3D5697EB">
                  <w:pPr>
                    <w:jc w:val="center"/>
                    <w:rPr>
                      <w:color w:val="auto"/>
                      <w:sz w:val="18"/>
                      <w:szCs w:val="18"/>
                      <w:highlight w:val="none"/>
                    </w:rPr>
                  </w:pPr>
                  <w:r>
                    <w:rPr>
                      <w:color w:val="auto"/>
                      <w:sz w:val="18"/>
                      <w:szCs w:val="18"/>
                      <w:highlight w:val="none"/>
                    </w:rPr>
                    <w:t>达标</w:t>
                  </w:r>
                </w:p>
                <w:p w14:paraId="5024FF03">
                  <w:pPr>
                    <w:jc w:val="center"/>
                    <w:rPr>
                      <w:color w:val="auto"/>
                      <w:sz w:val="18"/>
                      <w:szCs w:val="18"/>
                      <w:highlight w:val="none"/>
                    </w:rPr>
                  </w:pPr>
                  <w:r>
                    <w:rPr>
                      <w:color w:val="auto"/>
                      <w:sz w:val="18"/>
                      <w:szCs w:val="18"/>
                      <w:highlight w:val="none"/>
                    </w:rPr>
                    <w:t>情况</w:t>
                  </w:r>
                </w:p>
              </w:tc>
            </w:tr>
            <w:tr w14:paraId="0BFA882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280" w:type="pct"/>
                  <w:vMerge w:val="continue"/>
                  <w:tcBorders>
                    <w:tl2br w:val="nil"/>
                    <w:tr2bl w:val="nil"/>
                  </w:tcBorders>
                  <w:vAlign w:val="center"/>
                </w:tcPr>
                <w:p w14:paraId="4431467C">
                  <w:pPr>
                    <w:jc w:val="center"/>
                    <w:rPr>
                      <w:color w:val="auto"/>
                      <w:sz w:val="18"/>
                      <w:szCs w:val="18"/>
                      <w:highlight w:val="none"/>
                    </w:rPr>
                  </w:pPr>
                </w:p>
              </w:tc>
              <w:tc>
                <w:tcPr>
                  <w:tcW w:w="378" w:type="pct"/>
                  <w:vMerge w:val="continue"/>
                  <w:tcBorders>
                    <w:tl2br w:val="nil"/>
                    <w:tr2bl w:val="nil"/>
                  </w:tcBorders>
                  <w:vAlign w:val="center"/>
                </w:tcPr>
                <w:p w14:paraId="08AAFCF1">
                  <w:pPr>
                    <w:jc w:val="center"/>
                    <w:rPr>
                      <w:color w:val="auto"/>
                      <w:sz w:val="18"/>
                      <w:szCs w:val="18"/>
                      <w:highlight w:val="none"/>
                    </w:rPr>
                  </w:pPr>
                </w:p>
              </w:tc>
              <w:tc>
                <w:tcPr>
                  <w:tcW w:w="617" w:type="pct"/>
                  <w:vMerge w:val="continue"/>
                  <w:tcBorders>
                    <w:tl2br w:val="nil"/>
                    <w:tr2bl w:val="nil"/>
                  </w:tcBorders>
                  <w:vAlign w:val="center"/>
                </w:tcPr>
                <w:p w14:paraId="4B7C1DF2">
                  <w:pPr>
                    <w:jc w:val="center"/>
                    <w:rPr>
                      <w:color w:val="auto"/>
                      <w:sz w:val="18"/>
                      <w:szCs w:val="18"/>
                      <w:highlight w:val="none"/>
                    </w:rPr>
                  </w:pPr>
                </w:p>
              </w:tc>
              <w:tc>
                <w:tcPr>
                  <w:tcW w:w="782" w:type="pct"/>
                  <w:tcBorders>
                    <w:tl2br w:val="nil"/>
                    <w:tr2bl w:val="nil"/>
                  </w:tcBorders>
                  <w:shd w:val="clear" w:color="000000" w:fill="FFFFFF"/>
                  <w:vAlign w:val="center"/>
                </w:tcPr>
                <w:p w14:paraId="4C8F7EBD">
                  <w:pPr>
                    <w:jc w:val="center"/>
                    <w:rPr>
                      <w:color w:val="auto"/>
                      <w:sz w:val="18"/>
                      <w:szCs w:val="18"/>
                      <w:highlight w:val="none"/>
                    </w:rPr>
                  </w:pPr>
                  <w:r>
                    <w:rPr>
                      <w:color w:val="auto"/>
                      <w:sz w:val="18"/>
                      <w:szCs w:val="18"/>
                      <w:highlight w:val="none"/>
                    </w:rPr>
                    <w:t>mg</w:t>
                  </w:r>
                  <w:r>
                    <w:rPr>
                      <w:rFonts w:hint="default"/>
                      <w:color w:val="auto"/>
                      <w:sz w:val="18"/>
                      <w:szCs w:val="18"/>
                      <w:highlight w:val="none"/>
                    </w:rPr>
                    <w:t>/</w:t>
                  </w:r>
                  <w:r>
                    <w:rPr>
                      <w:color w:val="auto"/>
                      <w:sz w:val="18"/>
                      <w:szCs w:val="18"/>
                      <w:highlight w:val="none"/>
                    </w:rPr>
                    <w:t>m</w:t>
                  </w:r>
                  <w:r>
                    <w:rPr>
                      <w:color w:val="auto"/>
                      <w:sz w:val="18"/>
                      <w:szCs w:val="18"/>
                      <w:highlight w:val="none"/>
                      <w:vertAlign w:val="superscript"/>
                    </w:rPr>
                    <w:t>3</w:t>
                  </w:r>
                </w:p>
              </w:tc>
              <w:tc>
                <w:tcPr>
                  <w:tcW w:w="872" w:type="pct"/>
                  <w:tcBorders>
                    <w:tl2br w:val="nil"/>
                    <w:tr2bl w:val="nil"/>
                  </w:tcBorders>
                  <w:shd w:val="clear" w:color="000000" w:fill="FFFFFF"/>
                  <w:vAlign w:val="center"/>
                </w:tcPr>
                <w:p w14:paraId="5016DCDE">
                  <w:pPr>
                    <w:jc w:val="center"/>
                    <w:rPr>
                      <w:color w:val="auto"/>
                      <w:sz w:val="18"/>
                      <w:szCs w:val="18"/>
                      <w:highlight w:val="none"/>
                    </w:rPr>
                  </w:pPr>
                  <w:r>
                    <w:rPr>
                      <w:color w:val="auto"/>
                      <w:sz w:val="18"/>
                      <w:szCs w:val="18"/>
                      <w:highlight w:val="none"/>
                    </w:rPr>
                    <w:t>mg</w:t>
                  </w:r>
                  <w:r>
                    <w:rPr>
                      <w:rFonts w:hint="default"/>
                      <w:color w:val="auto"/>
                      <w:sz w:val="18"/>
                      <w:szCs w:val="18"/>
                      <w:highlight w:val="none"/>
                    </w:rPr>
                    <w:t>/</w:t>
                  </w:r>
                  <w:r>
                    <w:rPr>
                      <w:color w:val="auto"/>
                      <w:sz w:val="18"/>
                      <w:szCs w:val="18"/>
                      <w:highlight w:val="none"/>
                    </w:rPr>
                    <w:t>m</w:t>
                  </w:r>
                  <w:r>
                    <w:rPr>
                      <w:color w:val="auto"/>
                      <w:sz w:val="18"/>
                      <w:szCs w:val="18"/>
                      <w:highlight w:val="none"/>
                      <w:vertAlign w:val="superscript"/>
                    </w:rPr>
                    <w:t>3</w:t>
                  </w:r>
                </w:p>
              </w:tc>
              <w:tc>
                <w:tcPr>
                  <w:tcW w:w="870" w:type="pct"/>
                  <w:tcBorders>
                    <w:tl2br w:val="nil"/>
                    <w:tr2bl w:val="nil"/>
                  </w:tcBorders>
                  <w:shd w:val="clear" w:color="000000" w:fill="FFFFFF"/>
                  <w:vAlign w:val="center"/>
                </w:tcPr>
                <w:p w14:paraId="1BBFE47C">
                  <w:pPr>
                    <w:jc w:val="center"/>
                    <w:rPr>
                      <w:color w:val="auto"/>
                      <w:sz w:val="18"/>
                      <w:szCs w:val="18"/>
                      <w:highlight w:val="none"/>
                    </w:rPr>
                  </w:pPr>
                  <w:r>
                    <w:rPr>
                      <w:color w:val="auto"/>
                      <w:sz w:val="18"/>
                      <w:szCs w:val="18"/>
                      <w:highlight w:val="none"/>
                    </w:rPr>
                    <w:t>%</w:t>
                  </w:r>
                </w:p>
              </w:tc>
              <w:tc>
                <w:tcPr>
                  <w:tcW w:w="776" w:type="pct"/>
                  <w:tcBorders>
                    <w:tl2br w:val="nil"/>
                    <w:tr2bl w:val="nil"/>
                  </w:tcBorders>
                  <w:shd w:val="clear" w:color="000000" w:fill="FFFFFF"/>
                  <w:vAlign w:val="center"/>
                </w:tcPr>
                <w:p w14:paraId="5AE080A1">
                  <w:pPr>
                    <w:jc w:val="center"/>
                    <w:rPr>
                      <w:color w:val="auto"/>
                      <w:sz w:val="18"/>
                      <w:szCs w:val="18"/>
                      <w:highlight w:val="none"/>
                    </w:rPr>
                  </w:pPr>
                  <w:r>
                    <w:rPr>
                      <w:color w:val="auto"/>
                      <w:sz w:val="18"/>
                      <w:szCs w:val="18"/>
                      <w:highlight w:val="none"/>
                    </w:rPr>
                    <w:t>%</w:t>
                  </w:r>
                </w:p>
              </w:tc>
              <w:tc>
                <w:tcPr>
                  <w:tcW w:w="422" w:type="pct"/>
                  <w:vMerge w:val="continue"/>
                  <w:tcBorders>
                    <w:tl2br w:val="nil"/>
                    <w:tr2bl w:val="nil"/>
                  </w:tcBorders>
                  <w:vAlign w:val="center"/>
                </w:tcPr>
                <w:p w14:paraId="31F53709">
                  <w:pPr>
                    <w:jc w:val="center"/>
                    <w:rPr>
                      <w:color w:val="auto"/>
                      <w:sz w:val="18"/>
                      <w:szCs w:val="18"/>
                      <w:highlight w:val="none"/>
                    </w:rPr>
                  </w:pPr>
                </w:p>
              </w:tc>
            </w:tr>
            <w:tr w14:paraId="34238C9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280" w:type="pct"/>
                  <w:vMerge w:val="restart"/>
                  <w:tcBorders>
                    <w:tl2br w:val="nil"/>
                    <w:tr2bl w:val="nil"/>
                  </w:tcBorders>
                  <w:vAlign w:val="center"/>
                </w:tcPr>
                <w:p w14:paraId="5A894E3A">
                  <w:pPr>
                    <w:jc w:val="center"/>
                    <w:rPr>
                      <w:color w:val="auto"/>
                      <w:sz w:val="18"/>
                      <w:szCs w:val="18"/>
                      <w:highlight w:val="none"/>
                    </w:rPr>
                  </w:pPr>
                  <w:r>
                    <w:rPr>
                      <w:rFonts w:hint="default"/>
                      <w:color w:val="auto"/>
                      <w:sz w:val="18"/>
                      <w:szCs w:val="18"/>
                      <w:highlight w:val="none"/>
                    </w:rPr>
                    <w:t>西宅斗村</w:t>
                  </w:r>
                </w:p>
              </w:tc>
              <w:tc>
                <w:tcPr>
                  <w:tcW w:w="378" w:type="pct"/>
                  <w:tcBorders>
                    <w:tl2br w:val="nil"/>
                    <w:tr2bl w:val="nil"/>
                  </w:tcBorders>
                  <w:noWrap/>
                  <w:vAlign w:val="center"/>
                </w:tcPr>
                <w:p w14:paraId="6A8F23A9">
                  <w:pPr>
                    <w:jc w:val="center"/>
                    <w:rPr>
                      <w:color w:val="auto"/>
                      <w:sz w:val="18"/>
                      <w:szCs w:val="18"/>
                      <w:highlight w:val="none"/>
                    </w:rPr>
                  </w:pPr>
                  <w:r>
                    <w:rPr>
                      <w:color w:val="auto"/>
                      <w:sz w:val="18"/>
                      <w:szCs w:val="18"/>
                      <w:highlight w:val="none"/>
                    </w:rPr>
                    <w:t>TSP</w:t>
                  </w:r>
                </w:p>
              </w:tc>
              <w:tc>
                <w:tcPr>
                  <w:tcW w:w="617" w:type="pct"/>
                  <w:tcBorders>
                    <w:tl2br w:val="nil"/>
                    <w:tr2bl w:val="nil"/>
                  </w:tcBorders>
                  <w:noWrap/>
                  <w:vAlign w:val="center"/>
                </w:tcPr>
                <w:p w14:paraId="35CE56CE">
                  <w:pPr>
                    <w:jc w:val="center"/>
                    <w:rPr>
                      <w:color w:val="auto"/>
                      <w:sz w:val="18"/>
                      <w:szCs w:val="18"/>
                      <w:highlight w:val="none"/>
                    </w:rPr>
                  </w:pPr>
                  <w:r>
                    <w:rPr>
                      <w:color w:val="auto"/>
                      <w:sz w:val="18"/>
                      <w:szCs w:val="18"/>
                      <w:highlight w:val="none"/>
                    </w:rPr>
                    <w:t>日平均</w:t>
                  </w:r>
                </w:p>
              </w:tc>
              <w:tc>
                <w:tcPr>
                  <w:tcW w:w="782" w:type="pct"/>
                  <w:tcBorders>
                    <w:tl2br w:val="nil"/>
                    <w:tr2bl w:val="nil"/>
                  </w:tcBorders>
                  <w:noWrap/>
                  <w:vAlign w:val="center"/>
                </w:tcPr>
                <w:p w14:paraId="3EE941F8">
                  <w:pPr>
                    <w:jc w:val="center"/>
                    <w:rPr>
                      <w:color w:val="auto"/>
                      <w:sz w:val="18"/>
                      <w:szCs w:val="18"/>
                      <w:highlight w:val="none"/>
                    </w:rPr>
                  </w:pPr>
                  <w:r>
                    <w:rPr>
                      <w:rFonts w:hint="default"/>
                      <w:color w:val="auto"/>
                      <w:sz w:val="18"/>
                      <w:szCs w:val="18"/>
                      <w:highlight w:val="none"/>
                    </w:rPr>
                    <w:t>0</w:t>
                  </w:r>
                  <w:r>
                    <w:rPr>
                      <w:color w:val="auto"/>
                      <w:sz w:val="18"/>
                      <w:szCs w:val="18"/>
                      <w:highlight w:val="none"/>
                    </w:rPr>
                    <w:t>.3</w:t>
                  </w:r>
                </w:p>
              </w:tc>
              <w:tc>
                <w:tcPr>
                  <w:tcW w:w="872" w:type="pct"/>
                  <w:tcBorders>
                    <w:tl2br w:val="nil"/>
                    <w:tr2bl w:val="nil"/>
                  </w:tcBorders>
                  <w:noWrap/>
                  <w:vAlign w:val="center"/>
                </w:tcPr>
                <w:p w14:paraId="5ED02BD3">
                  <w:pPr>
                    <w:jc w:val="center"/>
                    <w:rPr>
                      <w:color w:val="auto"/>
                      <w:sz w:val="18"/>
                      <w:szCs w:val="18"/>
                      <w:highlight w:val="none"/>
                    </w:rPr>
                  </w:pPr>
                  <w:r>
                    <w:rPr>
                      <w:rFonts w:hint="default"/>
                      <w:color w:val="auto"/>
                      <w:sz w:val="18"/>
                      <w:szCs w:val="18"/>
                      <w:highlight w:val="none"/>
                    </w:rPr>
                    <w:t>0.082</w:t>
                  </w:r>
                  <w:r>
                    <w:rPr>
                      <w:color w:val="auto"/>
                      <w:sz w:val="18"/>
                      <w:szCs w:val="18"/>
                      <w:highlight w:val="none"/>
                    </w:rPr>
                    <w:t>~</w:t>
                  </w:r>
                  <w:r>
                    <w:rPr>
                      <w:rFonts w:hint="default"/>
                      <w:color w:val="auto"/>
                      <w:sz w:val="18"/>
                      <w:szCs w:val="18"/>
                      <w:highlight w:val="none"/>
                    </w:rPr>
                    <w:t>0.091</w:t>
                  </w:r>
                </w:p>
              </w:tc>
              <w:tc>
                <w:tcPr>
                  <w:tcW w:w="870" w:type="pct"/>
                  <w:tcBorders>
                    <w:tl2br w:val="nil"/>
                    <w:tr2bl w:val="nil"/>
                  </w:tcBorders>
                  <w:noWrap/>
                  <w:vAlign w:val="center"/>
                </w:tcPr>
                <w:p w14:paraId="44959DE4">
                  <w:pPr>
                    <w:jc w:val="center"/>
                    <w:rPr>
                      <w:color w:val="auto"/>
                      <w:sz w:val="18"/>
                      <w:szCs w:val="18"/>
                      <w:highlight w:val="none"/>
                    </w:rPr>
                  </w:pPr>
                  <w:r>
                    <w:rPr>
                      <w:rFonts w:hint="default"/>
                      <w:color w:val="auto"/>
                      <w:sz w:val="18"/>
                      <w:szCs w:val="18"/>
                      <w:highlight w:val="none"/>
                    </w:rPr>
                    <w:t>30.3</w:t>
                  </w:r>
                </w:p>
              </w:tc>
              <w:tc>
                <w:tcPr>
                  <w:tcW w:w="776" w:type="pct"/>
                  <w:tcBorders>
                    <w:tl2br w:val="nil"/>
                    <w:tr2bl w:val="nil"/>
                  </w:tcBorders>
                  <w:noWrap/>
                  <w:vAlign w:val="center"/>
                </w:tcPr>
                <w:p w14:paraId="579819B0">
                  <w:pPr>
                    <w:jc w:val="center"/>
                    <w:rPr>
                      <w:color w:val="auto"/>
                      <w:sz w:val="18"/>
                      <w:szCs w:val="18"/>
                      <w:highlight w:val="none"/>
                    </w:rPr>
                  </w:pPr>
                  <w:r>
                    <w:rPr>
                      <w:color w:val="auto"/>
                      <w:sz w:val="18"/>
                      <w:szCs w:val="18"/>
                      <w:highlight w:val="none"/>
                    </w:rPr>
                    <w:t>0</w:t>
                  </w:r>
                </w:p>
              </w:tc>
              <w:tc>
                <w:tcPr>
                  <w:tcW w:w="422" w:type="pct"/>
                  <w:tcBorders>
                    <w:tl2br w:val="nil"/>
                    <w:tr2bl w:val="nil"/>
                  </w:tcBorders>
                  <w:noWrap/>
                  <w:vAlign w:val="center"/>
                </w:tcPr>
                <w:p w14:paraId="0CD02315">
                  <w:pPr>
                    <w:jc w:val="center"/>
                    <w:rPr>
                      <w:color w:val="auto"/>
                      <w:sz w:val="18"/>
                      <w:szCs w:val="18"/>
                      <w:highlight w:val="none"/>
                    </w:rPr>
                  </w:pPr>
                  <w:r>
                    <w:rPr>
                      <w:color w:val="auto"/>
                      <w:sz w:val="18"/>
                      <w:szCs w:val="18"/>
                      <w:highlight w:val="none"/>
                    </w:rPr>
                    <w:t>达标</w:t>
                  </w:r>
                </w:p>
              </w:tc>
            </w:tr>
            <w:tr w14:paraId="04BF634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280" w:type="pct"/>
                  <w:vMerge w:val="continue"/>
                  <w:tcBorders>
                    <w:tl2br w:val="nil"/>
                    <w:tr2bl w:val="nil"/>
                  </w:tcBorders>
                  <w:vAlign w:val="center"/>
                </w:tcPr>
                <w:p w14:paraId="19E3AA73">
                  <w:pPr>
                    <w:jc w:val="center"/>
                    <w:rPr>
                      <w:color w:val="auto"/>
                      <w:sz w:val="18"/>
                      <w:szCs w:val="18"/>
                      <w:highlight w:val="none"/>
                    </w:rPr>
                  </w:pPr>
                </w:p>
              </w:tc>
              <w:tc>
                <w:tcPr>
                  <w:tcW w:w="378" w:type="pct"/>
                  <w:tcBorders>
                    <w:tl2br w:val="nil"/>
                    <w:tr2bl w:val="nil"/>
                  </w:tcBorders>
                  <w:noWrap/>
                  <w:vAlign w:val="center"/>
                </w:tcPr>
                <w:p w14:paraId="28C0C7B4">
                  <w:pPr>
                    <w:jc w:val="center"/>
                    <w:rPr>
                      <w:color w:val="auto"/>
                      <w:sz w:val="18"/>
                      <w:szCs w:val="18"/>
                      <w:highlight w:val="none"/>
                    </w:rPr>
                  </w:pPr>
                  <w:r>
                    <w:rPr>
                      <w:rFonts w:hint="default"/>
                      <w:color w:val="auto"/>
                      <w:sz w:val="18"/>
                      <w:szCs w:val="18"/>
                      <w:highlight w:val="none"/>
                    </w:rPr>
                    <w:t>非甲烷总烃</w:t>
                  </w:r>
                </w:p>
              </w:tc>
              <w:tc>
                <w:tcPr>
                  <w:tcW w:w="617" w:type="pct"/>
                  <w:tcBorders>
                    <w:tl2br w:val="nil"/>
                    <w:tr2bl w:val="nil"/>
                  </w:tcBorders>
                  <w:noWrap/>
                  <w:vAlign w:val="center"/>
                </w:tcPr>
                <w:p w14:paraId="7390FF7B">
                  <w:pPr>
                    <w:jc w:val="center"/>
                    <w:rPr>
                      <w:color w:val="auto"/>
                      <w:sz w:val="18"/>
                      <w:szCs w:val="18"/>
                      <w:highlight w:val="none"/>
                    </w:rPr>
                  </w:pPr>
                  <w:r>
                    <w:rPr>
                      <w:rFonts w:hint="default"/>
                      <w:color w:val="auto"/>
                      <w:sz w:val="18"/>
                      <w:szCs w:val="18"/>
                      <w:highlight w:val="none"/>
                    </w:rPr>
                    <w:t>1h平均</w:t>
                  </w:r>
                </w:p>
              </w:tc>
              <w:tc>
                <w:tcPr>
                  <w:tcW w:w="782" w:type="pct"/>
                  <w:tcBorders>
                    <w:tl2br w:val="nil"/>
                    <w:tr2bl w:val="nil"/>
                  </w:tcBorders>
                  <w:noWrap/>
                  <w:vAlign w:val="center"/>
                </w:tcPr>
                <w:p w14:paraId="720BFFD2">
                  <w:pPr>
                    <w:widowControl/>
                    <w:jc w:val="center"/>
                    <w:rPr>
                      <w:color w:val="auto"/>
                      <w:sz w:val="18"/>
                      <w:szCs w:val="18"/>
                      <w:highlight w:val="none"/>
                    </w:rPr>
                  </w:pPr>
                  <w:r>
                    <w:rPr>
                      <w:color w:val="auto"/>
                      <w:kern w:val="0"/>
                      <w:sz w:val="18"/>
                      <w:szCs w:val="18"/>
                      <w:highlight w:val="none"/>
                    </w:rPr>
                    <w:t>2</w:t>
                  </w:r>
                </w:p>
              </w:tc>
              <w:tc>
                <w:tcPr>
                  <w:tcW w:w="872" w:type="pct"/>
                  <w:tcBorders>
                    <w:tl2br w:val="nil"/>
                    <w:tr2bl w:val="nil"/>
                  </w:tcBorders>
                  <w:noWrap/>
                  <w:vAlign w:val="center"/>
                </w:tcPr>
                <w:p w14:paraId="6E84BE62">
                  <w:pPr>
                    <w:jc w:val="center"/>
                    <w:rPr>
                      <w:color w:val="auto"/>
                      <w:sz w:val="18"/>
                      <w:szCs w:val="18"/>
                      <w:highlight w:val="none"/>
                    </w:rPr>
                  </w:pPr>
                  <w:r>
                    <w:rPr>
                      <w:rFonts w:hint="default"/>
                      <w:color w:val="auto"/>
                      <w:sz w:val="18"/>
                      <w:szCs w:val="18"/>
                      <w:highlight w:val="none"/>
                    </w:rPr>
                    <w:t>0.16~0.27</w:t>
                  </w:r>
                </w:p>
              </w:tc>
              <w:tc>
                <w:tcPr>
                  <w:tcW w:w="870" w:type="pct"/>
                  <w:tcBorders>
                    <w:tl2br w:val="nil"/>
                    <w:tr2bl w:val="nil"/>
                  </w:tcBorders>
                  <w:noWrap/>
                  <w:vAlign w:val="center"/>
                </w:tcPr>
                <w:p w14:paraId="7BC5CDB6">
                  <w:pPr>
                    <w:jc w:val="center"/>
                    <w:rPr>
                      <w:color w:val="auto"/>
                      <w:sz w:val="18"/>
                      <w:szCs w:val="18"/>
                      <w:highlight w:val="none"/>
                    </w:rPr>
                  </w:pPr>
                  <w:r>
                    <w:rPr>
                      <w:rFonts w:hint="default"/>
                      <w:color w:val="auto"/>
                      <w:sz w:val="18"/>
                      <w:szCs w:val="18"/>
                      <w:highlight w:val="none"/>
                    </w:rPr>
                    <w:t>13.5</w:t>
                  </w:r>
                </w:p>
              </w:tc>
              <w:tc>
                <w:tcPr>
                  <w:tcW w:w="776" w:type="pct"/>
                  <w:tcBorders>
                    <w:tl2br w:val="nil"/>
                    <w:tr2bl w:val="nil"/>
                  </w:tcBorders>
                  <w:noWrap/>
                  <w:vAlign w:val="center"/>
                </w:tcPr>
                <w:p w14:paraId="39499B08">
                  <w:pPr>
                    <w:jc w:val="center"/>
                    <w:rPr>
                      <w:color w:val="auto"/>
                      <w:sz w:val="18"/>
                      <w:szCs w:val="18"/>
                      <w:highlight w:val="none"/>
                    </w:rPr>
                  </w:pPr>
                  <w:r>
                    <w:rPr>
                      <w:rFonts w:hint="default"/>
                      <w:color w:val="auto"/>
                      <w:sz w:val="18"/>
                      <w:szCs w:val="18"/>
                      <w:highlight w:val="none"/>
                    </w:rPr>
                    <w:t>0</w:t>
                  </w:r>
                </w:p>
              </w:tc>
              <w:tc>
                <w:tcPr>
                  <w:tcW w:w="422" w:type="pct"/>
                  <w:tcBorders>
                    <w:tl2br w:val="nil"/>
                    <w:tr2bl w:val="nil"/>
                  </w:tcBorders>
                  <w:noWrap/>
                  <w:vAlign w:val="center"/>
                </w:tcPr>
                <w:p w14:paraId="3DB74A95">
                  <w:pPr>
                    <w:jc w:val="center"/>
                    <w:rPr>
                      <w:color w:val="auto"/>
                      <w:sz w:val="18"/>
                      <w:szCs w:val="18"/>
                      <w:highlight w:val="none"/>
                    </w:rPr>
                  </w:pPr>
                  <w:r>
                    <w:rPr>
                      <w:color w:val="auto"/>
                      <w:sz w:val="18"/>
                      <w:szCs w:val="18"/>
                      <w:highlight w:val="none"/>
                    </w:rPr>
                    <w:t>达标</w:t>
                  </w:r>
                </w:p>
              </w:tc>
            </w:tr>
            <w:tr w14:paraId="724F0D5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000" w:type="pct"/>
                  <w:gridSpan w:val="8"/>
                  <w:tcBorders>
                    <w:tl2br w:val="nil"/>
                    <w:tr2bl w:val="nil"/>
                  </w:tcBorders>
                  <w:vAlign w:val="center"/>
                </w:tcPr>
                <w:p w14:paraId="657F0FB7">
                  <w:pPr>
                    <w:rPr>
                      <w:color w:val="auto"/>
                      <w:sz w:val="18"/>
                      <w:szCs w:val="18"/>
                      <w:highlight w:val="none"/>
                    </w:rPr>
                  </w:pPr>
                  <w:r>
                    <w:rPr>
                      <w:color w:val="auto"/>
                      <w:sz w:val="18"/>
                      <w:szCs w:val="18"/>
                      <w:highlight w:val="none"/>
                    </w:rPr>
                    <w:t>注：</w:t>
                  </w:r>
                  <w:r>
                    <w:rPr>
                      <w:rFonts w:hint="default"/>
                      <w:color w:val="auto"/>
                      <w:sz w:val="18"/>
                      <w:szCs w:val="18"/>
                      <w:highlight w:val="none"/>
                    </w:rPr>
                    <w:t>TSP</w:t>
                  </w:r>
                  <w:r>
                    <w:rPr>
                      <w:rFonts w:hint="default" w:ascii="Times New Roman" w:hAnsi="Times New Roman"/>
                      <w:color w:val="auto"/>
                      <w:sz w:val="18"/>
                      <w:szCs w:val="18"/>
                      <w:highlight w:val="none"/>
                    </w:rPr>
                    <w:t>执行《环境空气质量标准》（</w:t>
                  </w:r>
                  <w:r>
                    <w:rPr>
                      <w:rFonts w:hint="default"/>
                      <w:color w:val="auto"/>
                      <w:sz w:val="18"/>
                      <w:szCs w:val="18"/>
                      <w:highlight w:val="none"/>
                    </w:rPr>
                    <w:t>GB3095-2012）</w:t>
                  </w:r>
                  <w:r>
                    <w:rPr>
                      <w:rFonts w:hint="default" w:ascii="Times New Roman" w:hAnsi="Times New Roman"/>
                      <w:color w:val="auto"/>
                      <w:sz w:val="18"/>
                      <w:szCs w:val="18"/>
                      <w:highlight w:val="none"/>
                    </w:rPr>
                    <w:t>中的二级标准</w:t>
                  </w:r>
                  <w:r>
                    <w:rPr>
                      <w:color w:val="auto"/>
                      <w:sz w:val="18"/>
                      <w:szCs w:val="18"/>
                      <w:highlight w:val="none"/>
                    </w:rPr>
                    <w:t>。</w:t>
                  </w:r>
                </w:p>
                <w:p w14:paraId="0E2C2ABC">
                  <w:pPr>
                    <w:rPr>
                      <w:color w:val="auto"/>
                      <w:sz w:val="18"/>
                      <w:szCs w:val="18"/>
                      <w:highlight w:val="none"/>
                    </w:rPr>
                  </w:pPr>
                  <w:r>
                    <w:rPr>
                      <w:color w:val="auto"/>
                      <w:kern w:val="0"/>
                      <w:sz w:val="18"/>
                      <w:szCs w:val="18"/>
                      <w:highlight w:val="none"/>
                    </w:rPr>
                    <w:t>非甲烷总烃</w:t>
                  </w:r>
                  <w:r>
                    <w:rPr>
                      <w:rFonts w:hint="default" w:ascii="Times New Roman" w:hAnsi="Times New Roman"/>
                      <w:color w:val="auto"/>
                      <w:sz w:val="18"/>
                      <w:szCs w:val="18"/>
                      <w:highlight w:val="none"/>
                    </w:rPr>
                    <w:t>执行</w:t>
                  </w:r>
                  <w:r>
                    <w:rPr>
                      <w:rFonts w:hint="default"/>
                      <w:color w:val="auto"/>
                      <w:kern w:val="0"/>
                      <w:sz w:val="18"/>
                      <w:szCs w:val="18"/>
                      <w:highlight w:val="none"/>
                    </w:rPr>
                    <w:t>《大气污染物综合排放标准详解》</w:t>
                  </w:r>
                  <w:r>
                    <w:rPr>
                      <w:rFonts w:hint="default" w:ascii="Times New Roman" w:hAnsi="Times New Roman"/>
                      <w:color w:val="auto"/>
                      <w:sz w:val="18"/>
                      <w:szCs w:val="18"/>
                      <w:highlight w:val="none"/>
                    </w:rPr>
                    <w:t>的要求。</w:t>
                  </w:r>
                </w:p>
              </w:tc>
            </w:tr>
          </w:tbl>
          <w:p w14:paraId="4A85449C">
            <w:pPr>
              <w:spacing w:line="360" w:lineRule="auto"/>
              <w:rPr>
                <w:color w:val="auto"/>
                <w:highlight w:val="none"/>
              </w:rPr>
            </w:pPr>
          </w:p>
          <w:bookmarkEnd w:id="35"/>
          <w:p w14:paraId="1D915DB8">
            <w:pPr>
              <w:adjustRightInd w:val="0"/>
              <w:snapToGrid w:val="0"/>
              <w:spacing w:line="360" w:lineRule="auto"/>
              <w:rPr>
                <w:b/>
                <w:color w:val="auto"/>
                <w:kern w:val="0"/>
                <w:sz w:val="22"/>
                <w:szCs w:val="22"/>
                <w:highlight w:val="none"/>
              </w:rPr>
            </w:pPr>
            <w:r>
              <w:rPr>
                <w:b/>
                <w:color w:val="auto"/>
                <w:kern w:val="0"/>
                <w:sz w:val="22"/>
                <w:szCs w:val="22"/>
                <w:highlight w:val="none"/>
              </w:rPr>
              <w:t>3.</w:t>
            </w:r>
            <w:r>
              <w:rPr>
                <w:rFonts w:hint="default"/>
                <w:b/>
                <w:color w:val="auto"/>
                <w:kern w:val="0"/>
                <w:sz w:val="22"/>
                <w:szCs w:val="22"/>
                <w:highlight w:val="none"/>
              </w:rPr>
              <w:t>1.</w:t>
            </w:r>
            <w:r>
              <w:rPr>
                <w:b/>
                <w:color w:val="auto"/>
                <w:kern w:val="0"/>
                <w:sz w:val="22"/>
                <w:szCs w:val="22"/>
                <w:highlight w:val="none"/>
              </w:rPr>
              <w:t>2</w:t>
            </w:r>
            <w:r>
              <w:rPr>
                <w:rFonts w:hint="default"/>
                <w:b/>
                <w:color w:val="auto"/>
                <w:kern w:val="0"/>
                <w:sz w:val="22"/>
                <w:szCs w:val="22"/>
                <w:highlight w:val="none"/>
              </w:rPr>
              <w:t xml:space="preserve"> </w:t>
            </w:r>
            <w:r>
              <w:rPr>
                <w:rFonts w:hint="default"/>
                <w:b/>
                <w:color w:val="auto"/>
                <w:kern w:val="0"/>
                <w:sz w:val="22"/>
                <w:szCs w:val="22"/>
                <w:highlight w:val="none"/>
                <w:lang w:val="en-US" w:eastAsia="zh-CN"/>
              </w:rPr>
              <w:t xml:space="preserve"> </w:t>
            </w:r>
            <w:r>
              <w:rPr>
                <w:b/>
                <w:color w:val="auto"/>
                <w:kern w:val="0"/>
                <w:sz w:val="22"/>
                <w:szCs w:val="22"/>
                <w:highlight w:val="none"/>
              </w:rPr>
              <w:t>地表水环境</w:t>
            </w:r>
          </w:p>
          <w:p w14:paraId="5F0113D4">
            <w:pPr>
              <w:spacing w:line="360" w:lineRule="auto"/>
              <w:ind w:firstLine="42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项目附近地表水体为西侧约1.8 km处的东苕溪，西侧约120 m处的獐山弄港、东北侧约400 m处的长塘河。</w:t>
            </w:r>
          </w:p>
          <w:p w14:paraId="14FD8789">
            <w:pPr>
              <w:spacing w:line="360" w:lineRule="auto"/>
              <w:ind w:firstLine="42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根据《浙江省水功能区 水环境功能区划分方案（2015）》，东苕溪在项目附近河段地表水体的编号为“苕溪61”，起始断面为北窑坞大桥下游1.1km，终止断面为杭宁高速下游800m，水功能区为东苕溪余杭饮用水源区（编号：F1201200303021），水环境功能区为饮用水水源二级保护区（编号：330110FM210201000220）。该河段在北窑坞大桥下游1.1km、杭宁高速下游800m两处断面之间的陆域范围为：两岸纵深500 m，其中涉及德清临杭经济开发区、余杭仁和先进制造业基地区块的区域东岸为200 m，共3.54 km</w:t>
            </w:r>
            <w:r>
              <w:rPr>
                <w:rFonts w:hint="default" w:ascii="Times New Roman" w:hAnsi="Times New Roman" w:cs="Times New Roman"/>
                <w:color w:val="auto"/>
                <w:highlight w:val="none"/>
                <w:vertAlign w:val="superscript"/>
              </w:rPr>
              <w:t>2</w:t>
            </w:r>
            <w:r>
              <w:rPr>
                <w:rFonts w:hint="default" w:ascii="Times New Roman" w:hAnsi="Times New Roman" w:cs="Times New Roman"/>
                <w:color w:val="auto"/>
                <w:highlight w:val="none"/>
              </w:rPr>
              <w:t>，目标水质为Ⅲ类。本项目距离东苕溪约1.</w:t>
            </w:r>
            <w:r>
              <w:rPr>
                <w:rFonts w:hint="default" w:cs="Times New Roman"/>
                <w:color w:val="auto"/>
                <w:highlight w:val="none"/>
                <w:lang w:val="en-US" w:eastAsia="zh-CN"/>
              </w:rPr>
              <w:t>8</w:t>
            </w:r>
            <w:r>
              <w:rPr>
                <w:rFonts w:hint="default" w:ascii="Times New Roman" w:hAnsi="Times New Roman" w:cs="Times New Roman"/>
                <w:color w:val="auto"/>
                <w:highlight w:val="none"/>
              </w:rPr>
              <w:t xml:space="preserve"> km，不在上述陆域保护范围内。</w:t>
            </w:r>
          </w:p>
          <w:p w14:paraId="46F1ADAD">
            <w:pPr>
              <w:spacing w:line="360" w:lineRule="auto"/>
              <w:ind w:firstLine="42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獐山弄港位于项目西侧约120 m，长塘河位于项目东北侧约400 m，均未划定水环境功能区，建议参考“杭嘉湖36”：起始断面为运河武林头，终止断面为上牵埠闸，水功能区为东塘港余杭农业用水区（编号：F1203102203013），水环境功能区为农业用水区（编号：330110FM220106000150），目标水质为Ⅲ类。</w:t>
            </w:r>
          </w:p>
          <w:p w14:paraId="30A611BE">
            <w:pPr>
              <w:autoSpaceDE w:val="0"/>
              <w:autoSpaceDN w:val="0"/>
              <w:adjustRightInd w:val="0"/>
              <w:spacing w:line="360" w:lineRule="auto"/>
              <w:ind w:firstLine="42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本项目废水纳入良渚污水处理厂进一步处理，良渚污水处理厂的纳污水体为良渚港，附近河段地表水体的编号为“杭嘉湖34”，起始断面为西塘河魏塘，终止断面为余杭塘河长桥，水功能区为良渚港（含毛家漾港、九曲港）余杭农业、工业用水区（编号：F1203102003013），水环境功能区为农业、工业用水区（编号：330110FM220107000150），目标水质为Ⅲ类。</w:t>
            </w:r>
          </w:p>
          <w:p w14:paraId="7B229880">
            <w:pPr>
              <w:autoSpaceDE w:val="0"/>
              <w:autoSpaceDN w:val="0"/>
              <w:adjustRightInd w:val="0"/>
              <w:spacing w:line="360" w:lineRule="auto"/>
              <w:ind w:firstLine="420" w:firstLineChars="200"/>
              <w:rPr>
                <w:color w:val="auto"/>
                <w:highlight w:val="none"/>
              </w:rPr>
            </w:pPr>
            <w:r>
              <w:rPr>
                <w:color w:val="auto"/>
                <w:highlight w:val="none"/>
              </w:rPr>
              <w:t>综上，本项目拟建地附近水体及纳污水体环境功能区划详见表</w:t>
            </w:r>
            <w:r>
              <w:rPr>
                <w:rFonts w:hint="default"/>
                <w:color w:val="auto"/>
                <w:highlight w:val="none"/>
                <w:lang w:val="en-US" w:eastAsia="zh-CN"/>
              </w:rPr>
              <w:t>3-3</w:t>
            </w:r>
            <w:r>
              <w:rPr>
                <w:rFonts w:hint="default"/>
                <w:color w:val="auto"/>
                <w:highlight w:val="none"/>
              </w:rPr>
              <w:t>：</w:t>
            </w:r>
          </w:p>
          <w:p w14:paraId="26084E40">
            <w:pPr>
              <w:pStyle w:val="14"/>
              <w:widowControl/>
              <w:numPr>
                <w:ilvl w:val="0"/>
                <w:numId w:val="4"/>
              </w:numPr>
              <w:tabs>
                <w:tab w:val="left" w:pos="4515"/>
                <w:tab w:val="left" w:pos="5883"/>
                <w:tab w:val="left" w:pos="8718"/>
              </w:tabs>
              <w:adjustRightInd w:val="0"/>
              <w:snapToGrid w:val="0"/>
              <w:spacing w:line="360" w:lineRule="auto"/>
              <w:jc w:val="center"/>
              <w:rPr>
                <w:rFonts w:hint="default" w:ascii="Times New Roman" w:hAnsi="Times New Roman" w:eastAsia="黑体" w:cs="Times New Roman"/>
                <w:b w:val="0"/>
                <w:bCs/>
                <w:color w:val="auto"/>
                <w:highlight w:val="none"/>
              </w:rPr>
            </w:pPr>
            <w:r>
              <w:rPr>
                <w:rFonts w:hint="default" w:ascii="Times New Roman" w:hAnsi="Times New Roman" w:eastAsia="黑体" w:cs="Times New Roman"/>
                <w:b w:val="0"/>
                <w:bCs/>
                <w:color w:val="auto"/>
                <w:highlight w:val="none"/>
                <w:lang w:val="en-US" w:eastAsia="zh-CN"/>
              </w:rPr>
              <w:t xml:space="preserve"> </w:t>
            </w:r>
            <w:r>
              <w:rPr>
                <w:rFonts w:hint="default" w:ascii="Times New Roman" w:hAnsi="Times New Roman" w:eastAsia="黑体" w:cs="Times New Roman"/>
                <w:b w:val="0"/>
                <w:bCs/>
                <w:color w:val="auto"/>
                <w:highlight w:val="none"/>
              </w:rPr>
              <w:t>区域水环境功能区划</w:t>
            </w:r>
          </w:p>
          <w:tbl>
            <w:tblPr>
              <w:tblStyle w:val="24"/>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0" w:type="dxa"/>
                <w:bottom w:w="0" w:type="dxa"/>
                <w:right w:w="0" w:type="dxa"/>
              </w:tblCellMar>
            </w:tblPr>
            <w:tblGrid>
              <w:gridCol w:w="569"/>
              <w:gridCol w:w="660"/>
              <w:gridCol w:w="739"/>
              <w:gridCol w:w="837"/>
              <w:gridCol w:w="698"/>
              <w:gridCol w:w="837"/>
              <w:gridCol w:w="559"/>
              <w:gridCol w:w="556"/>
              <w:gridCol w:w="1207"/>
              <w:gridCol w:w="1040"/>
              <w:gridCol w:w="452"/>
            </w:tblGrid>
            <w:tr w14:paraId="14B5E2B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jc w:val="center"/>
              </w:trPr>
              <w:tc>
                <w:tcPr>
                  <w:tcW w:w="753" w:type="pct"/>
                  <w:gridSpan w:val="2"/>
                  <w:vMerge w:val="restart"/>
                  <w:tcBorders>
                    <w:tl2br w:val="nil"/>
                    <w:tr2bl w:val="nil"/>
                  </w:tcBorders>
                  <w:vAlign w:val="center"/>
                </w:tcPr>
                <w:p w14:paraId="48B06585">
                  <w:pPr>
                    <w:autoSpaceDE w:val="0"/>
                    <w:autoSpaceDN w:val="0"/>
                    <w:adjustRightInd w:val="0"/>
                    <w:jc w:val="center"/>
                    <w:rPr>
                      <w:color w:val="auto"/>
                      <w:sz w:val="18"/>
                      <w:szCs w:val="18"/>
                      <w:highlight w:val="none"/>
                    </w:rPr>
                  </w:pPr>
                  <w:r>
                    <w:rPr>
                      <w:color w:val="auto"/>
                      <w:sz w:val="18"/>
                      <w:szCs w:val="18"/>
                      <w:highlight w:val="none"/>
                    </w:rPr>
                    <w:t>名称</w:t>
                  </w:r>
                </w:p>
              </w:tc>
              <w:tc>
                <w:tcPr>
                  <w:tcW w:w="966" w:type="pct"/>
                  <w:gridSpan w:val="2"/>
                  <w:tcBorders>
                    <w:tl2br w:val="nil"/>
                    <w:tr2bl w:val="nil"/>
                  </w:tcBorders>
                  <w:vAlign w:val="center"/>
                </w:tcPr>
                <w:p w14:paraId="11A0A44E">
                  <w:pPr>
                    <w:autoSpaceDE w:val="0"/>
                    <w:autoSpaceDN w:val="0"/>
                    <w:adjustRightInd w:val="0"/>
                    <w:jc w:val="center"/>
                    <w:rPr>
                      <w:color w:val="auto"/>
                      <w:sz w:val="18"/>
                      <w:szCs w:val="18"/>
                      <w:highlight w:val="none"/>
                    </w:rPr>
                  </w:pPr>
                  <w:r>
                    <w:rPr>
                      <w:color w:val="auto"/>
                      <w:sz w:val="18"/>
                      <w:szCs w:val="18"/>
                      <w:highlight w:val="none"/>
                    </w:rPr>
                    <w:t>水功能区</w:t>
                  </w:r>
                </w:p>
              </w:tc>
              <w:tc>
                <w:tcPr>
                  <w:tcW w:w="941" w:type="pct"/>
                  <w:gridSpan w:val="2"/>
                  <w:tcBorders>
                    <w:tl2br w:val="nil"/>
                    <w:tr2bl w:val="nil"/>
                  </w:tcBorders>
                  <w:vAlign w:val="center"/>
                </w:tcPr>
                <w:p w14:paraId="6EB0C1A3">
                  <w:pPr>
                    <w:autoSpaceDE w:val="0"/>
                    <w:autoSpaceDN w:val="0"/>
                    <w:adjustRightInd w:val="0"/>
                    <w:jc w:val="center"/>
                    <w:rPr>
                      <w:color w:val="auto"/>
                      <w:sz w:val="18"/>
                      <w:szCs w:val="18"/>
                      <w:highlight w:val="none"/>
                    </w:rPr>
                  </w:pPr>
                  <w:r>
                    <w:rPr>
                      <w:color w:val="auto"/>
                      <w:sz w:val="18"/>
                      <w:szCs w:val="18"/>
                      <w:highlight w:val="none"/>
                    </w:rPr>
                    <w:t>水环境功能区</w:t>
                  </w:r>
                </w:p>
              </w:tc>
              <w:tc>
                <w:tcPr>
                  <w:tcW w:w="343" w:type="pct"/>
                  <w:vMerge w:val="restart"/>
                  <w:tcBorders>
                    <w:tl2br w:val="nil"/>
                    <w:tr2bl w:val="nil"/>
                  </w:tcBorders>
                  <w:vAlign w:val="center"/>
                </w:tcPr>
                <w:p w14:paraId="6936AD16">
                  <w:pPr>
                    <w:autoSpaceDE w:val="0"/>
                    <w:autoSpaceDN w:val="0"/>
                    <w:adjustRightInd w:val="0"/>
                    <w:jc w:val="center"/>
                    <w:rPr>
                      <w:color w:val="auto"/>
                      <w:sz w:val="18"/>
                      <w:szCs w:val="18"/>
                      <w:highlight w:val="none"/>
                    </w:rPr>
                  </w:pPr>
                  <w:r>
                    <w:rPr>
                      <w:color w:val="auto"/>
                      <w:sz w:val="18"/>
                      <w:szCs w:val="18"/>
                      <w:highlight w:val="none"/>
                    </w:rPr>
                    <w:t>流域</w:t>
                  </w:r>
                </w:p>
              </w:tc>
              <w:tc>
                <w:tcPr>
                  <w:tcW w:w="341" w:type="pct"/>
                  <w:vMerge w:val="restart"/>
                  <w:tcBorders>
                    <w:tl2br w:val="nil"/>
                    <w:tr2bl w:val="nil"/>
                  </w:tcBorders>
                  <w:vAlign w:val="center"/>
                </w:tcPr>
                <w:p w14:paraId="0E9B9E3C">
                  <w:pPr>
                    <w:autoSpaceDE w:val="0"/>
                    <w:autoSpaceDN w:val="0"/>
                    <w:adjustRightInd w:val="0"/>
                    <w:jc w:val="center"/>
                    <w:rPr>
                      <w:color w:val="auto"/>
                      <w:sz w:val="18"/>
                      <w:szCs w:val="18"/>
                      <w:highlight w:val="none"/>
                    </w:rPr>
                  </w:pPr>
                  <w:r>
                    <w:rPr>
                      <w:color w:val="auto"/>
                      <w:sz w:val="18"/>
                      <w:szCs w:val="18"/>
                      <w:highlight w:val="none"/>
                    </w:rPr>
                    <w:t>水系</w:t>
                  </w:r>
                </w:p>
              </w:tc>
              <w:tc>
                <w:tcPr>
                  <w:tcW w:w="1378" w:type="pct"/>
                  <w:gridSpan w:val="2"/>
                  <w:tcBorders>
                    <w:tl2br w:val="nil"/>
                    <w:tr2bl w:val="nil"/>
                  </w:tcBorders>
                  <w:vAlign w:val="center"/>
                </w:tcPr>
                <w:p w14:paraId="02AF12E1">
                  <w:pPr>
                    <w:autoSpaceDE w:val="0"/>
                    <w:autoSpaceDN w:val="0"/>
                    <w:adjustRightInd w:val="0"/>
                    <w:jc w:val="center"/>
                    <w:rPr>
                      <w:color w:val="auto"/>
                      <w:sz w:val="18"/>
                      <w:szCs w:val="18"/>
                      <w:highlight w:val="none"/>
                    </w:rPr>
                  </w:pPr>
                  <w:r>
                    <w:rPr>
                      <w:color w:val="auto"/>
                      <w:sz w:val="18"/>
                      <w:szCs w:val="18"/>
                      <w:highlight w:val="none"/>
                    </w:rPr>
                    <w:t>范围</w:t>
                  </w:r>
                </w:p>
              </w:tc>
              <w:tc>
                <w:tcPr>
                  <w:tcW w:w="277" w:type="pct"/>
                  <w:vMerge w:val="restart"/>
                  <w:tcBorders>
                    <w:tl2br w:val="nil"/>
                    <w:tr2bl w:val="nil"/>
                  </w:tcBorders>
                  <w:vAlign w:val="center"/>
                </w:tcPr>
                <w:p w14:paraId="30148A76">
                  <w:pPr>
                    <w:autoSpaceDE w:val="0"/>
                    <w:autoSpaceDN w:val="0"/>
                    <w:adjustRightInd w:val="0"/>
                    <w:jc w:val="center"/>
                    <w:rPr>
                      <w:color w:val="auto"/>
                      <w:sz w:val="18"/>
                      <w:szCs w:val="18"/>
                      <w:highlight w:val="none"/>
                    </w:rPr>
                  </w:pPr>
                  <w:r>
                    <w:rPr>
                      <w:color w:val="auto"/>
                      <w:sz w:val="18"/>
                      <w:szCs w:val="18"/>
                      <w:highlight w:val="none"/>
                    </w:rPr>
                    <w:t>目标水质</w:t>
                  </w:r>
                </w:p>
              </w:tc>
            </w:tr>
            <w:tr w14:paraId="0E108DB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jc w:val="center"/>
              </w:trPr>
              <w:tc>
                <w:tcPr>
                  <w:tcW w:w="753" w:type="pct"/>
                  <w:gridSpan w:val="2"/>
                  <w:vMerge w:val="continue"/>
                  <w:tcBorders>
                    <w:tl2br w:val="nil"/>
                    <w:tr2bl w:val="nil"/>
                  </w:tcBorders>
                  <w:vAlign w:val="center"/>
                </w:tcPr>
                <w:p w14:paraId="4DE8C8FD">
                  <w:pPr>
                    <w:autoSpaceDE w:val="0"/>
                    <w:autoSpaceDN w:val="0"/>
                    <w:adjustRightInd w:val="0"/>
                    <w:jc w:val="center"/>
                    <w:rPr>
                      <w:color w:val="auto"/>
                      <w:sz w:val="18"/>
                      <w:szCs w:val="18"/>
                      <w:highlight w:val="none"/>
                    </w:rPr>
                  </w:pPr>
                </w:p>
              </w:tc>
              <w:tc>
                <w:tcPr>
                  <w:tcW w:w="453" w:type="pct"/>
                  <w:tcBorders>
                    <w:tl2br w:val="nil"/>
                    <w:tr2bl w:val="nil"/>
                  </w:tcBorders>
                  <w:vAlign w:val="center"/>
                </w:tcPr>
                <w:p w14:paraId="051F5888">
                  <w:pPr>
                    <w:autoSpaceDE w:val="0"/>
                    <w:autoSpaceDN w:val="0"/>
                    <w:adjustRightInd w:val="0"/>
                    <w:jc w:val="center"/>
                    <w:rPr>
                      <w:color w:val="auto"/>
                      <w:sz w:val="18"/>
                      <w:szCs w:val="18"/>
                      <w:highlight w:val="none"/>
                    </w:rPr>
                  </w:pPr>
                  <w:r>
                    <w:rPr>
                      <w:color w:val="auto"/>
                      <w:sz w:val="18"/>
                      <w:szCs w:val="18"/>
                      <w:highlight w:val="none"/>
                    </w:rPr>
                    <w:t>编号</w:t>
                  </w:r>
                </w:p>
              </w:tc>
              <w:tc>
                <w:tcPr>
                  <w:tcW w:w="513" w:type="pct"/>
                  <w:tcBorders>
                    <w:tl2br w:val="nil"/>
                    <w:tr2bl w:val="nil"/>
                  </w:tcBorders>
                  <w:vAlign w:val="center"/>
                </w:tcPr>
                <w:p w14:paraId="5A46686F">
                  <w:pPr>
                    <w:autoSpaceDE w:val="0"/>
                    <w:autoSpaceDN w:val="0"/>
                    <w:adjustRightInd w:val="0"/>
                    <w:jc w:val="center"/>
                    <w:rPr>
                      <w:color w:val="auto"/>
                      <w:sz w:val="18"/>
                      <w:szCs w:val="18"/>
                      <w:highlight w:val="none"/>
                    </w:rPr>
                  </w:pPr>
                  <w:r>
                    <w:rPr>
                      <w:color w:val="auto"/>
                      <w:sz w:val="18"/>
                      <w:szCs w:val="18"/>
                      <w:highlight w:val="none"/>
                    </w:rPr>
                    <w:t>名称</w:t>
                  </w:r>
                </w:p>
              </w:tc>
              <w:tc>
                <w:tcPr>
                  <w:tcW w:w="428" w:type="pct"/>
                  <w:tcBorders>
                    <w:tl2br w:val="nil"/>
                    <w:tr2bl w:val="nil"/>
                  </w:tcBorders>
                  <w:vAlign w:val="center"/>
                </w:tcPr>
                <w:p w14:paraId="7E81A5CE">
                  <w:pPr>
                    <w:autoSpaceDE w:val="0"/>
                    <w:autoSpaceDN w:val="0"/>
                    <w:adjustRightInd w:val="0"/>
                    <w:jc w:val="center"/>
                    <w:rPr>
                      <w:color w:val="auto"/>
                      <w:sz w:val="18"/>
                      <w:szCs w:val="18"/>
                      <w:highlight w:val="none"/>
                    </w:rPr>
                  </w:pPr>
                  <w:r>
                    <w:rPr>
                      <w:color w:val="auto"/>
                      <w:sz w:val="18"/>
                      <w:szCs w:val="18"/>
                      <w:highlight w:val="none"/>
                    </w:rPr>
                    <w:t>编号</w:t>
                  </w:r>
                </w:p>
              </w:tc>
              <w:tc>
                <w:tcPr>
                  <w:tcW w:w="513" w:type="pct"/>
                  <w:tcBorders>
                    <w:tl2br w:val="nil"/>
                    <w:tr2bl w:val="nil"/>
                  </w:tcBorders>
                  <w:vAlign w:val="center"/>
                </w:tcPr>
                <w:p w14:paraId="496F9158">
                  <w:pPr>
                    <w:autoSpaceDE w:val="0"/>
                    <w:autoSpaceDN w:val="0"/>
                    <w:adjustRightInd w:val="0"/>
                    <w:jc w:val="center"/>
                    <w:rPr>
                      <w:color w:val="auto"/>
                      <w:sz w:val="18"/>
                      <w:szCs w:val="18"/>
                      <w:highlight w:val="none"/>
                    </w:rPr>
                  </w:pPr>
                  <w:r>
                    <w:rPr>
                      <w:color w:val="auto"/>
                      <w:sz w:val="18"/>
                      <w:szCs w:val="18"/>
                      <w:highlight w:val="none"/>
                    </w:rPr>
                    <w:t>名称</w:t>
                  </w:r>
                </w:p>
              </w:tc>
              <w:tc>
                <w:tcPr>
                  <w:tcW w:w="343" w:type="pct"/>
                  <w:vMerge w:val="continue"/>
                  <w:tcBorders>
                    <w:tl2br w:val="nil"/>
                    <w:tr2bl w:val="nil"/>
                  </w:tcBorders>
                  <w:vAlign w:val="center"/>
                </w:tcPr>
                <w:p w14:paraId="0FEFF614">
                  <w:pPr>
                    <w:autoSpaceDE w:val="0"/>
                    <w:autoSpaceDN w:val="0"/>
                    <w:adjustRightInd w:val="0"/>
                    <w:jc w:val="center"/>
                    <w:rPr>
                      <w:color w:val="auto"/>
                      <w:sz w:val="18"/>
                      <w:szCs w:val="18"/>
                      <w:highlight w:val="none"/>
                    </w:rPr>
                  </w:pPr>
                </w:p>
              </w:tc>
              <w:tc>
                <w:tcPr>
                  <w:tcW w:w="341" w:type="pct"/>
                  <w:vMerge w:val="continue"/>
                  <w:tcBorders>
                    <w:tl2br w:val="nil"/>
                    <w:tr2bl w:val="nil"/>
                  </w:tcBorders>
                  <w:vAlign w:val="center"/>
                </w:tcPr>
                <w:p w14:paraId="2C49BEDA">
                  <w:pPr>
                    <w:autoSpaceDE w:val="0"/>
                    <w:autoSpaceDN w:val="0"/>
                    <w:adjustRightInd w:val="0"/>
                    <w:jc w:val="center"/>
                    <w:rPr>
                      <w:color w:val="auto"/>
                      <w:sz w:val="18"/>
                      <w:szCs w:val="18"/>
                      <w:highlight w:val="none"/>
                    </w:rPr>
                  </w:pPr>
                </w:p>
              </w:tc>
              <w:tc>
                <w:tcPr>
                  <w:tcW w:w="740" w:type="pct"/>
                  <w:tcBorders>
                    <w:tl2br w:val="nil"/>
                    <w:tr2bl w:val="nil"/>
                  </w:tcBorders>
                  <w:vAlign w:val="center"/>
                </w:tcPr>
                <w:p w14:paraId="7A27B6DC">
                  <w:pPr>
                    <w:autoSpaceDE w:val="0"/>
                    <w:autoSpaceDN w:val="0"/>
                    <w:adjustRightInd w:val="0"/>
                    <w:jc w:val="center"/>
                    <w:rPr>
                      <w:color w:val="auto"/>
                      <w:sz w:val="18"/>
                      <w:szCs w:val="18"/>
                      <w:highlight w:val="none"/>
                    </w:rPr>
                  </w:pPr>
                  <w:r>
                    <w:rPr>
                      <w:color w:val="auto"/>
                      <w:sz w:val="18"/>
                      <w:szCs w:val="18"/>
                      <w:highlight w:val="none"/>
                    </w:rPr>
                    <w:t>起始断面</w:t>
                  </w:r>
                </w:p>
              </w:tc>
              <w:tc>
                <w:tcPr>
                  <w:tcW w:w="638" w:type="pct"/>
                  <w:tcBorders>
                    <w:tl2br w:val="nil"/>
                    <w:tr2bl w:val="nil"/>
                  </w:tcBorders>
                  <w:vAlign w:val="center"/>
                </w:tcPr>
                <w:p w14:paraId="7BB8F209">
                  <w:pPr>
                    <w:autoSpaceDE w:val="0"/>
                    <w:autoSpaceDN w:val="0"/>
                    <w:adjustRightInd w:val="0"/>
                    <w:jc w:val="center"/>
                    <w:rPr>
                      <w:color w:val="auto"/>
                      <w:sz w:val="18"/>
                      <w:szCs w:val="18"/>
                      <w:highlight w:val="none"/>
                    </w:rPr>
                  </w:pPr>
                  <w:r>
                    <w:rPr>
                      <w:color w:val="auto"/>
                      <w:sz w:val="18"/>
                      <w:szCs w:val="18"/>
                      <w:highlight w:val="none"/>
                    </w:rPr>
                    <w:t>终止断面</w:t>
                  </w:r>
                </w:p>
              </w:tc>
              <w:tc>
                <w:tcPr>
                  <w:tcW w:w="277" w:type="pct"/>
                  <w:vMerge w:val="continue"/>
                  <w:tcBorders>
                    <w:tl2br w:val="nil"/>
                    <w:tr2bl w:val="nil"/>
                  </w:tcBorders>
                  <w:vAlign w:val="center"/>
                </w:tcPr>
                <w:p w14:paraId="1C950851">
                  <w:pPr>
                    <w:autoSpaceDE w:val="0"/>
                    <w:autoSpaceDN w:val="0"/>
                    <w:adjustRightInd w:val="0"/>
                    <w:jc w:val="center"/>
                    <w:rPr>
                      <w:color w:val="auto"/>
                      <w:sz w:val="18"/>
                      <w:szCs w:val="18"/>
                      <w:highlight w:val="none"/>
                    </w:rPr>
                  </w:pPr>
                </w:p>
              </w:tc>
            </w:tr>
            <w:tr w14:paraId="6B1FD9E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jc w:val="center"/>
              </w:trPr>
              <w:tc>
                <w:tcPr>
                  <w:tcW w:w="349" w:type="pct"/>
                  <w:vMerge w:val="restart"/>
                  <w:tcBorders>
                    <w:tl2br w:val="nil"/>
                    <w:tr2bl w:val="nil"/>
                  </w:tcBorders>
                  <w:vAlign w:val="center"/>
                </w:tcPr>
                <w:p w14:paraId="45F57030">
                  <w:pPr>
                    <w:autoSpaceDE w:val="0"/>
                    <w:autoSpaceDN w:val="0"/>
                    <w:adjustRightInd w:val="0"/>
                    <w:jc w:val="center"/>
                    <w:rPr>
                      <w:color w:val="auto"/>
                      <w:sz w:val="18"/>
                      <w:szCs w:val="18"/>
                      <w:highlight w:val="none"/>
                    </w:rPr>
                  </w:pPr>
                  <w:r>
                    <w:rPr>
                      <w:color w:val="auto"/>
                      <w:sz w:val="18"/>
                      <w:szCs w:val="18"/>
                      <w:highlight w:val="none"/>
                    </w:rPr>
                    <w:t>苕溪61</w:t>
                  </w:r>
                </w:p>
              </w:tc>
              <w:tc>
                <w:tcPr>
                  <w:tcW w:w="405" w:type="pct"/>
                  <w:vMerge w:val="restart"/>
                  <w:tcBorders>
                    <w:tl2br w:val="nil"/>
                    <w:tr2bl w:val="nil"/>
                  </w:tcBorders>
                  <w:vAlign w:val="center"/>
                </w:tcPr>
                <w:p w14:paraId="2B1023D0">
                  <w:pPr>
                    <w:autoSpaceDE w:val="0"/>
                    <w:autoSpaceDN w:val="0"/>
                    <w:adjustRightInd w:val="0"/>
                    <w:jc w:val="center"/>
                    <w:rPr>
                      <w:color w:val="auto"/>
                      <w:sz w:val="18"/>
                      <w:szCs w:val="18"/>
                      <w:highlight w:val="none"/>
                    </w:rPr>
                  </w:pPr>
                  <w:r>
                    <w:rPr>
                      <w:color w:val="auto"/>
                      <w:sz w:val="18"/>
                      <w:szCs w:val="18"/>
                      <w:highlight w:val="none"/>
                    </w:rPr>
                    <w:t>东苕溪</w:t>
                  </w:r>
                </w:p>
              </w:tc>
              <w:tc>
                <w:tcPr>
                  <w:tcW w:w="453" w:type="pct"/>
                  <w:vMerge w:val="restart"/>
                  <w:tcBorders>
                    <w:tl2br w:val="nil"/>
                    <w:tr2bl w:val="nil"/>
                  </w:tcBorders>
                  <w:vAlign w:val="center"/>
                </w:tcPr>
                <w:p w14:paraId="33B5A558">
                  <w:pPr>
                    <w:autoSpaceDE w:val="0"/>
                    <w:autoSpaceDN w:val="0"/>
                    <w:adjustRightInd w:val="0"/>
                    <w:jc w:val="center"/>
                    <w:rPr>
                      <w:color w:val="auto"/>
                      <w:sz w:val="18"/>
                      <w:szCs w:val="18"/>
                      <w:highlight w:val="none"/>
                    </w:rPr>
                  </w:pPr>
                  <w:r>
                    <w:rPr>
                      <w:color w:val="auto"/>
                      <w:sz w:val="18"/>
                      <w:szCs w:val="18"/>
                      <w:highlight w:val="none"/>
                    </w:rPr>
                    <w:t>F1201</w:t>
                  </w:r>
                </w:p>
                <w:p w14:paraId="7195AD49">
                  <w:pPr>
                    <w:autoSpaceDE w:val="0"/>
                    <w:autoSpaceDN w:val="0"/>
                    <w:adjustRightInd w:val="0"/>
                    <w:jc w:val="center"/>
                    <w:rPr>
                      <w:color w:val="auto"/>
                      <w:sz w:val="18"/>
                      <w:szCs w:val="18"/>
                      <w:highlight w:val="none"/>
                    </w:rPr>
                  </w:pPr>
                  <w:r>
                    <w:rPr>
                      <w:color w:val="auto"/>
                      <w:sz w:val="18"/>
                      <w:szCs w:val="18"/>
                      <w:highlight w:val="none"/>
                    </w:rPr>
                    <w:t>2003</w:t>
                  </w:r>
                </w:p>
                <w:p w14:paraId="5BC57CCD">
                  <w:pPr>
                    <w:autoSpaceDE w:val="0"/>
                    <w:autoSpaceDN w:val="0"/>
                    <w:adjustRightInd w:val="0"/>
                    <w:jc w:val="center"/>
                    <w:rPr>
                      <w:color w:val="auto"/>
                      <w:sz w:val="18"/>
                      <w:szCs w:val="18"/>
                      <w:highlight w:val="none"/>
                    </w:rPr>
                  </w:pPr>
                  <w:r>
                    <w:rPr>
                      <w:color w:val="auto"/>
                      <w:sz w:val="18"/>
                      <w:szCs w:val="18"/>
                      <w:highlight w:val="none"/>
                    </w:rPr>
                    <w:t>03021</w:t>
                  </w:r>
                </w:p>
              </w:tc>
              <w:tc>
                <w:tcPr>
                  <w:tcW w:w="513" w:type="pct"/>
                  <w:vMerge w:val="restart"/>
                  <w:tcBorders>
                    <w:tl2br w:val="nil"/>
                    <w:tr2bl w:val="nil"/>
                  </w:tcBorders>
                  <w:vAlign w:val="center"/>
                </w:tcPr>
                <w:p w14:paraId="372DC74D">
                  <w:pPr>
                    <w:autoSpaceDE w:val="0"/>
                    <w:autoSpaceDN w:val="0"/>
                    <w:adjustRightInd w:val="0"/>
                    <w:jc w:val="center"/>
                    <w:rPr>
                      <w:color w:val="auto"/>
                      <w:sz w:val="18"/>
                      <w:szCs w:val="18"/>
                      <w:highlight w:val="none"/>
                    </w:rPr>
                  </w:pPr>
                  <w:r>
                    <w:rPr>
                      <w:color w:val="auto"/>
                      <w:sz w:val="18"/>
                      <w:szCs w:val="18"/>
                      <w:highlight w:val="none"/>
                    </w:rPr>
                    <w:t>东苕溪余杭饮用水源区</w:t>
                  </w:r>
                </w:p>
              </w:tc>
              <w:tc>
                <w:tcPr>
                  <w:tcW w:w="428" w:type="pct"/>
                  <w:vMerge w:val="restart"/>
                  <w:tcBorders>
                    <w:tl2br w:val="nil"/>
                    <w:tr2bl w:val="nil"/>
                  </w:tcBorders>
                  <w:vAlign w:val="center"/>
                </w:tcPr>
                <w:p w14:paraId="1A456FFC">
                  <w:pPr>
                    <w:autoSpaceDE w:val="0"/>
                    <w:autoSpaceDN w:val="0"/>
                    <w:adjustRightInd w:val="0"/>
                    <w:jc w:val="center"/>
                    <w:rPr>
                      <w:color w:val="auto"/>
                      <w:sz w:val="18"/>
                      <w:szCs w:val="18"/>
                      <w:highlight w:val="none"/>
                    </w:rPr>
                  </w:pPr>
                  <w:r>
                    <w:rPr>
                      <w:color w:val="auto"/>
                      <w:sz w:val="18"/>
                      <w:szCs w:val="18"/>
                      <w:highlight w:val="none"/>
                    </w:rPr>
                    <w:t>330110F</w:t>
                  </w:r>
                </w:p>
                <w:p w14:paraId="4C834979">
                  <w:pPr>
                    <w:autoSpaceDE w:val="0"/>
                    <w:autoSpaceDN w:val="0"/>
                    <w:adjustRightInd w:val="0"/>
                    <w:jc w:val="center"/>
                    <w:rPr>
                      <w:color w:val="auto"/>
                      <w:sz w:val="18"/>
                      <w:szCs w:val="18"/>
                      <w:highlight w:val="none"/>
                    </w:rPr>
                  </w:pPr>
                  <w:r>
                    <w:rPr>
                      <w:color w:val="auto"/>
                      <w:sz w:val="18"/>
                      <w:szCs w:val="18"/>
                      <w:highlight w:val="none"/>
                    </w:rPr>
                    <w:t>M21020</w:t>
                  </w:r>
                </w:p>
                <w:p w14:paraId="397AFC4A">
                  <w:pPr>
                    <w:autoSpaceDE w:val="0"/>
                    <w:autoSpaceDN w:val="0"/>
                    <w:adjustRightInd w:val="0"/>
                    <w:jc w:val="center"/>
                    <w:rPr>
                      <w:color w:val="auto"/>
                      <w:sz w:val="18"/>
                      <w:szCs w:val="18"/>
                      <w:highlight w:val="none"/>
                    </w:rPr>
                  </w:pPr>
                  <w:r>
                    <w:rPr>
                      <w:color w:val="auto"/>
                      <w:sz w:val="18"/>
                      <w:szCs w:val="18"/>
                      <w:highlight w:val="none"/>
                    </w:rPr>
                    <w:t>1000220</w:t>
                  </w:r>
                </w:p>
              </w:tc>
              <w:tc>
                <w:tcPr>
                  <w:tcW w:w="513" w:type="pct"/>
                  <w:vMerge w:val="restart"/>
                  <w:tcBorders>
                    <w:tl2br w:val="nil"/>
                    <w:tr2bl w:val="nil"/>
                  </w:tcBorders>
                  <w:vAlign w:val="center"/>
                </w:tcPr>
                <w:p w14:paraId="3504A5EC">
                  <w:pPr>
                    <w:autoSpaceDE w:val="0"/>
                    <w:autoSpaceDN w:val="0"/>
                    <w:adjustRightInd w:val="0"/>
                    <w:jc w:val="center"/>
                    <w:rPr>
                      <w:color w:val="auto"/>
                      <w:sz w:val="18"/>
                      <w:szCs w:val="18"/>
                      <w:highlight w:val="none"/>
                    </w:rPr>
                  </w:pPr>
                  <w:r>
                    <w:rPr>
                      <w:color w:val="auto"/>
                      <w:sz w:val="18"/>
                      <w:szCs w:val="18"/>
                      <w:highlight w:val="none"/>
                    </w:rPr>
                    <w:t>饮用水水源一级保护区</w:t>
                  </w:r>
                </w:p>
              </w:tc>
              <w:tc>
                <w:tcPr>
                  <w:tcW w:w="343" w:type="pct"/>
                  <w:vMerge w:val="restart"/>
                  <w:tcBorders>
                    <w:tl2br w:val="nil"/>
                    <w:tr2bl w:val="nil"/>
                  </w:tcBorders>
                  <w:vAlign w:val="center"/>
                </w:tcPr>
                <w:p w14:paraId="4839AF39">
                  <w:pPr>
                    <w:autoSpaceDE w:val="0"/>
                    <w:autoSpaceDN w:val="0"/>
                    <w:adjustRightInd w:val="0"/>
                    <w:jc w:val="center"/>
                    <w:rPr>
                      <w:color w:val="auto"/>
                      <w:sz w:val="18"/>
                      <w:szCs w:val="18"/>
                      <w:highlight w:val="none"/>
                    </w:rPr>
                  </w:pPr>
                  <w:r>
                    <w:rPr>
                      <w:color w:val="auto"/>
                      <w:sz w:val="18"/>
                      <w:szCs w:val="18"/>
                      <w:highlight w:val="none"/>
                    </w:rPr>
                    <w:t>太湖</w:t>
                  </w:r>
                </w:p>
              </w:tc>
              <w:tc>
                <w:tcPr>
                  <w:tcW w:w="341" w:type="pct"/>
                  <w:vMerge w:val="restart"/>
                  <w:tcBorders>
                    <w:tl2br w:val="nil"/>
                    <w:tr2bl w:val="nil"/>
                  </w:tcBorders>
                  <w:vAlign w:val="center"/>
                </w:tcPr>
                <w:p w14:paraId="66235BDA">
                  <w:pPr>
                    <w:autoSpaceDE w:val="0"/>
                    <w:autoSpaceDN w:val="0"/>
                    <w:adjustRightInd w:val="0"/>
                    <w:jc w:val="center"/>
                    <w:rPr>
                      <w:color w:val="auto"/>
                      <w:sz w:val="18"/>
                      <w:szCs w:val="18"/>
                      <w:highlight w:val="none"/>
                    </w:rPr>
                  </w:pPr>
                  <w:r>
                    <w:rPr>
                      <w:color w:val="auto"/>
                      <w:sz w:val="18"/>
                      <w:szCs w:val="18"/>
                      <w:highlight w:val="none"/>
                    </w:rPr>
                    <w:t>苕溪</w:t>
                  </w:r>
                </w:p>
              </w:tc>
              <w:tc>
                <w:tcPr>
                  <w:tcW w:w="740" w:type="pct"/>
                  <w:tcBorders>
                    <w:tl2br w:val="nil"/>
                    <w:tr2bl w:val="nil"/>
                  </w:tcBorders>
                  <w:vAlign w:val="center"/>
                </w:tcPr>
                <w:p w14:paraId="777F2A0C">
                  <w:pPr>
                    <w:pStyle w:val="11"/>
                    <w:spacing w:after="0"/>
                    <w:jc w:val="center"/>
                    <w:rPr>
                      <w:color w:val="auto"/>
                      <w:szCs w:val="18"/>
                      <w:highlight w:val="none"/>
                    </w:rPr>
                  </w:pPr>
                  <w:r>
                    <w:rPr>
                      <w:color w:val="auto"/>
                      <w:szCs w:val="18"/>
                      <w:highlight w:val="none"/>
                    </w:rPr>
                    <w:t>上纤埠</w:t>
                  </w:r>
                </w:p>
              </w:tc>
              <w:tc>
                <w:tcPr>
                  <w:tcW w:w="638" w:type="pct"/>
                  <w:tcBorders>
                    <w:tl2br w:val="nil"/>
                    <w:tr2bl w:val="nil"/>
                  </w:tcBorders>
                  <w:vAlign w:val="center"/>
                </w:tcPr>
                <w:p w14:paraId="4B555E68">
                  <w:pPr>
                    <w:pStyle w:val="11"/>
                    <w:spacing w:after="0"/>
                    <w:jc w:val="center"/>
                    <w:rPr>
                      <w:color w:val="auto"/>
                      <w:szCs w:val="18"/>
                      <w:highlight w:val="none"/>
                    </w:rPr>
                  </w:pPr>
                  <w:r>
                    <w:rPr>
                      <w:color w:val="auto"/>
                      <w:szCs w:val="18"/>
                      <w:highlight w:val="none"/>
                    </w:rPr>
                    <w:t>北窑坞大桥下游1.1km</w:t>
                  </w:r>
                </w:p>
              </w:tc>
              <w:tc>
                <w:tcPr>
                  <w:tcW w:w="277" w:type="pct"/>
                  <w:vMerge w:val="restart"/>
                  <w:tcBorders>
                    <w:tl2br w:val="nil"/>
                    <w:tr2bl w:val="nil"/>
                  </w:tcBorders>
                  <w:vAlign w:val="center"/>
                </w:tcPr>
                <w:p w14:paraId="552AAF45">
                  <w:pPr>
                    <w:autoSpaceDE w:val="0"/>
                    <w:autoSpaceDN w:val="0"/>
                    <w:adjustRightInd w:val="0"/>
                    <w:jc w:val="center"/>
                    <w:rPr>
                      <w:color w:val="auto"/>
                      <w:sz w:val="18"/>
                      <w:szCs w:val="18"/>
                      <w:highlight w:val="none"/>
                    </w:rPr>
                  </w:pPr>
                  <w:r>
                    <w:rPr>
                      <w:rFonts w:hint="default" w:ascii="Times New Roman" w:hAnsi="Times New Roman" w:cs="Times New Roman"/>
                      <w:color w:val="auto"/>
                      <w:sz w:val="18"/>
                      <w:szCs w:val="18"/>
                      <w:highlight w:val="none"/>
                    </w:rPr>
                    <w:t>Ⅱ</w:t>
                  </w:r>
                </w:p>
              </w:tc>
            </w:tr>
            <w:tr w14:paraId="1A2D0A3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jc w:val="center"/>
              </w:trPr>
              <w:tc>
                <w:tcPr>
                  <w:tcW w:w="349" w:type="pct"/>
                  <w:vMerge w:val="continue"/>
                  <w:tcBorders>
                    <w:tl2br w:val="nil"/>
                    <w:tr2bl w:val="nil"/>
                  </w:tcBorders>
                  <w:vAlign w:val="center"/>
                </w:tcPr>
                <w:p w14:paraId="582A9663">
                  <w:pPr>
                    <w:autoSpaceDE w:val="0"/>
                    <w:autoSpaceDN w:val="0"/>
                    <w:adjustRightInd w:val="0"/>
                    <w:jc w:val="center"/>
                    <w:rPr>
                      <w:color w:val="auto"/>
                      <w:sz w:val="18"/>
                      <w:szCs w:val="18"/>
                      <w:highlight w:val="none"/>
                    </w:rPr>
                  </w:pPr>
                </w:p>
              </w:tc>
              <w:tc>
                <w:tcPr>
                  <w:tcW w:w="405" w:type="pct"/>
                  <w:vMerge w:val="continue"/>
                  <w:tcBorders>
                    <w:tl2br w:val="nil"/>
                    <w:tr2bl w:val="nil"/>
                  </w:tcBorders>
                  <w:vAlign w:val="center"/>
                </w:tcPr>
                <w:p w14:paraId="30FE6724">
                  <w:pPr>
                    <w:autoSpaceDE w:val="0"/>
                    <w:autoSpaceDN w:val="0"/>
                    <w:adjustRightInd w:val="0"/>
                    <w:jc w:val="center"/>
                    <w:rPr>
                      <w:color w:val="auto"/>
                      <w:sz w:val="18"/>
                      <w:szCs w:val="18"/>
                      <w:highlight w:val="none"/>
                    </w:rPr>
                  </w:pPr>
                </w:p>
              </w:tc>
              <w:tc>
                <w:tcPr>
                  <w:tcW w:w="453" w:type="pct"/>
                  <w:vMerge w:val="continue"/>
                  <w:tcBorders>
                    <w:tl2br w:val="nil"/>
                    <w:tr2bl w:val="nil"/>
                  </w:tcBorders>
                  <w:vAlign w:val="center"/>
                </w:tcPr>
                <w:p w14:paraId="02D1684E">
                  <w:pPr>
                    <w:autoSpaceDE w:val="0"/>
                    <w:autoSpaceDN w:val="0"/>
                    <w:adjustRightInd w:val="0"/>
                    <w:jc w:val="center"/>
                    <w:rPr>
                      <w:color w:val="auto"/>
                      <w:sz w:val="18"/>
                      <w:szCs w:val="18"/>
                      <w:highlight w:val="none"/>
                    </w:rPr>
                  </w:pPr>
                </w:p>
              </w:tc>
              <w:tc>
                <w:tcPr>
                  <w:tcW w:w="513" w:type="pct"/>
                  <w:vMerge w:val="continue"/>
                  <w:tcBorders>
                    <w:tl2br w:val="nil"/>
                    <w:tr2bl w:val="nil"/>
                  </w:tcBorders>
                  <w:vAlign w:val="center"/>
                </w:tcPr>
                <w:p w14:paraId="018C5D5E">
                  <w:pPr>
                    <w:autoSpaceDE w:val="0"/>
                    <w:autoSpaceDN w:val="0"/>
                    <w:adjustRightInd w:val="0"/>
                    <w:jc w:val="center"/>
                    <w:rPr>
                      <w:color w:val="auto"/>
                      <w:sz w:val="18"/>
                      <w:szCs w:val="18"/>
                      <w:highlight w:val="none"/>
                    </w:rPr>
                  </w:pPr>
                </w:p>
              </w:tc>
              <w:tc>
                <w:tcPr>
                  <w:tcW w:w="428" w:type="pct"/>
                  <w:vMerge w:val="continue"/>
                  <w:tcBorders>
                    <w:tl2br w:val="nil"/>
                    <w:tr2bl w:val="nil"/>
                  </w:tcBorders>
                  <w:vAlign w:val="center"/>
                </w:tcPr>
                <w:p w14:paraId="202C9F58">
                  <w:pPr>
                    <w:autoSpaceDE w:val="0"/>
                    <w:autoSpaceDN w:val="0"/>
                    <w:adjustRightInd w:val="0"/>
                    <w:jc w:val="center"/>
                    <w:rPr>
                      <w:color w:val="auto"/>
                      <w:sz w:val="18"/>
                      <w:szCs w:val="18"/>
                      <w:highlight w:val="none"/>
                    </w:rPr>
                  </w:pPr>
                </w:p>
              </w:tc>
              <w:tc>
                <w:tcPr>
                  <w:tcW w:w="513" w:type="pct"/>
                  <w:vMerge w:val="continue"/>
                  <w:tcBorders>
                    <w:tl2br w:val="nil"/>
                    <w:tr2bl w:val="nil"/>
                  </w:tcBorders>
                  <w:vAlign w:val="center"/>
                </w:tcPr>
                <w:p w14:paraId="41BD8835">
                  <w:pPr>
                    <w:autoSpaceDE w:val="0"/>
                    <w:autoSpaceDN w:val="0"/>
                    <w:adjustRightInd w:val="0"/>
                    <w:jc w:val="center"/>
                    <w:rPr>
                      <w:color w:val="auto"/>
                      <w:sz w:val="18"/>
                      <w:szCs w:val="18"/>
                      <w:highlight w:val="none"/>
                    </w:rPr>
                  </w:pPr>
                </w:p>
              </w:tc>
              <w:tc>
                <w:tcPr>
                  <w:tcW w:w="343" w:type="pct"/>
                  <w:vMerge w:val="continue"/>
                  <w:tcBorders>
                    <w:tl2br w:val="nil"/>
                    <w:tr2bl w:val="nil"/>
                  </w:tcBorders>
                  <w:vAlign w:val="center"/>
                </w:tcPr>
                <w:p w14:paraId="78460AF6">
                  <w:pPr>
                    <w:autoSpaceDE w:val="0"/>
                    <w:autoSpaceDN w:val="0"/>
                    <w:adjustRightInd w:val="0"/>
                    <w:jc w:val="center"/>
                    <w:rPr>
                      <w:color w:val="auto"/>
                      <w:sz w:val="18"/>
                      <w:szCs w:val="18"/>
                      <w:highlight w:val="none"/>
                    </w:rPr>
                  </w:pPr>
                </w:p>
              </w:tc>
              <w:tc>
                <w:tcPr>
                  <w:tcW w:w="341" w:type="pct"/>
                  <w:vMerge w:val="continue"/>
                  <w:tcBorders>
                    <w:tl2br w:val="nil"/>
                    <w:tr2bl w:val="nil"/>
                  </w:tcBorders>
                  <w:vAlign w:val="center"/>
                </w:tcPr>
                <w:p w14:paraId="480C3D0C">
                  <w:pPr>
                    <w:autoSpaceDE w:val="0"/>
                    <w:autoSpaceDN w:val="0"/>
                    <w:adjustRightInd w:val="0"/>
                    <w:jc w:val="center"/>
                    <w:rPr>
                      <w:color w:val="auto"/>
                      <w:sz w:val="18"/>
                      <w:szCs w:val="18"/>
                      <w:highlight w:val="none"/>
                    </w:rPr>
                  </w:pPr>
                </w:p>
              </w:tc>
              <w:tc>
                <w:tcPr>
                  <w:tcW w:w="1378" w:type="pct"/>
                  <w:gridSpan w:val="2"/>
                  <w:tcBorders>
                    <w:tl2br w:val="nil"/>
                    <w:tr2bl w:val="nil"/>
                  </w:tcBorders>
                  <w:vAlign w:val="center"/>
                </w:tcPr>
                <w:p w14:paraId="2523CE8B">
                  <w:pPr>
                    <w:autoSpaceDE w:val="0"/>
                    <w:autoSpaceDN w:val="0"/>
                    <w:adjustRightInd w:val="0"/>
                    <w:jc w:val="center"/>
                    <w:rPr>
                      <w:color w:val="auto"/>
                      <w:sz w:val="18"/>
                      <w:szCs w:val="18"/>
                      <w:highlight w:val="none"/>
                    </w:rPr>
                  </w:pPr>
                  <w:r>
                    <w:rPr>
                      <w:color w:val="auto"/>
                      <w:sz w:val="18"/>
                      <w:szCs w:val="18"/>
                      <w:highlight w:val="none"/>
                    </w:rPr>
                    <w:t>陆域：两岸纵深50m(一级保护区以外为二级保护区450m，涉及余杭仁和先进制造业基地区块的区域东岸为150m)</w:t>
                  </w:r>
                </w:p>
              </w:tc>
              <w:tc>
                <w:tcPr>
                  <w:tcW w:w="277" w:type="pct"/>
                  <w:vMerge w:val="continue"/>
                  <w:tcBorders>
                    <w:tl2br w:val="nil"/>
                    <w:tr2bl w:val="nil"/>
                  </w:tcBorders>
                  <w:vAlign w:val="center"/>
                </w:tcPr>
                <w:p w14:paraId="274AB01A">
                  <w:pPr>
                    <w:autoSpaceDE w:val="0"/>
                    <w:autoSpaceDN w:val="0"/>
                    <w:adjustRightInd w:val="0"/>
                    <w:jc w:val="center"/>
                    <w:rPr>
                      <w:color w:val="auto"/>
                      <w:sz w:val="18"/>
                      <w:szCs w:val="18"/>
                      <w:highlight w:val="none"/>
                    </w:rPr>
                  </w:pPr>
                </w:p>
              </w:tc>
            </w:tr>
            <w:tr w14:paraId="23ED367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jc w:val="center"/>
              </w:trPr>
              <w:tc>
                <w:tcPr>
                  <w:tcW w:w="349" w:type="pct"/>
                  <w:vMerge w:val="continue"/>
                  <w:tcBorders>
                    <w:tl2br w:val="nil"/>
                    <w:tr2bl w:val="nil"/>
                  </w:tcBorders>
                  <w:vAlign w:val="center"/>
                </w:tcPr>
                <w:p w14:paraId="4535F077">
                  <w:pPr>
                    <w:autoSpaceDE w:val="0"/>
                    <w:autoSpaceDN w:val="0"/>
                    <w:adjustRightInd w:val="0"/>
                    <w:jc w:val="center"/>
                    <w:rPr>
                      <w:color w:val="auto"/>
                      <w:sz w:val="18"/>
                      <w:szCs w:val="18"/>
                      <w:highlight w:val="none"/>
                    </w:rPr>
                  </w:pPr>
                </w:p>
              </w:tc>
              <w:tc>
                <w:tcPr>
                  <w:tcW w:w="405" w:type="pct"/>
                  <w:vMerge w:val="continue"/>
                  <w:tcBorders>
                    <w:tl2br w:val="nil"/>
                    <w:tr2bl w:val="nil"/>
                  </w:tcBorders>
                  <w:vAlign w:val="center"/>
                </w:tcPr>
                <w:p w14:paraId="5B51C3A4">
                  <w:pPr>
                    <w:autoSpaceDE w:val="0"/>
                    <w:autoSpaceDN w:val="0"/>
                    <w:adjustRightInd w:val="0"/>
                    <w:jc w:val="center"/>
                    <w:rPr>
                      <w:color w:val="auto"/>
                      <w:sz w:val="18"/>
                      <w:szCs w:val="18"/>
                      <w:highlight w:val="none"/>
                    </w:rPr>
                  </w:pPr>
                </w:p>
              </w:tc>
              <w:tc>
                <w:tcPr>
                  <w:tcW w:w="453" w:type="pct"/>
                  <w:vMerge w:val="continue"/>
                  <w:tcBorders>
                    <w:tl2br w:val="nil"/>
                    <w:tr2bl w:val="nil"/>
                  </w:tcBorders>
                  <w:vAlign w:val="center"/>
                </w:tcPr>
                <w:p w14:paraId="738D80D8">
                  <w:pPr>
                    <w:autoSpaceDE w:val="0"/>
                    <w:autoSpaceDN w:val="0"/>
                    <w:adjustRightInd w:val="0"/>
                    <w:jc w:val="center"/>
                    <w:rPr>
                      <w:color w:val="auto"/>
                      <w:sz w:val="18"/>
                      <w:szCs w:val="18"/>
                      <w:highlight w:val="none"/>
                    </w:rPr>
                  </w:pPr>
                </w:p>
              </w:tc>
              <w:tc>
                <w:tcPr>
                  <w:tcW w:w="513" w:type="pct"/>
                  <w:vMerge w:val="continue"/>
                  <w:tcBorders>
                    <w:tl2br w:val="nil"/>
                    <w:tr2bl w:val="nil"/>
                  </w:tcBorders>
                  <w:vAlign w:val="center"/>
                </w:tcPr>
                <w:p w14:paraId="7DFD72B6">
                  <w:pPr>
                    <w:autoSpaceDE w:val="0"/>
                    <w:autoSpaceDN w:val="0"/>
                    <w:adjustRightInd w:val="0"/>
                    <w:jc w:val="center"/>
                    <w:rPr>
                      <w:color w:val="auto"/>
                      <w:sz w:val="18"/>
                      <w:szCs w:val="18"/>
                      <w:highlight w:val="none"/>
                    </w:rPr>
                  </w:pPr>
                </w:p>
              </w:tc>
              <w:tc>
                <w:tcPr>
                  <w:tcW w:w="428" w:type="pct"/>
                  <w:vMerge w:val="continue"/>
                  <w:tcBorders>
                    <w:tl2br w:val="nil"/>
                    <w:tr2bl w:val="nil"/>
                  </w:tcBorders>
                  <w:vAlign w:val="center"/>
                </w:tcPr>
                <w:p w14:paraId="26FF831B">
                  <w:pPr>
                    <w:autoSpaceDE w:val="0"/>
                    <w:autoSpaceDN w:val="0"/>
                    <w:adjustRightInd w:val="0"/>
                    <w:jc w:val="center"/>
                    <w:rPr>
                      <w:color w:val="auto"/>
                      <w:sz w:val="18"/>
                      <w:szCs w:val="18"/>
                      <w:highlight w:val="none"/>
                    </w:rPr>
                  </w:pPr>
                </w:p>
              </w:tc>
              <w:tc>
                <w:tcPr>
                  <w:tcW w:w="513" w:type="pct"/>
                  <w:vMerge w:val="restart"/>
                  <w:tcBorders>
                    <w:tl2br w:val="nil"/>
                    <w:tr2bl w:val="nil"/>
                  </w:tcBorders>
                  <w:vAlign w:val="center"/>
                </w:tcPr>
                <w:p w14:paraId="776C7BA9">
                  <w:pPr>
                    <w:autoSpaceDE w:val="0"/>
                    <w:autoSpaceDN w:val="0"/>
                    <w:adjustRightInd w:val="0"/>
                    <w:jc w:val="center"/>
                    <w:rPr>
                      <w:color w:val="auto"/>
                      <w:sz w:val="18"/>
                      <w:szCs w:val="18"/>
                      <w:highlight w:val="none"/>
                    </w:rPr>
                  </w:pPr>
                  <w:r>
                    <w:rPr>
                      <w:color w:val="auto"/>
                      <w:sz w:val="18"/>
                      <w:szCs w:val="18"/>
                      <w:highlight w:val="none"/>
                    </w:rPr>
                    <w:t>饮用水水源二级保护区</w:t>
                  </w:r>
                </w:p>
              </w:tc>
              <w:tc>
                <w:tcPr>
                  <w:tcW w:w="343" w:type="pct"/>
                  <w:vMerge w:val="continue"/>
                  <w:tcBorders>
                    <w:tl2br w:val="nil"/>
                    <w:tr2bl w:val="nil"/>
                  </w:tcBorders>
                  <w:vAlign w:val="center"/>
                </w:tcPr>
                <w:p w14:paraId="2745E9F3">
                  <w:pPr>
                    <w:autoSpaceDE w:val="0"/>
                    <w:autoSpaceDN w:val="0"/>
                    <w:adjustRightInd w:val="0"/>
                    <w:jc w:val="center"/>
                    <w:rPr>
                      <w:color w:val="auto"/>
                      <w:sz w:val="18"/>
                      <w:szCs w:val="18"/>
                      <w:highlight w:val="none"/>
                    </w:rPr>
                  </w:pPr>
                </w:p>
              </w:tc>
              <w:tc>
                <w:tcPr>
                  <w:tcW w:w="341" w:type="pct"/>
                  <w:vMerge w:val="continue"/>
                  <w:tcBorders>
                    <w:tl2br w:val="nil"/>
                    <w:tr2bl w:val="nil"/>
                  </w:tcBorders>
                  <w:vAlign w:val="center"/>
                </w:tcPr>
                <w:p w14:paraId="3583BFBC">
                  <w:pPr>
                    <w:autoSpaceDE w:val="0"/>
                    <w:autoSpaceDN w:val="0"/>
                    <w:adjustRightInd w:val="0"/>
                    <w:jc w:val="center"/>
                    <w:rPr>
                      <w:color w:val="auto"/>
                      <w:sz w:val="18"/>
                      <w:szCs w:val="18"/>
                      <w:highlight w:val="none"/>
                    </w:rPr>
                  </w:pPr>
                </w:p>
              </w:tc>
              <w:tc>
                <w:tcPr>
                  <w:tcW w:w="740" w:type="pct"/>
                  <w:tcBorders>
                    <w:tl2br w:val="nil"/>
                    <w:tr2bl w:val="nil"/>
                  </w:tcBorders>
                  <w:vAlign w:val="center"/>
                </w:tcPr>
                <w:p w14:paraId="7035F491">
                  <w:pPr>
                    <w:autoSpaceDE w:val="0"/>
                    <w:autoSpaceDN w:val="0"/>
                    <w:adjustRightInd w:val="0"/>
                    <w:jc w:val="center"/>
                    <w:rPr>
                      <w:color w:val="auto"/>
                      <w:sz w:val="18"/>
                      <w:szCs w:val="18"/>
                      <w:highlight w:val="none"/>
                    </w:rPr>
                  </w:pPr>
                  <w:r>
                    <w:rPr>
                      <w:color w:val="auto"/>
                      <w:sz w:val="18"/>
                      <w:szCs w:val="18"/>
                      <w:highlight w:val="none"/>
                    </w:rPr>
                    <w:t>北窑坞大桥下游1.1公里</w:t>
                  </w:r>
                </w:p>
              </w:tc>
              <w:tc>
                <w:tcPr>
                  <w:tcW w:w="638" w:type="pct"/>
                  <w:tcBorders>
                    <w:tl2br w:val="nil"/>
                    <w:tr2bl w:val="nil"/>
                  </w:tcBorders>
                  <w:vAlign w:val="center"/>
                </w:tcPr>
                <w:p w14:paraId="384AB731">
                  <w:pPr>
                    <w:autoSpaceDE w:val="0"/>
                    <w:autoSpaceDN w:val="0"/>
                    <w:adjustRightInd w:val="0"/>
                    <w:jc w:val="center"/>
                    <w:rPr>
                      <w:color w:val="auto"/>
                      <w:sz w:val="18"/>
                      <w:szCs w:val="18"/>
                      <w:highlight w:val="none"/>
                    </w:rPr>
                  </w:pPr>
                  <w:r>
                    <w:rPr>
                      <w:color w:val="auto"/>
                      <w:sz w:val="18"/>
                      <w:szCs w:val="18"/>
                      <w:highlight w:val="none"/>
                    </w:rPr>
                    <w:t>杭宁高速下游800米</w:t>
                  </w:r>
                </w:p>
              </w:tc>
              <w:tc>
                <w:tcPr>
                  <w:tcW w:w="277" w:type="pct"/>
                  <w:vMerge w:val="restart"/>
                  <w:tcBorders>
                    <w:tl2br w:val="nil"/>
                    <w:tr2bl w:val="nil"/>
                  </w:tcBorders>
                  <w:vAlign w:val="center"/>
                </w:tcPr>
                <w:p w14:paraId="1984BC0F">
                  <w:pPr>
                    <w:autoSpaceDE w:val="0"/>
                    <w:autoSpaceDN w:val="0"/>
                    <w:adjustRightInd w:val="0"/>
                    <w:jc w:val="center"/>
                    <w:rPr>
                      <w:color w:val="auto"/>
                      <w:sz w:val="18"/>
                      <w:szCs w:val="18"/>
                      <w:highlight w:val="none"/>
                    </w:rPr>
                  </w:pPr>
                  <w:r>
                    <w:rPr>
                      <w:rFonts w:hint="default" w:ascii="Times New Roman" w:hAnsi="Times New Roman" w:cs="Times New Roman"/>
                      <w:color w:val="auto"/>
                      <w:sz w:val="18"/>
                      <w:szCs w:val="18"/>
                      <w:highlight w:val="none"/>
                    </w:rPr>
                    <w:t>Ⅲ</w:t>
                  </w:r>
                </w:p>
              </w:tc>
            </w:tr>
            <w:tr w14:paraId="60C6AA8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jc w:val="center"/>
              </w:trPr>
              <w:tc>
                <w:tcPr>
                  <w:tcW w:w="349" w:type="pct"/>
                  <w:vMerge w:val="continue"/>
                  <w:tcBorders>
                    <w:tl2br w:val="nil"/>
                    <w:tr2bl w:val="nil"/>
                  </w:tcBorders>
                  <w:vAlign w:val="center"/>
                </w:tcPr>
                <w:p w14:paraId="3EBEE113">
                  <w:pPr>
                    <w:autoSpaceDE w:val="0"/>
                    <w:autoSpaceDN w:val="0"/>
                    <w:adjustRightInd w:val="0"/>
                    <w:jc w:val="center"/>
                    <w:rPr>
                      <w:color w:val="auto"/>
                      <w:sz w:val="18"/>
                      <w:szCs w:val="18"/>
                      <w:highlight w:val="none"/>
                    </w:rPr>
                  </w:pPr>
                </w:p>
              </w:tc>
              <w:tc>
                <w:tcPr>
                  <w:tcW w:w="405" w:type="pct"/>
                  <w:vMerge w:val="continue"/>
                  <w:tcBorders>
                    <w:tl2br w:val="nil"/>
                    <w:tr2bl w:val="nil"/>
                  </w:tcBorders>
                  <w:vAlign w:val="center"/>
                </w:tcPr>
                <w:p w14:paraId="7BF40F5A">
                  <w:pPr>
                    <w:autoSpaceDE w:val="0"/>
                    <w:autoSpaceDN w:val="0"/>
                    <w:adjustRightInd w:val="0"/>
                    <w:jc w:val="center"/>
                    <w:rPr>
                      <w:color w:val="auto"/>
                      <w:sz w:val="18"/>
                      <w:szCs w:val="18"/>
                      <w:highlight w:val="none"/>
                    </w:rPr>
                  </w:pPr>
                </w:p>
              </w:tc>
              <w:tc>
                <w:tcPr>
                  <w:tcW w:w="453" w:type="pct"/>
                  <w:vMerge w:val="continue"/>
                  <w:tcBorders>
                    <w:tl2br w:val="nil"/>
                    <w:tr2bl w:val="nil"/>
                  </w:tcBorders>
                  <w:vAlign w:val="center"/>
                </w:tcPr>
                <w:p w14:paraId="132BE1B8">
                  <w:pPr>
                    <w:autoSpaceDE w:val="0"/>
                    <w:autoSpaceDN w:val="0"/>
                    <w:adjustRightInd w:val="0"/>
                    <w:jc w:val="center"/>
                    <w:rPr>
                      <w:color w:val="auto"/>
                      <w:sz w:val="18"/>
                      <w:szCs w:val="18"/>
                      <w:highlight w:val="none"/>
                    </w:rPr>
                  </w:pPr>
                </w:p>
              </w:tc>
              <w:tc>
                <w:tcPr>
                  <w:tcW w:w="513" w:type="pct"/>
                  <w:vMerge w:val="continue"/>
                  <w:tcBorders>
                    <w:tl2br w:val="nil"/>
                    <w:tr2bl w:val="nil"/>
                  </w:tcBorders>
                  <w:vAlign w:val="center"/>
                </w:tcPr>
                <w:p w14:paraId="5E62DE3C">
                  <w:pPr>
                    <w:autoSpaceDE w:val="0"/>
                    <w:autoSpaceDN w:val="0"/>
                    <w:adjustRightInd w:val="0"/>
                    <w:jc w:val="center"/>
                    <w:rPr>
                      <w:color w:val="auto"/>
                      <w:sz w:val="18"/>
                      <w:szCs w:val="18"/>
                      <w:highlight w:val="none"/>
                    </w:rPr>
                  </w:pPr>
                </w:p>
              </w:tc>
              <w:tc>
                <w:tcPr>
                  <w:tcW w:w="428" w:type="pct"/>
                  <w:vMerge w:val="continue"/>
                  <w:tcBorders>
                    <w:tl2br w:val="nil"/>
                    <w:tr2bl w:val="nil"/>
                  </w:tcBorders>
                  <w:vAlign w:val="center"/>
                </w:tcPr>
                <w:p w14:paraId="5F531C7E">
                  <w:pPr>
                    <w:autoSpaceDE w:val="0"/>
                    <w:autoSpaceDN w:val="0"/>
                    <w:adjustRightInd w:val="0"/>
                    <w:jc w:val="center"/>
                    <w:rPr>
                      <w:color w:val="auto"/>
                      <w:sz w:val="18"/>
                      <w:szCs w:val="18"/>
                      <w:highlight w:val="none"/>
                    </w:rPr>
                  </w:pPr>
                </w:p>
              </w:tc>
              <w:tc>
                <w:tcPr>
                  <w:tcW w:w="513" w:type="pct"/>
                  <w:vMerge w:val="continue"/>
                  <w:tcBorders>
                    <w:tl2br w:val="nil"/>
                    <w:tr2bl w:val="nil"/>
                  </w:tcBorders>
                  <w:vAlign w:val="center"/>
                </w:tcPr>
                <w:p w14:paraId="167B9DA4">
                  <w:pPr>
                    <w:autoSpaceDE w:val="0"/>
                    <w:autoSpaceDN w:val="0"/>
                    <w:adjustRightInd w:val="0"/>
                    <w:jc w:val="center"/>
                    <w:rPr>
                      <w:color w:val="auto"/>
                      <w:sz w:val="18"/>
                      <w:szCs w:val="18"/>
                      <w:highlight w:val="none"/>
                    </w:rPr>
                  </w:pPr>
                </w:p>
              </w:tc>
              <w:tc>
                <w:tcPr>
                  <w:tcW w:w="343" w:type="pct"/>
                  <w:vMerge w:val="continue"/>
                  <w:tcBorders>
                    <w:tl2br w:val="nil"/>
                    <w:tr2bl w:val="nil"/>
                  </w:tcBorders>
                  <w:vAlign w:val="center"/>
                </w:tcPr>
                <w:p w14:paraId="5A6DFCEA">
                  <w:pPr>
                    <w:autoSpaceDE w:val="0"/>
                    <w:autoSpaceDN w:val="0"/>
                    <w:adjustRightInd w:val="0"/>
                    <w:jc w:val="center"/>
                    <w:rPr>
                      <w:color w:val="auto"/>
                      <w:sz w:val="18"/>
                      <w:szCs w:val="18"/>
                      <w:highlight w:val="none"/>
                    </w:rPr>
                  </w:pPr>
                </w:p>
              </w:tc>
              <w:tc>
                <w:tcPr>
                  <w:tcW w:w="341" w:type="pct"/>
                  <w:vMerge w:val="continue"/>
                  <w:tcBorders>
                    <w:tl2br w:val="nil"/>
                    <w:tr2bl w:val="nil"/>
                  </w:tcBorders>
                  <w:vAlign w:val="center"/>
                </w:tcPr>
                <w:p w14:paraId="378EFC8F">
                  <w:pPr>
                    <w:autoSpaceDE w:val="0"/>
                    <w:autoSpaceDN w:val="0"/>
                    <w:adjustRightInd w:val="0"/>
                    <w:jc w:val="center"/>
                    <w:rPr>
                      <w:color w:val="auto"/>
                      <w:sz w:val="18"/>
                      <w:szCs w:val="18"/>
                      <w:highlight w:val="none"/>
                    </w:rPr>
                  </w:pPr>
                </w:p>
              </w:tc>
              <w:tc>
                <w:tcPr>
                  <w:tcW w:w="1378" w:type="pct"/>
                  <w:gridSpan w:val="2"/>
                  <w:tcBorders>
                    <w:tl2br w:val="nil"/>
                    <w:tr2bl w:val="nil"/>
                  </w:tcBorders>
                  <w:vAlign w:val="center"/>
                </w:tcPr>
                <w:p w14:paraId="477A5FBF">
                  <w:pPr>
                    <w:autoSpaceDE w:val="0"/>
                    <w:autoSpaceDN w:val="0"/>
                    <w:adjustRightInd w:val="0"/>
                    <w:jc w:val="center"/>
                    <w:rPr>
                      <w:color w:val="auto"/>
                      <w:sz w:val="18"/>
                      <w:szCs w:val="18"/>
                      <w:highlight w:val="none"/>
                    </w:rPr>
                  </w:pPr>
                  <w:r>
                    <w:rPr>
                      <w:color w:val="auto"/>
                      <w:sz w:val="18"/>
                      <w:szCs w:val="18"/>
                      <w:highlight w:val="none"/>
                    </w:rPr>
                    <w:t>陆域：两岸纵深500米（涉及德清临杭经济开发区、余杭仁和先进制造业基地区块的区域东岸为200米，共3.54km</w:t>
                  </w:r>
                  <w:r>
                    <w:rPr>
                      <w:color w:val="auto"/>
                      <w:sz w:val="18"/>
                      <w:szCs w:val="18"/>
                      <w:highlight w:val="none"/>
                      <w:vertAlign w:val="superscript"/>
                    </w:rPr>
                    <w:t>2</w:t>
                  </w:r>
                  <w:r>
                    <w:rPr>
                      <w:color w:val="auto"/>
                      <w:sz w:val="18"/>
                      <w:szCs w:val="18"/>
                      <w:highlight w:val="none"/>
                    </w:rPr>
                    <w:t>）</w:t>
                  </w:r>
                </w:p>
              </w:tc>
              <w:tc>
                <w:tcPr>
                  <w:tcW w:w="277" w:type="pct"/>
                  <w:vMerge w:val="continue"/>
                  <w:tcBorders>
                    <w:tl2br w:val="nil"/>
                    <w:tr2bl w:val="nil"/>
                  </w:tcBorders>
                  <w:vAlign w:val="center"/>
                </w:tcPr>
                <w:p w14:paraId="27067817">
                  <w:pPr>
                    <w:autoSpaceDE w:val="0"/>
                    <w:autoSpaceDN w:val="0"/>
                    <w:adjustRightInd w:val="0"/>
                    <w:rPr>
                      <w:color w:val="auto"/>
                      <w:sz w:val="18"/>
                      <w:szCs w:val="18"/>
                      <w:highlight w:val="none"/>
                    </w:rPr>
                  </w:pPr>
                </w:p>
              </w:tc>
            </w:tr>
            <w:tr w14:paraId="22A2542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jc w:val="center"/>
              </w:trPr>
              <w:tc>
                <w:tcPr>
                  <w:tcW w:w="349" w:type="pct"/>
                  <w:tcBorders>
                    <w:tl2br w:val="nil"/>
                    <w:tr2bl w:val="nil"/>
                  </w:tcBorders>
                  <w:vAlign w:val="center"/>
                </w:tcPr>
                <w:p w14:paraId="2319F5F2">
                  <w:pPr>
                    <w:autoSpaceDE w:val="0"/>
                    <w:autoSpaceDN w:val="0"/>
                    <w:adjustRightInd w:val="0"/>
                    <w:jc w:val="center"/>
                    <w:rPr>
                      <w:color w:val="auto"/>
                      <w:sz w:val="18"/>
                      <w:szCs w:val="18"/>
                      <w:highlight w:val="none"/>
                    </w:rPr>
                  </w:pPr>
                  <w:r>
                    <w:rPr>
                      <w:color w:val="auto"/>
                      <w:sz w:val="18"/>
                      <w:szCs w:val="18"/>
                      <w:highlight w:val="none"/>
                    </w:rPr>
                    <w:t>杭嘉湖36</w:t>
                  </w:r>
                </w:p>
              </w:tc>
              <w:tc>
                <w:tcPr>
                  <w:tcW w:w="405" w:type="pct"/>
                  <w:tcBorders>
                    <w:tl2br w:val="nil"/>
                    <w:tr2bl w:val="nil"/>
                  </w:tcBorders>
                  <w:vAlign w:val="center"/>
                </w:tcPr>
                <w:p w14:paraId="5BB167BC">
                  <w:pPr>
                    <w:autoSpaceDE w:val="0"/>
                    <w:autoSpaceDN w:val="0"/>
                    <w:adjustRightInd w:val="0"/>
                    <w:jc w:val="center"/>
                    <w:rPr>
                      <w:color w:val="auto"/>
                      <w:sz w:val="18"/>
                      <w:szCs w:val="18"/>
                      <w:highlight w:val="none"/>
                    </w:rPr>
                  </w:pPr>
                  <w:r>
                    <w:rPr>
                      <w:color w:val="auto"/>
                      <w:sz w:val="18"/>
                      <w:szCs w:val="18"/>
                      <w:highlight w:val="none"/>
                    </w:rPr>
                    <w:t>东塘河</w:t>
                  </w:r>
                </w:p>
              </w:tc>
              <w:tc>
                <w:tcPr>
                  <w:tcW w:w="453" w:type="pct"/>
                  <w:tcBorders>
                    <w:tl2br w:val="nil"/>
                    <w:tr2bl w:val="nil"/>
                  </w:tcBorders>
                  <w:vAlign w:val="center"/>
                </w:tcPr>
                <w:p w14:paraId="42B08F7A">
                  <w:pPr>
                    <w:autoSpaceDE w:val="0"/>
                    <w:autoSpaceDN w:val="0"/>
                    <w:adjustRightInd w:val="0"/>
                    <w:jc w:val="center"/>
                    <w:rPr>
                      <w:color w:val="auto"/>
                      <w:sz w:val="18"/>
                      <w:szCs w:val="18"/>
                      <w:highlight w:val="none"/>
                    </w:rPr>
                  </w:pPr>
                  <w:r>
                    <w:rPr>
                      <w:color w:val="auto"/>
                      <w:sz w:val="18"/>
                      <w:szCs w:val="18"/>
                      <w:highlight w:val="none"/>
                    </w:rPr>
                    <w:t>F1203</w:t>
                  </w:r>
                </w:p>
                <w:p w14:paraId="100BC7E4">
                  <w:pPr>
                    <w:autoSpaceDE w:val="0"/>
                    <w:autoSpaceDN w:val="0"/>
                    <w:adjustRightInd w:val="0"/>
                    <w:jc w:val="center"/>
                    <w:rPr>
                      <w:color w:val="auto"/>
                      <w:sz w:val="18"/>
                      <w:szCs w:val="18"/>
                      <w:highlight w:val="none"/>
                    </w:rPr>
                  </w:pPr>
                  <w:r>
                    <w:rPr>
                      <w:color w:val="auto"/>
                      <w:sz w:val="18"/>
                      <w:szCs w:val="18"/>
                      <w:highlight w:val="none"/>
                    </w:rPr>
                    <w:t>1022</w:t>
                  </w:r>
                </w:p>
                <w:p w14:paraId="30ADF807">
                  <w:pPr>
                    <w:autoSpaceDE w:val="0"/>
                    <w:autoSpaceDN w:val="0"/>
                    <w:adjustRightInd w:val="0"/>
                    <w:jc w:val="center"/>
                    <w:rPr>
                      <w:color w:val="auto"/>
                      <w:sz w:val="18"/>
                      <w:szCs w:val="18"/>
                      <w:highlight w:val="none"/>
                    </w:rPr>
                  </w:pPr>
                  <w:r>
                    <w:rPr>
                      <w:color w:val="auto"/>
                      <w:sz w:val="18"/>
                      <w:szCs w:val="18"/>
                      <w:highlight w:val="none"/>
                    </w:rPr>
                    <w:t>03013</w:t>
                  </w:r>
                </w:p>
              </w:tc>
              <w:tc>
                <w:tcPr>
                  <w:tcW w:w="513" w:type="pct"/>
                  <w:tcBorders>
                    <w:tl2br w:val="nil"/>
                    <w:tr2bl w:val="nil"/>
                  </w:tcBorders>
                  <w:vAlign w:val="center"/>
                </w:tcPr>
                <w:p w14:paraId="61CD72BE">
                  <w:pPr>
                    <w:autoSpaceDE w:val="0"/>
                    <w:autoSpaceDN w:val="0"/>
                    <w:adjustRightInd w:val="0"/>
                    <w:jc w:val="center"/>
                    <w:rPr>
                      <w:color w:val="auto"/>
                      <w:sz w:val="18"/>
                      <w:szCs w:val="18"/>
                      <w:highlight w:val="none"/>
                    </w:rPr>
                  </w:pPr>
                  <w:r>
                    <w:rPr>
                      <w:color w:val="auto"/>
                      <w:sz w:val="18"/>
                      <w:szCs w:val="18"/>
                      <w:highlight w:val="none"/>
                    </w:rPr>
                    <w:t>东塘港余杭农业用水区</w:t>
                  </w:r>
                </w:p>
              </w:tc>
              <w:tc>
                <w:tcPr>
                  <w:tcW w:w="428" w:type="pct"/>
                  <w:tcBorders>
                    <w:tl2br w:val="nil"/>
                    <w:tr2bl w:val="nil"/>
                  </w:tcBorders>
                  <w:vAlign w:val="center"/>
                </w:tcPr>
                <w:p w14:paraId="6873AB2D">
                  <w:pPr>
                    <w:autoSpaceDE w:val="0"/>
                    <w:autoSpaceDN w:val="0"/>
                    <w:adjustRightInd w:val="0"/>
                    <w:jc w:val="center"/>
                    <w:rPr>
                      <w:color w:val="auto"/>
                      <w:sz w:val="18"/>
                      <w:szCs w:val="18"/>
                      <w:highlight w:val="none"/>
                    </w:rPr>
                  </w:pPr>
                  <w:r>
                    <w:rPr>
                      <w:color w:val="auto"/>
                      <w:sz w:val="18"/>
                      <w:szCs w:val="18"/>
                      <w:highlight w:val="none"/>
                    </w:rPr>
                    <w:t>330110F</w:t>
                  </w:r>
                </w:p>
                <w:p w14:paraId="0E040C2F">
                  <w:pPr>
                    <w:autoSpaceDE w:val="0"/>
                    <w:autoSpaceDN w:val="0"/>
                    <w:adjustRightInd w:val="0"/>
                    <w:jc w:val="center"/>
                    <w:rPr>
                      <w:color w:val="auto"/>
                      <w:sz w:val="18"/>
                      <w:szCs w:val="18"/>
                      <w:highlight w:val="none"/>
                    </w:rPr>
                  </w:pPr>
                  <w:r>
                    <w:rPr>
                      <w:color w:val="auto"/>
                      <w:sz w:val="18"/>
                      <w:szCs w:val="18"/>
                      <w:highlight w:val="none"/>
                    </w:rPr>
                    <w:t>M22010</w:t>
                  </w:r>
                </w:p>
                <w:p w14:paraId="685E4362">
                  <w:pPr>
                    <w:autoSpaceDE w:val="0"/>
                    <w:autoSpaceDN w:val="0"/>
                    <w:adjustRightInd w:val="0"/>
                    <w:jc w:val="center"/>
                    <w:rPr>
                      <w:color w:val="auto"/>
                      <w:sz w:val="18"/>
                      <w:szCs w:val="18"/>
                      <w:highlight w:val="none"/>
                    </w:rPr>
                  </w:pPr>
                  <w:r>
                    <w:rPr>
                      <w:color w:val="auto"/>
                      <w:sz w:val="18"/>
                      <w:szCs w:val="18"/>
                      <w:highlight w:val="none"/>
                    </w:rPr>
                    <w:t>6000150</w:t>
                  </w:r>
                </w:p>
              </w:tc>
              <w:tc>
                <w:tcPr>
                  <w:tcW w:w="513" w:type="pct"/>
                  <w:tcBorders>
                    <w:tl2br w:val="nil"/>
                    <w:tr2bl w:val="nil"/>
                  </w:tcBorders>
                  <w:vAlign w:val="center"/>
                </w:tcPr>
                <w:p w14:paraId="02DCC46F">
                  <w:pPr>
                    <w:autoSpaceDE w:val="0"/>
                    <w:autoSpaceDN w:val="0"/>
                    <w:adjustRightInd w:val="0"/>
                    <w:jc w:val="center"/>
                    <w:rPr>
                      <w:color w:val="auto"/>
                      <w:sz w:val="18"/>
                      <w:szCs w:val="18"/>
                      <w:highlight w:val="none"/>
                    </w:rPr>
                  </w:pPr>
                  <w:r>
                    <w:rPr>
                      <w:color w:val="auto"/>
                      <w:sz w:val="18"/>
                      <w:szCs w:val="18"/>
                      <w:highlight w:val="none"/>
                    </w:rPr>
                    <w:t>农业用水区</w:t>
                  </w:r>
                </w:p>
              </w:tc>
              <w:tc>
                <w:tcPr>
                  <w:tcW w:w="343" w:type="pct"/>
                  <w:tcBorders>
                    <w:tl2br w:val="nil"/>
                    <w:tr2bl w:val="nil"/>
                  </w:tcBorders>
                  <w:vAlign w:val="center"/>
                </w:tcPr>
                <w:p w14:paraId="1F30BDCA">
                  <w:pPr>
                    <w:autoSpaceDE w:val="0"/>
                    <w:autoSpaceDN w:val="0"/>
                    <w:adjustRightInd w:val="0"/>
                    <w:jc w:val="center"/>
                    <w:rPr>
                      <w:color w:val="auto"/>
                      <w:sz w:val="18"/>
                      <w:szCs w:val="18"/>
                      <w:highlight w:val="none"/>
                    </w:rPr>
                  </w:pPr>
                  <w:r>
                    <w:rPr>
                      <w:color w:val="auto"/>
                      <w:sz w:val="18"/>
                      <w:szCs w:val="18"/>
                      <w:highlight w:val="none"/>
                    </w:rPr>
                    <w:t>太湖</w:t>
                  </w:r>
                </w:p>
              </w:tc>
              <w:tc>
                <w:tcPr>
                  <w:tcW w:w="341" w:type="pct"/>
                  <w:tcBorders>
                    <w:tl2br w:val="nil"/>
                    <w:tr2bl w:val="nil"/>
                  </w:tcBorders>
                  <w:vAlign w:val="center"/>
                </w:tcPr>
                <w:p w14:paraId="46A13B68">
                  <w:pPr>
                    <w:autoSpaceDE w:val="0"/>
                    <w:autoSpaceDN w:val="0"/>
                    <w:adjustRightInd w:val="0"/>
                    <w:jc w:val="center"/>
                    <w:rPr>
                      <w:color w:val="auto"/>
                      <w:sz w:val="18"/>
                      <w:szCs w:val="18"/>
                      <w:highlight w:val="none"/>
                    </w:rPr>
                  </w:pPr>
                  <w:r>
                    <w:rPr>
                      <w:color w:val="auto"/>
                      <w:sz w:val="18"/>
                      <w:szCs w:val="18"/>
                      <w:highlight w:val="none"/>
                    </w:rPr>
                    <w:t>杭嘉湖平原河网</w:t>
                  </w:r>
                </w:p>
              </w:tc>
              <w:tc>
                <w:tcPr>
                  <w:tcW w:w="740" w:type="pct"/>
                  <w:tcBorders>
                    <w:tl2br w:val="nil"/>
                    <w:tr2bl w:val="nil"/>
                  </w:tcBorders>
                  <w:vAlign w:val="center"/>
                </w:tcPr>
                <w:p w14:paraId="114EDDBB">
                  <w:pPr>
                    <w:autoSpaceDE w:val="0"/>
                    <w:autoSpaceDN w:val="0"/>
                    <w:adjustRightInd w:val="0"/>
                    <w:jc w:val="center"/>
                    <w:rPr>
                      <w:color w:val="auto"/>
                      <w:sz w:val="18"/>
                      <w:szCs w:val="18"/>
                      <w:highlight w:val="none"/>
                    </w:rPr>
                  </w:pPr>
                  <w:r>
                    <w:rPr>
                      <w:color w:val="auto"/>
                      <w:sz w:val="18"/>
                      <w:szCs w:val="18"/>
                      <w:highlight w:val="none"/>
                    </w:rPr>
                    <w:t>运河武林头</w:t>
                  </w:r>
                </w:p>
              </w:tc>
              <w:tc>
                <w:tcPr>
                  <w:tcW w:w="638" w:type="pct"/>
                  <w:tcBorders>
                    <w:tl2br w:val="nil"/>
                    <w:tr2bl w:val="nil"/>
                  </w:tcBorders>
                  <w:vAlign w:val="center"/>
                </w:tcPr>
                <w:p w14:paraId="4258BA09">
                  <w:pPr>
                    <w:jc w:val="center"/>
                    <w:rPr>
                      <w:color w:val="auto"/>
                      <w:sz w:val="18"/>
                      <w:szCs w:val="18"/>
                      <w:highlight w:val="none"/>
                    </w:rPr>
                  </w:pPr>
                  <w:r>
                    <w:rPr>
                      <w:color w:val="auto"/>
                      <w:sz w:val="18"/>
                      <w:szCs w:val="18"/>
                      <w:highlight w:val="none"/>
                    </w:rPr>
                    <w:t>上牵埠闸</w:t>
                  </w:r>
                </w:p>
              </w:tc>
              <w:tc>
                <w:tcPr>
                  <w:tcW w:w="277" w:type="pct"/>
                  <w:tcBorders>
                    <w:tl2br w:val="nil"/>
                    <w:tr2bl w:val="nil"/>
                  </w:tcBorders>
                  <w:vAlign w:val="center"/>
                </w:tcPr>
                <w:p w14:paraId="31B744EA">
                  <w:pPr>
                    <w:autoSpaceDE w:val="0"/>
                    <w:autoSpaceDN w:val="0"/>
                    <w:adjustRightInd w:val="0"/>
                    <w:jc w:val="center"/>
                    <w:rPr>
                      <w:color w:val="auto"/>
                      <w:sz w:val="18"/>
                      <w:szCs w:val="18"/>
                      <w:highlight w:val="none"/>
                    </w:rPr>
                  </w:pPr>
                  <w:r>
                    <w:rPr>
                      <w:rFonts w:hint="default" w:ascii="Times New Roman" w:hAnsi="Times New Roman" w:cs="Times New Roman"/>
                      <w:color w:val="auto"/>
                      <w:sz w:val="18"/>
                      <w:szCs w:val="18"/>
                      <w:highlight w:val="none"/>
                    </w:rPr>
                    <w:t>Ⅲ</w:t>
                  </w:r>
                </w:p>
              </w:tc>
            </w:tr>
            <w:tr w14:paraId="6EC6B2C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jc w:val="center"/>
              </w:trPr>
              <w:tc>
                <w:tcPr>
                  <w:tcW w:w="349" w:type="pct"/>
                  <w:tcBorders>
                    <w:tl2br w:val="nil"/>
                    <w:tr2bl w:val="nil"/>
                  </w:tcBorders>
                  <w:vAlign w:val="center"/>
                </w:tcPr>
                <w:p w14:paraId="76A233B0">
                  <w:pPr>
                    <w:autoSpaceDE w:val="0"/>
                    <w:autoSpaceDN w:val="0"/>
                    <w:adjustRightInd w:val="0"/>
                    <w:jc w:val="center"/>
                    <w:rPr>
                      <w:color w:val="auto"/>
                      <w:sz w:val="18"/>
                      <w:szCs w:val="18"/>
                      <w:highlight w:val="none"/>
                    </w:rPr>
                  </w:pPr>
                  <w:r>
                    <w:rPr>
                      <w:color w:val="auto"/>
                      <w:sz w:val="18"/>
                      <w:szCs w:val="18"/>
                      <w:highlight w:val="none"/>
                    </w:rPr>
                    <w:t>杭嘉湖34</w:t>
                  </w:r>
                </w:p>
              </w:tc>
              <w:tc>
                <w:tcPr>
                  <w:tcW w:w="405" w:type="pct"/>
                  <w:tcBorders>
                    <w:tl2br w:val="nil"/>
                    <w:tr2bl w:val="nil"/>
                  </w:tcBorders>
                  <w:vAlign w:val="center"/>
                </w:tcPr>
                <w:p w14:paraId="52172ECD">
                  <w:pPr>
                    <w:autoSpaceDE w:val="0"/>
                    <w:autoSpaceDN w:val="0"/>
                    <w:adjustRightInd w:val="0"/>
                    <w:jc w:val="center"/>
                    <w:rPr>
                      <w:color w:val="auto"/>
                      <w:sz w:val="18"/>
                      <w:szCs w:val="18"/>
                      <w:highlight w:val="none"/>
                    </w:rPr>
                  </w:pPr>
                  <w:r>
                    <w:rPr>
                      <w:color w:val="auto"/>
                      <w:sz w:val="18"/>
                      <w:szCs w:val="18"/>
                      <w:highlight w:val="none"/>
                    </w:rPr>
                    <w:t>良渚港（含毛家漾港、九曲港）</w:t>
                  </w:r>
                </w:p>
              </w:tc>
              <w:tc>
                <w:tcPr>
                  <w:tcW w:w="453" w:type="pct"/>
                  <w:tcBorders>
                    <w:tl2br w:val="nil"/>
                    <w:tr2bl w:val="nil"/>
                  </w:tcBorders>
                  <w:vAlign w:val="center"/>
                </w:tcPr>
                <w:p w14:paraId="69BD6FF6">
                  <w:pPr>
                    <w:autoSpaceDE w:val="0"/>
                    <w:autoSpaceDN w:val="0"/>
                    <w:adjustRightInd w:val="0"/>
                    <w:jc w:val="center"/>
                    <w:rPr>
                      <w:color w:val="auto"/>
                      <w:sz w:val="18"/>
                      <w:szCs w:val="18"/>
                      <w:highlight w:val="none"/>
                    </w:rPr>
                  </w:pPr>
                  <w:r>
                    <w:rPr>
                      <w:color w:val="auto"/>
                      <w:sz w:val="18"/>
                      <w:szCs w:val="18"/>
                      <w:highlight w:val="none"/>
                    </w:rPr>
                    <w:t>F1203</w:t>
                  </w:r>
                </w:p>
                <w:p w14:paraId="532BEE8C">
                  <w:pPr>
                    <w:autoSpaceDE w:val="0"/>
                    <w:autoSpaceDN w:val="0"/>
                    <w:adjustRightInd w:val="0"/>
                    <w:jc w:val="center"/>
                    <w:rPr>
                      <w:color w:val="auto"/>
                      <w:sz w:val="18"/>
                      <w:szCs w:val="18"/>
                      <w:highlight w:val="none"/>
                    </w:rPr>
                  </w:pPr>
                  <w:r>
                    <w:rPr>
                      <w:color w:val="auto"/>
                      <w:sz w:val="18"/>
                      <w:szCs w:val="18"/>
                      <w:highlight w:val="none"/>
                    </w:rPr>
                    <w:t>1020</w:t>
                  </w:r>
                </w:p>
                <w:p w14:paraId="2A77E7FB">
                  <w:pPr>
                    <w:autoSpaceDE w:val="0"/>
                    <w:autoSpaceDN w:val="0"/>
                    <w:adjustRightInd w:val="0"/>
                    <w:jc w:val="center"/>
                    <w:rPr>
                      <w:color w:val="auto"/>
                      <w:sz w:val="18"/>
                      <w:szCs w:val="18"/>
                      <w:highlight w:val="none"/>
                    </w:rPr>
                  </w:pPr>
                  <w:r>
                    <w:rPr>
                      <w:color w:val="auto"/>
                      <w:sz w:val="18"/>
                      <w:szCs w:val="18"/>
                      <w:highlight w:val="none"/>
                    </w:rPr>
                    <w:t>03013</w:t>
                  </w:r>
                </w:p>
              </w:tc>
              <w:tc>
                <w:tcPr>
                  <w:tcW w:w="513" w:type="pct"/>
                  <w:tcBorders>
                    <w:tl2br w:val="nil"/>
                    <w:tr2bl w:val="nil"/>
                  </w:tcBorders>
                  <w:vAlign w:val="center"/>
                </w:tcPr>
                <w:p w14:paraId="68DECEED">
                  <w:pPr>
                    <w:autoSpaceDE w:val="0"/>
                    <w:autoSpaceDN w:val="0"/>
                    <w:adjustRightInd w:val="0"/>
                    <w:jc w:val="center"/>
                    <w:rPr>
                      <w:color w:val="auto"/>
                      <w:sz w:val="18"/>
                      <w:szCs w:val="18"/>
                      <w:highlight w:val="none"/>
                    </w:rPr>
                  </w:pPr>
                  <w:r>
                    <w:rPr>
                      <w:color w:val="auto"/>
                      <w:sz w:val="18"/>
                      <w:szCs w:val="18"/>
                      <w:highlight w:val="none"/>
                    </w:rPr>
                    <w:t>良渚港（含毛家漾港、九曲港）余杭农业、工业用水区</w:t>
                  </w:r>
                </w:p>
              </w:tc>
              <w:tc>
                <w:tcPr>
                  <w:tcW w:w="428" w:type="pct"/>
                  <w:tcBorders>
                    <w:tl2br w:val="nil"/>
                    <w:tr2bl w:val="nil"/>
                  </w:tcBorders>
                  <w:vAlign w:val="center"/>
                </w:tcPr>
                <w:p w14:paraId="1BAAE653">
                  <w:pPr>
                    <w:autoSpaceDE w:val="0"/>
                    <w:autoSpaceDN w:val="0"/>
                    <w:adjustRightInd w:val="0"/>
                    <w:jc w:val="center"/>
                    <w:rPr>
                      <w:color w:val="auto"/>
                      <w:sz w:val="18"/>
                      <w:szCs w:val="18"/>
                      <w:highlight w:val="none"/>
                    </w:rPr>
                  </w:pPr>
                  <w:r>
                    <w:rPr>
                      <w:color w:val="auto"/>
                      <w:sz w:val="18"/>
                      <w:szCs w:val="18"/>
                      <w:highlight w:val="none"/>
                    </w:rPr>
                    <w:t>330110F</w:t>
                  </w:r>
                </w:p>
                <w:p w14:paraId="75FEDCF1">
                  <w:pPr>
                    <w:autoSpaceDE w:val="0"/>
                    <w:autoSpaceDN w:val="0"/>
                    <w:adjustRightInd w:val="0"/>
                    <w:jc w:val="center"/>
                    <w:rPr>
                      <w:color w:val="auto"/>
                      <w:sz w:val="18"/>
                      <w:szCs w:val="18"/>
                      <w:highlight w:val="none"/>
                    </w:rPr>
                  </w:pPr>
                  <w:r>
                    <w:rPr>
                      <w:color w:val="auto"/>
                      <w:sz w:val="18"/>
                      <w:szCs w:val="18"/>
                      <w:highlight w:val="none"/>
                    </w:rPr>
                    <w:t>M22010</w:t>
                  </w:r>
                </w:p>
                <w:p w14:paraId="25607395">
                  <w:pPr>
                    <w:autoSpaceDE w:val="0"/>
                    <w:autoSpaceDN w:val="0"/>
                    <w:adjustRightInd w:val="0"/>
                    <w:jc w:val="center"/>
                    <w:rPr>
                      <w:color w:val="auto"/>
                      <w:sz w:val="18"/>
                      <w:szCs w:val="18"/>
                      <w:highlight w:val="none"/>
                    </w:rPr>
                  </w:pPr>
                  <w:r>
                    <w:rPr>
                      <w:color w:val="auto"/>
                      <w:sz w:val="18"/>
                      <w:szCs w:val="18"/>
                      <w:highlight w:val="none"/>
                    </w:rPr>
                    <w:t>7000150</w:t>
                  </w:r>
                </w:p>
              </w:tc>
              <w:tc>
                <w:tcPr>
                  <w:tcW w:w="513" w:type="pct"/>
                  <w:tcBorders>
                    <w:tl2br w:val="nil"/>
                    <w:tr2bl w:val="nil"/>
                  </w:tcBorders>
                  <w:vAlign w:val="center"/>
                </w:tcPr>
                <w:p w14:paraId="329DEB9A">
                  <w:pPr>
                    <w:autoSpaceDE w:val="0"/>
                    <w:autoSpaceDN w:val="0"/>
                    <w:adjustRightInd w:val="0"/>
                    <w:jc w:val="center"/>
                    <w:rPr>
                      <w:color w:val="auto"/>
                      <w:sz w:val="18"/>
                      <w:szCs w:val="18"/>
                      <w:highlight w:val="none"/>
                    </w:rPr>
                  </w:pPr>
                  <w:r>
                    <w:rPr>
                      <w:color w:val="auto"/>
                      <w:sz w:val="18"/>
                      <w:szCs w:val="18"/>
                      <w:highlight w:val="none"/>
                    </w:rPr>
                    <w:t>农业、工业用水区</w:t>
                  </w:r>
                </w:p>
              </w:tc>
              <w:tc>
                <w:tcPr>
                  <w:tcW w:w="343" w:type="pct"/>
                  <w:tcBorders>
                    <w:tl2br w:val="nil"/>
                    <w:tr2bl w:val="nil"/>
                  </w:tcBorders>
                  <w:vAlign w:val="center"/>
                </w:tcPr>
                <w:p w14:paraId="26F8E264">
                  <w:pPr>
                    <w:autoSpaceDE w:val="0"/>
                    <w:autoSpaceDN w:val="0"/>
                    <w:adjustRightInd w:val="0"/>
                    <w:jc w:val="center"/>
                    <w:rPr>
                      <w:color w:val="auto"/>
                      <w:sz w:val="18"/>
                      <w:szCs w:val="18"/>
                      <w:highlight w:val="none"/>
                    </w:rPr>
                  </w:pPr>
                  <w:r>
                    <w:rPr>
                      <w:color w:val="auto"/>
                      <w:sz w:val="18"/>
                      <w:szCs w:val="18"/>
                      <w:highlight w:val="none"/>
                    </w:rPr>
                    <w:t>太湖</w:t>
                  </w:r>
                </w:p>
              </w:tc>
              <w:tc>
                <w:tcPr>
                  <w:tcW w:w="341" w:type="pct"/>
                  <w:tcBorders>
                    <w:tl2br w:val="nil"/>
                    <w:tr2bl w:val="nil"/>
                  </w:tcBorders>
                  <w:vAlign w:val="center"/>
                </w:tcPr>
                <w:p w14:paraId="0F8D19D8">
                  <w:pPr>
                    <w:autoSpaceDE w:val="0"/>
                    <w:autoSpaceDN w:val="0"/>
                    <w:adjustRightInd w:val="0"/>
                    <w:jc w:val="center"/>
                    <w:rPr>
                      <w:color w:val="auto"/>
                      <w:sz w:val="18"/>
                      <w:szCs w:val="18"/>
                      <w:highlight w:val="none"/>
                    </w:rPr>
                  </w:pPr>
                  <w:r>
                    <w:rPr>
                      <w:color w:val="auto"/>
                      <w:sz w:val="18"/>
                      <w:szCs w:val="18"/>
                      <w:highlight w:val="none"/>
                    </w:rPr>
                    <w:t>杭嘉湖平原河网</w:t>
                  </w:r>
                </w:p>
              </w:tc>
              <w:tc>
                <w:tcPr>
                  <w:tcW w:w="740" w:type="pct"/>
                  <w:tcBorders>
                    <w:tl2br w:val="nil"/>
                    <w:tr2bl w:val="nil"/>
                  </w:tcBorders>
                  <w:vAlign w:val="center"/>
                </w:tcPr>
                <w:p w14:paraId="388EB311">
                  <w:pPr>
                    <w:autoSpaceDE w:val="0"/>
                    <w:autoSpaceDN w:val="0"/>
                    <w:adjustRightInd w:val="0"/>
                    <w:jc w:val="center"/>
                    <w:rPr>
                      <w:color w:val="auto"/>
                      <w:sz w:val="18"/>
                      <w:szCs w:val="18"/>
                      <w:highlight w:val="none"/>
                    </w:rPr>
                  </w:pPr>
                  <w:r>
                    <w:rPr>
                      <w:color w:val="auto"/>
                      <w:sz w:val="18"/>
                      <w:szCs w:val="18"/>
                      <w:highlight w:val="none"/>
                    </w:rPr>
                    <w:t>西塘河魏塘</w:t>
                  </w:r>
                </w:p>
              </w:tc>
              <w:tc>
                <w:tcPr>
                  <w:tcW w:w="638" w:type="pct"/>
                  <w:tcBorders>
                    <w:tl2br w:val="nil"/>
                    <w:tr2bl w:val="nil"/>
                  </w:tcBorders>
                  <w:vAlign w:val="center"/>
                </w:tcPr>
                <w:p w14:paraId="3A0DE562">
                  <w:pPr>
                    <w:autoSpaceDE w:val="0"/>
                    <w:autoSpaceDN w:val="0"/>
                    <w:adjustRightInd w:val="0"/>
                    <w:jc w:val="center"/>
                    <w:rPr>
                      <w:color w:val="auto"/>
                      <w:sz w:val="18"/>
                      <w:szCs w:val="18"/>
                      <w:highlight w:val="none"/>
                    </w:rPr>
                  </w:pPr>
                  <w:r>
                    <w:rPr>
                      <w:color w:val="auto"/>
                      <w:sz w:val="18"/>
                      <w:szCs w:val="18"/>
                      <w:highlight w:val="none"/>
                    </w:rPr>
                    <w:t>余杭塘河长桥</w:t>
                  </w:r>
                </w:p>
              </w:tc>
              <w:tc>
                <w:tcPr>
                  <w:tcW w:w="277" w:type="pct"/>
                  <w:tcBorders>
                    <w:tl2br w:val="nil"/>
                    <w:tr2bl w:val="nil"/>
                  </w:tcBorders>
                  <w:vAlign w:val="center"/>
                </w:tcPr>
                <w:p w14:paraId="7F45D260">
                  <w:pPr>
                    <w:autoSpaceDE w:val="0"/>
                    <w:autoSpaceDN w:val="0"/>
                    <w:adjustRightInd w:val="0"/>
                    <w:jc w:val="center"/>
                    <w:rPr>
                      <w:color w:val="auto"/>
                      <w:sz w:val="18"/>
                      <w:szCs w:val="18"/>
                      <w:highlight w:val="none"/>
                    </w:rPr>
                  </w:pPr>
                  <w:r>
                    <w:rPr>
                      <w:rFonts w:hint="default" w:ascii="Times New Roman" w:hAnsi="Times New Roman" w:cs="Times New Roman"/>
                      <w:color w:val="auto"/>
                      <w:sz w:val="18"/>
                      <w:szCs w:val="18"/>
                      <w:highlight w:val="none"/>
                    </w:rPr>
                    <w:t>Ⅲ</w:t>
                  </w:r>
                </w:p>
              </w:tc>
            </w:tr>
          </w:tbl>
          <w:p w14:paraId="3F769814">
            <w:pPr>
              <w:widowControl/>
              <w:autoSpaceDE w:val="0"/>
              <w:autoSpaceDN w:val="0"/>
              <w:adjustRightInd w:val="0"/>
              <w:spacing w:line="360" w:lineRule="auto"/>
              <w:jc w:val="center"/>
              <w:rPr>
                <w:color w:val="auto"/>
                <w:kern w:val="0"/>
                <w:highlight w:val="none"/>
              </w:rPr>
            </w:pPr>
          </w:p>
          <w:p w14:paraId="4D4D938E">
            <w:pPr>
              <w:autoSpaceDE w:val="0"/>
              <w:autoSpaceDN w:val="0"/>
              <w:adjustRightInd w:val="0"/>
              <w:spacing w:line="360" w:lineRule="auto"/>
              <w:ind w:firstLine="420" w:firstLineChars="200"/>
              <w:rPr>
                <w:kern w:val="0"/>
                <w:szCs w:val="21"/>
              </w:rPr>
            </w:pPr>
            <w:r>
              <w:rPr>
                <w:kern w:val="0"/>
                <w:szCs w:val="21"/>
              </w:rPr>
              <w:t>为了解项目拟建区域周边地表水及纳污水体环境质量现状，本环评</w:t>
            </w:r>
            <w:r>
              <w:rPr>
                <w:rFonts w:hint="eastAsia"/>
                <w:kern w:val="0"/>
                <w:szCs w:val="21"/>
              </w:rPr>
              <w:t>引用</w:t>
            </w:r>
            <w:r>
              <w:rPr>
                <w:rFonts w:hint="eastAsia"/>
                <w:szCs w:val="21"/>
              </w:rPr>
              <w:t>杭州市生态环境局</w:t>
            </w:r>
            <w:r>
              <w:rPr>
                <w:rFonts w:hint="eastAsia"/>
                <w:szCs w:val="21"/>
                <w:lang w:val="en-US" w:eastAsia="zh-CN"/>
              </w:rPr>
              <w:t>余杭分局</w:t>
            </w:r>
            <w:r>
              <w:rPr>
                <w:rFonts w:hint="eastAsia"/>
                <w:szCs w:val="21"/>
              </w:rPr>
              <w:t>发布的《</w:t>
            </w:r>
            <w:r>
              <w:rPr>
                <w:szCs w:val="21"/>
              </w:rPr>
              <w:t>202</w:t>
            </w:r>
            <w:r>
              <w:rPr>
                <w:rFonts w:hint="eastAsia"/>
                <w:szCs w:val="21"/>
                <w:lang w:val="en-US" w:eastAsia="zh-CN"/>
              </w:rPr>
              <w:t>5</w:t>
            </w:r>
            <w:r>
              <w:rPr>
                <w:rFonts w:hint="eastAsia"/>
                <w:szCs w:val="21"/>
              </w:rPr>
              <w:t>年杭州市</w:t>
            </w:r>
            <w:r>
              <w:rPr>
                <w:rFonts w:hint="eastAsia"/>
                <w:szCs w:val="21"/>
                <w:lang w:val="en-US" w:eastAsia="zh-CN"/>
              </w:rPr>
              <w:t>余杭区</w:t>
            </w:r>
            <w:r>
              <w:rPr>
                <w:rFonts w:hint="eastAsia"/>
                <w:szCs w:val="21"/>
              </w:rPr>
              <w:t>生态环境状况公报》的相关结论如下：</w:t>
            </w:r>
          </w:p>
          <w:p w14:paraId="0A9F527F">
            <w:pPr>
              <w:autoSpaceDE w:val="0"/>
              <w:autoSpaceDN w:val="0"/>
              <w:adjustRightInd w:val="0"/>
              <w:spacing w:line="360" w:lineRule="auto"/>
              <w:ind w:firstLine="420" w:firstLineChars="200"/>
              <w:rPr>
                <w:rFonts w:ascii="Times New Roman" w:hAnsi="Times New Roman" w:cs="Times New Roman"/>
                <w:szCs w:val="21"/>
              </w:rPr>
            </w:pPr>
            <w:r>
              <w:rPr>
                <w:rFonts w:hint="eastAsia"/>
                <w:szCs w:val="21"/>
              </w:rPr>
              <w:t>（</w:t>
            </w:r>
            <w:r>
              <w:rPr>
                <w:rFonts w:hint="default" w:ascii="Times New Roman" w:hAnsi="Times New Roman" w:cs="Times New Roman"/>
                <w:szCs w:val="21"/>
              </w:rPr>
              <w:t>一）两大流域水系</w:t>
            </w:r>
          </w:p>
          <w:p w14:paraId="403E0B15">
            <w:pPr>
              <w:autoSpaceDE w:val="0"/>
              <w:autoSpaceDN w:val="0"/>
              <w:adjustRightInd w:val="0"/>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2025年，余杭区两大流域苕溪、运河总体水质分别为II类、Ⅲ类，均达到功能区要求。区控及以上12个断面水质Ⅰ-Ⅲ类比例为100%，断面达到功能区要求为100%，保持稳定。</w:t>
            </w:r>
          </w:p>
          <w:p w14:paraId="690E1608">
            <w:pPr>
              <w:autoSpaceDE w:val="0"/>
              <w:autoSpaceDN w:val="0"/>
              <w:adjustRightInd w:val="0"/>
              <w:spacing w:line="360" w:lineRule="auto"/>
              <w:ind w:firstLine="420" w:firstLineChars="200"/>
              <w:rPr>
                <w:rFonts w:ascii="Times New Roman" w:hAnsi="Times New Roman" w:cs="Times New Roman"/>
                <w:szCs w:val="21"/>
              </w:rPr>
            </w:pPr>
            <w:r>
              <w:rPr>
                <w:rFonts w:hint="default" w:ascii="Times New Roman" w:hAnsi="Times New Roman" w:cs="Times New Roman"/>
                <w:szCs w:val="21"/>
              </w:rPr>
              <w:t>（二）乡镇交接断面河流</w:t>
            </w:r>
          </w:p>
          <w:p w14:paraId="0453E1B2">
            <w:pPr>
              <w:autoSpaceDE w:val="0"/>
              <w:autoSpaceDN w:val="0"/>
              <w:adjustRightInd w:val="0"/>
              <w:spacing w:line="360" w:lineRule="auto"/>
              <w:ind w:firstLine="420" w:firstLineChars="200"/>
              <w:rPr>
                <w:rFonts w:hint="eastAsia"/>
                <w:szCs w:val="21"/>
              </w:rPr>
            </w:pPr>
            <w:r>
              <w:rPr>
                <w:rFonts w:hint="default" w:ascii="Times New Roman" w:hAnsi="Times New Roman" w:cs="Times New Roman"/>
                <w:szCs w:val="21"/>
              </w:rPr>
              <w:t>2025年，全区41条乡镇交接断面河流水质为Ⅲ类及以上的有24条（占比58.5％），Ⅳ类有7条（占比17.1％），Ⅴ类有7条（占比17.1％），劣Ⅴ类有3条（占比7.3％）。</w:t>
            </w:r>
          </w:p>
          <w:p w14:paraId="5CFD7F6D">
            <w:pPr>
              <w:autoSpaceDE w:val="0"/>
              <w:autoSpaceDN w:val="0"/>
              <w:adjustRightInd w:val="0"/>
              <w:spacing w:line="360" w:lineRule="auto"/>
              <w:ind w:firstLine="420" w:firstLineChars="200"/>
              <w:rPr>
                <w:szCs w:val="21"/>
              </w:rPr>
            </w:pPr>
            <w:r>
              <w:rPr>
                <w:rFonts w:hint="eastAsia"/>
                <w:szCs w:val="21"/>
              </w:rPr>
              <w:t>（三）饮用水水源地</w:t>
            </w:r>
          </w:p>
          <w:p w14:paraId="28746127">
            <w:pPr>
              <w:autoSpaceDE w:val="0"/>
              <w:autoSpaceDN w:val="0"/>
              <w:adjustRightInd w:val="0"/>
              <w:spacing w:line="360" w:lineRule="auto"/>
              <w:ind w:firstLine="420" w:firstLineChars="200"/>
              <w:rPr>
                <w:color w:val="auto"/>
                <w:szCs w:val="21"/>
                <w:highlight w:val="none"/>
              </w:rPr>
            </w:pPr>
            <w:r>
              <w:rPr>
                <w:rFonts w:hint="eastAsia"/>
                <w:szCs w:val="21"/>
              </w:rPr>
              <w:t>2025年，全区饮用水水源地水质保持良好，集中式饮用水水源地东苕溪杭州、闲林水库、四岭水库（千吨万人饮用水水源地）水质达标率均为100%</w:t>
            </w:r>
            <w:r>
              <w:rPr>
                <w:rFonts w:hint="eastAsia"/>
                <w:szCs w:val="21"/>
                <w:lang w:eastAsia="zh-CN"/>
              </w:rPr>
              <w:t>。</w:t>
            </w:r>
          </w:p>
          <w:p w14:paraId="12C4DAE6">
            <w:pPr>
              <w:adjustRightInd w:val="0"/>
              <w:snapToGrid w:val="0"/>
              <w:spacing w:line="360" w:lineRule="auto"/>
              <w:rPr>
                <w:rFonts w:hint="default" w:eastAsia="宋体"/>
                <w:b/>
                <w:color w:val="auto"/>
                <w:kern w:val="0"/>
                <w:szCs w:val="21"/>
                <w:highlight w:val="none"/>
                <w:lang w:eastAsia="zh-CN"/>
              </w:rPr>
            </w:pPr>
            <w:r>
              <w:rPr>
                <w:b/>
                <w:color w:val="auto"/>
                <w:kern w:val="0"/>
                <w:sz w:val="22"/>
                <w:szCs w:val="22"/>
                <w:highlight w:val="none"/>
              </w:rPr>
              <w:t>3.</w:t>
            </w:r>
            <w:r>
              <w:rPr>
                <w:rFonts w:hint="default"/>
                <w:b/>
                <w:color w:val="auto"/>
                <w:kern w:val="0"/>
                <w:sz w:val="22"/>
                <w:szCs w:val="22"/>
                <w:highlight w:val="none"/>
              </w:rPr>
              <w:t>1.</w:t>
            </w:r>
            <w:r>
              <w:rPr>
                <w:b/>
                <w:color w:val="auto"/>
                <w:kern w:val="0"/>
                <w:sz w:val="22"/>
                <w:szCs w:val="22"/>
                <w:highlight w:val="none"/>
              </w:rPr>
              <w:t>3</w:t>
            </w:r>
            <w:r>
              <w:rPr>
                <w:rFonts w:hint="default"/>
                <w:b/>
                <w:color w:val="auto"/>
                <w:kern w:val="0"/>
                <w:sz w:val="22"/>
                <w:szCs w:val="22"/>
                <w:highlight w:val="none"/>
                <w:lang w:val="en-US" w:eastAsia="zh-CN"/>
              </w:rPr>
              <w:t xml:space="preserve"> </w:t>
            </w:r>
            <w:r>
              <w:rPr>
                <w:rFonts w:hint="default"/>
                <w:b/>
                <w:color w:val="auto"/>
                <w:kern w:val="0"/>
                <w:sz w:val="22"/>
                <w:szCs w:val="22"/>
                <w:highlight w:val="none"/>
              </w:rPr>
              <w:t xml:space="preserve"> </w:t>
            </w:r>
            <w:r>
              <w:rPr>
                <w:b/>
                <w:color w:val="auto"/>
                <w:kern w:val="0"/>
                <w:sz w:val="22"/>
                <w:szCs w:val="22"/>
                <w:highlight w:val="none"/>
              </w:rPr>
              <w:t>声环境</w:t>
            </w:r>
          </w:p>
          <w:p w14:paraId="2F5848DE">
            <w:pPr>
              <w:spacing w:line="360" w:lineRule="auto"/>
              <w:ind w:firstLine="420" w:firstLineChars="200"/>
              <w:rPr>
                <w:rFonts w:hint="default" w:eastAsia="宋体"/>
                <w:color w:val="auto"/>
                <w:highlight w:val="none"/>
                <w:lang w:val="en-US" w:eastAsia="zh-CN"/>
              </w:rPr>
            </w:pPr>
            <w:r>
              <w:rPr>
                <w:rFonts w:hint="default"/>
                <w:color w:val="auto"/>
                <w:highlight w:val="none"/>
              </w:rPr>
              <w:t>根据《杭州市余杭区声环境功能区划定方案（2021年修订版）》，本项目所在地为3类声环境功能区</w:t>
            </w:r>
            <w:r>
              <w:rPr>
                <w:rFonts w:hint="default"/>
                <w:color w:val="auto"/>
                <w:highlight w:val="none"/>
                <w:lang w:eastAsia="zh-CN"/>
              </w:rPr>
              <w:t>；</w:t>
            </w:r>
            <w:r>
              <w:rPr>
                <w:rFonts w:hint="default"/>
                <w:color w:val="auto"/>
                <w:highlight w:val="none"/>
              </w:rPr>
              <w:t>且厂界周边50m范围内</w:t>
            </w:r>
            <w:r>
              <w:rPr>
                <w:rFonts w:hint="default"/>
                <w:color w:val="auto"/>
                <w:highlight w:val="none"/>
                <w:lang w:eastAsia="zh-CN"/>
              </w:rPr>
              <w:t>的</w:t>
            </w:r>
            <w:r>
              <w:rPr>
                <w:rFonts w:hint="default"/>
                <w:color w:val="auto"/>
                <w:highlight w:val="none"/>
              </w:rPr>
              <w:t>声环境保护目标</w:t>
            </w:r>
            <w:r>
              <w:rPr>
                <w:rFonts w:hint="default"/>
                <w:color w:val="auto"/>
                <w:highlight w:val="none"/>
                <w:lang w:val="en-US" w:eastAsia="zh-CN"/>
              </w:rPr>
              <w:t>为南侧相邻的洛山社区党群服务中心</w:t>
            </w:r>
            <w:r>
              <w:rPr>
                <w:rFonts w:hint="default"/>
                <w:color w:val="auto"/>
                <w:highlight w:val="none"/>
              </w:rPr>
              <w:t>，根据《建设项目环境影响报告表编制技术指南（污染影响类）（试行）》，</w:t>
            </w:r>
            <w:r>
              <w:rPr>
                <w:rFonts w:hint="default"/>
                <w:color w:val="auto"/>
                <w:highlight w:val="none"/>
                <w:lang w:val="en-US" w:eastAsia="zh-CN"/>
              </w:rPr>
              <w:t>需要</w:t>
            </w:r>
            <w:r>
              <w:rPr>
                <w:rFonts w:hint="default"/>
                <w:color w:val="auto"/>
                <w:highlight w:val="none"/>
              </w:rPr>
              <w:t>开展声环境质量现状监测。</w:t>
            </w:r>
            <w:r>
              <w:rPr>
                <w:rFonts w:hint="default"/>
                <w:color w:val="auto"/>
                <w:highlight w:val="none"/>
                <w:lang w:val="en-US" w:eastAsia="zh-CN"/>
              </w:rPr>
              <w:t>监测布点方案见附图11，监测结果见表3-</w:t>
            </w:r>
            <w:r>
              <w:rPr>
                <w:rFonts w:hint="eastAsia"/>
                <w:color w:val="auto"/>
                <w:highlight w:val="none"/>
                <w:lang w:val="en-US" w:eastAsia="zh-CN"/>
              </w:rPr>
              <w:t>4</w:t>
            </w:r>
            <w:r>
              <w:rPr>
                <w:rFonts w:hint="default"/>
                <w:color w:val="auto"/>
                <w:highlight w:val="none"/>
                <w:lang w:val="en-US" w:eastAsia="zh-CN"/>
              </w:rPr>
              <w:t>。</w:t>
            </w:r>
          </w:p>
          <w:p w14:paraId="61184E32">
            <w:pPr>
              <w:pStyle w:val="14"/>
              <w:widowControl/>
              <w:numPr>
                <w:ilvl w:val="0"/>
                <w:numId w:val="4"/>
              </w:numPr>
              <w:tabs>
                <w:tab w:val="left" w:pos="4515"/>
                <w:tab w:val="left" w:pos="5883"/>
                <w:tab w:val="left" w:pos="8718"/>
              </w:tabs>
              <w:adjustRightInd w:val="0"/>
              <w:snapToGrid w:val="0"/>
              <w:spacing w:line="360" w:lineRule="auto"/>
              <w:ind w:firstLineChars="200"/>
              <w:jc w:val="center"/>
              <w:rPr>
                <w:rFonts w:ascii="Times New Roman" w:hAnsi="Times New Roman" w:cs="Times New Roman"/>
                <w:color w:val="auto"/>
                <w:highlight w:val="none"/>
              </w:rPr>
            </w:pPr>
            <w:r>
              <w:rPr>
                <w:rFonts w:hint="default" w:ascii="Times New Roman" w:hAnsi="Times New Roman" w:eastAsia="黑体" w:cs="Times New Roman"/>
                <w:b w:val="0"/>
                <w:bCs/>
                <w:color w:val="auto"/>
                <w:highlight w:val="none"/>
                <w:lang w:val="en-US" w:eastAsia="zh-CN"/>
              </w:rPr>
              <w:t xml:space="preserve"> 声环境质量现状</w:t>
            </w:r>
            <w:r>
              <w:rPr>
                <w:rFonts w:hint="default" w:ascii="Times New Roman" w:hAnsi="Times New Roman" w:eastAsia="黑体" w:cs="Times New Roman"/>
                <w:b w:val="0"/>
                <w:bCs/>
                <w:color w:val="auto"/>
                <w:highlight w:val="none"/>
              </w:rPr>
              <w:t>监测结果一览表</w:t>
            </w:r>
          </w:p>
          <w:tbl>
            <w:tblPr>
              <w:tblStyle w:val="24"/>
              <w:tblW w:w="4979"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112"/>
              <w:gridCol w:w="1116"/>
              <w:gridCol w:w="1117"/>
              <w:gridCol w:w="1117"/>
              <w:gridCol w:w="1798"/>
              <w:gridCol w:w="1860"/>
            </w:tblGrid>
            <w:tr w14:paraId="2586DE9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85" w:type="pct"/>
                  <w:vMerge w:val="restart"/>
                  <w:tcBorders>
                    <w:tl2br w:val="nil"/>
                    <w:tr2bl w:val="nil"/>
                  </w:tcBorders>
                  <w:noWrap w:val="0"/>
                  <w:vAlign w:val="center"/>
                </w:tcPr>
                <w:p w14:paraId="5C630A37">
                  <w:pPr>
                    <w:jc w:val="center"/>
                    <w:rPr>
                      <w:rFonts w:hint="default" w:ascii="Times New Roman" w:hAnsi="Times New Roman" w:eastAsia="宋体" w:cs="Times New Roman"/>
                      <w:b w:val="0"/>
                      <w:bCs w:val="0"/>
                      <w:snapToGrid w:val="0"/>
                      <w:color w:val="auto"/>
                      <w:kern w:val="0"/>
                      <w:sz w:val="18"/>
                      <w:szCs w:val="18"/>
                      <w:highlight w:val="none"/>
                    </w:rPr>
                  </w:pPr>
                  <w:r>
                    <w:rPr>
                      <w:rFonts w:hint="default" w:ascii="Times New Roman" w:hAnsi="Times New Roman" w:eastAsia="宋体" w:cs="Times New Roman"/>
                      <w:b w:val="0"/>
                      <w:bCs w:val="0"/>
                      <w:snapToGrid w:val="0"/>
                      <w:color w:val="auto"/>
                      <w:kern w:val="0"/>
                      <w:sz w:val="18"/>
                      <w:szCs w:val="18"/>
                      <w:highlight w:val="none"/>
                    </w:rPr>
                    <w:t>测点名称</w:t>
                  </w:r>
                </w:p>
              </w:tc>
              <w:tc>
                <w:tcPr>
                  <w:tcW w:w="687" w:type="pct"/>
                  <w:vMerge w:val="restart"/>
                  <w:tcBorders>
                    <w:tl2br w:val="nil"/>
                    <w:tr2bl w:val="nil"/>
                  </w:tcBorders>
                  <w:noWrap w:val="0"/>
                  <w:vAlign w:val="center"/>
                </w:tcPr>
                <w:p w14:paraId="0EE15834">
                  <w:pPr>
                    <w:jc w:val="center"/>
                    <w:rPr>
                      <w:rFonts w:hint="default" w:ascii="Times New Roman" w:hAnsi="Times New Roman" w:eastAsia="宋体" w:cs="Times New Roman"/>
                      <w:b w:val="0"/>
                      <w:bCs w:val="0"/>
                      <w:snapToGrid w:val="0"/>
                      <w:color w:val="auto"/>
                      <w:kern w:val="0"/>
                      <w:sz w:val="18"/>
                      <w:szCs w:val="18"/>
                      <w:highlight w:val="none"/>
                    </w:rPr>
                  </w:pPr>
                  <w:r>
                    <w:rPr>
                      <w:rFonts w:hint="default" w:ascii="Times New Roman" w:hAnsi="Times New Roman" w:eastAsia="宋体" w:cs="Times New Roman"/>
                      <w:b w:val="0"/>
                      <w:bCs w:val="0"/>
                      <w:snapToGrid w:val="0"/>
                      <w:color w:val="auto"/>
                      <w:kern w:val="0"/>
                      <w:sz w:val="18"/>
                      <w:szCs w:val="18"/>
                      <w:highlight w:val="none"/>
                    </w:rPr>
                    <w:t>测点位号</w:t>
                  </w:r>
                </w:p>
              </w:tc>
              <w:tc>
                <w:tcPr>
                  <w:tcW w:w="688" w:type="pct"/>
                  <w:vMerge w:val="restart"/>
                  <w:tcBorders>
                    <w:tl2br w:val="nil"/>
                    <w:tr2bl w:val="nil"/>
                  </w:tcBorders>
                  <w:noWrap w:val="0"/>
                  <w:vAlign w:val="center"/>
                </w:tcPr>
                <w:p w14:paraId="35A3D165">
                  <w:pPr>
                    <w:jc w:val="center"/>
                    <w:rPr>
                      <w:rFonts w:hint="default" w:ascii="Times New Roman" w:hAnsi="Times New Roman" w:eastAsia="宋体" w:cs="Times New Roman"/>
                      <w:b w:val="0"/>
                      <w:bCs w:val="0"/>
                      <w:snapToGrid w:val="0"/>
                      <w:color w:val="auto"/>
                      <w:kern w:val="0"/>
                      <w:sz w:val="18"/>
                      <w:szCs w:val="18"/>
                      <w:highlight w:val="none"/>
                    </w:rPr>
                  </w:pPr>
                  <w:r>
                    <w:rPr>
                      <w:rFonts w:hint="default" w:ascii="Times New Roman" w:hAnsi="Times New Roman" w:eastAsia="宋体" w:cs="Times New Roman"/>
                      <w:b w:val="0"/>
                      <w:bCs w:val="0"/>
                      <w:snapToGrid w:val="0"/>
                      <w:color w:val="auto"/>
                      <w:kern w:val="0"/>
                      <w:sz w:val="18"/>
                      <w:szCs w:val="18"/>
                      <w:highlight w:val="none"/>
                    </w:rPr>
                    <w:t>主要声源</w:t>
                  </w:r>
                </w:p>
              </w:tc>
              <w:tc>
                <w:tcPr>
                  <w:tcW w:w="688" w:type="pct"/>
                  <w:vMerge w:val="restart"/>
                  <w:tcBorders>
                    <w:tl2br w:val="nil"/>
                    <w:tr2bl w:val="nil"/>
                  </w:tcBorders>
                  <w:noWrap w:val="0"/>
                  <w:vAlign w:val="center"/>
                </w:tcPr>
                <w:p w14:paraId="2C2435E9">
                  <w:pPr>
                    <w:jc w:val="center"/>
                    <w:rPr>
                      <w:rFonts w:hint="default" w:ascii="Times New Roman" w:hAnsi="Times New Roman" w:eastAsia="宋体" w:cs="Times New Roman"/>
                      <w:b w:val="0"/>
                      <w:bCs w:val="0"/>
                      <w:snapToGrid w:val="0"/>
                      <w:color w:val="auto"/>
                      <w:kern w:val="0"/>
                      <w:sz w:val="18"/>
                      <w:szCs w:val="18"/>
                      <w:highlight w:val="none"/>
                      <w:lang w:eastAsia="zh-CN"/>
                    </w:rPr>
                  </w:pPr>
                  <w:r>
                    <w:rPr>
                      <w:rFonts w:hint="default" w:ascii="Times New Roman" w:hAnsi="Times New Roman" w:eastAsia="宋体" w:cs="Times New Roman"/>
                      <w:b w:val="0"/>
                      <w:bCs w:val="0"/>
                      <w:snapToGrid w:val="0"/>
                      <w:color w:val="auto"/>
                      <w:kern w:val="0"/>
                      <w:sz w:val="18"/>
                      <w:szCs w:val="18"/>
                      <w:highlight w:val="none"/>
                      <w:lang w:eastAsia="zh-CN"/>
                    </w:rPr>
                    <w:t>检测日期</w:t>
                  </w:r>
                </w:p>
              </w:tc>
              <w:tc>
                <w:tcPr>
                  <w:tcW w:w="2249" w:type="pct"/>
                  <w:gridSpan w:val="2"/>
                  <w:tcBorders>
                    <w:tl2br w:val="nil"/>
                    <w:tr2bl w:val="nil"/>
                  </w:tcBorders>
                  <w:noWrap w:val="0"/>
                  <w:vAlign w:val="center"/>
                </w:tcPr>
                <w:p w14:paraId="699690A8">
                  <w:pPr>
                    <w:jc w:val="center"/>
                    <w:rPr>
                      <w:rFonts w:hint="default" w:ascii="Times New Roman" w:hAnsi="Times New Roman" w:eastAsia="宋体" w:cs="Times New Roman"/>
                      <w:b w:val="0"/>
                      <w:bCs w:val="0"/>
                      <w:snapToGrid w:val="0"/>
                      <w:color w:val="auto"/>
                      <w:kern w:val="0"/>
                      <w:sz w:val="18"/>
                      <w:szCs w:val="18"/>
                      <w:highlight w:val="none"/>
                    </w:rPr>
                  </w:pPr>
                  <w:r>
                    <w:rPr>
                      <w:rFonts w:hint="default" w:ascii="Times New Roman" w:hAnsi="Times New Roman" w:eastAsia="宋体" w:cs="Times New Roman"/>
                      <w:b w:val="0"/>
                      <w:bCs w:val="0"/>
                      <w:snapToGrid w:val="0"/>
                      <w:color w:val="auto"/>
                      <w:kern w:val="0"/>
                      <w:sz w:val="18"/>
                      <w:szCs w:val="18"/>
                      <w:highlight w:val="none"/>
                    </w:rPr>
                    <w:t>昼间(dB(A))</w:t>
                  </w:r>
                </w:p>
              </w:tc>
            </w:tr>
            <w:tr w14:paraId="2725F6E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85" w:type="pct"/>
                  <w:vMerge w:val="continue"/>
                  <w:tcBorders>
                    <w:tl2br w:val="nil"/>
                    <w:tr2bl w:val="nil"/>
                  </w:tcBorders>
                  <w:noWrap w:val="0"/>
                  <w:vAlign w:val="center"/>
                </w:tcPr>
                <w:p w14:paraId="7997BE1A">
                  <w:pPr>
                    <w:widowControl/>
                    <w:jc w:val="center"/>
                    <w:rPr>
                      <w:rFonts w:hint="default" w:ascii="Times New Roman" w:hAnsi="Times New Roman" w:eastAsia="宋体" w:cs="Times New Roman"/>
                      <w:b w:val="0"/>
                      <w:bCs w:val="0"/>
                      <w:snapToGrid w:val="0"/>
                      <w:color w:val="auto"/>
                      <w:kern w:val="0"/>
                      <w:sz w:val="18"/>
                      <w:szCs w:val="18"/>
                      <w:highlight w:val="none"/>
                    </w:rPr>
                  </w:pPr>
                </w:p>
              </w:tc>
              <w:tc>
                <w:tcPr>
                  <w:tcW w:w="687" w:type="pct"/>
                  <w:vMerge w:val="continue"/>
                  <w:tcBorders>
                    <w:tl2br w:val="nil"/>
                    <w:tr2bl w:val="nil"/>
                  </w:tcBorders>
                  <w:noWrap w:val="0"/>
                  <w:vAlign w:val="center"/>
                </w:tcPr>
                <w:p w14:paraId="662E3AE2">
                  <w:pPr>
                    <w:widowControl/>
                    <w:jc w:val="center"/>
                    <w:rPr>
                      <w:rFonts w:hint="default" w:ascii="Times New Roman" w:hAnsi="Times New Roman" w:eastAsia="宋体" w:cs="Times New Roman"/>
                      <w:b w:val="0"/>
                      <w:bCs w:val="0"/>
                      <w:snapToGrid w:val="0"/>
                      <w:color w:val="auto"/>
                      <w:kern w:val="0"/>
                      <w:sz w:val="18"/>
                      <w:szCs w:val="18"/>
                      <w:highlight w:val="none"/>
                    </w:rPr>
                  </w:pPr>
                </w:p>
              </w:tc>
              <w:tc>
                <w:tcPr>
                  <w:tcW w:w="688" w:type="pct"/>
                  <w:vMerge w:val="continue"/>
                  <w:tcBorders>
                    <w:tl2br w:val="nil"/>
                    <w:tr2bl w:val="nil"/>
                  </w:tcBorders>
                  <w:noWrap w:val="0"/>
                  <w:vAlign w:val="center"/>
                </w:tcPr>
                <w:p w14:paraId="3F3A924E">
                  <w:pPr>
                    <w:widowControl/>
                    <w:jc w:val="center"/>
                    <w:rPr>
                      <w:rFonts w:hint="default" w:ascii="Times New Roman" w:hAnsi="Times New Roman" w:eastAsia="宋体" w:cs="Times New Roman"/>
                      <w:b w:val="0"/>
                      <w:bCs w:val="0"/>
                      <w:snapToGrid w:val="0"/>
                      <w:color w:val="auto"/>
                      <w:kern w:val="0"/>
                      <w:sz w:val="18"/>
                      <w:szCs w:val="18"/>
                      <w:highlight w:val="none"/>
                    </w:rPr>
                  </w:pPr>
                </w:p>
              </w:tc>
              <w:tc>
                <w:tcPr>
                  <w:tcW w:w="688" w:type="pct"/>
                  <w:vMerge w:val="continue"/>
                  <w:tcBorders>
                    <w:tl2br w:val="nil"/>
                    <w:tr2bl w:val="nil"/>
                  </w:tcBorders>
                  <w:noWrap w:val="0"/>
                  <w:vAlign w:val="center"/>
                </w:tcPr>
                <w:p w14:paraId="7B67AE12">
                  <w:pPr>
                    <w:widowControl/>
                    <w:jc w:val="center"/>
                    <w:rPr>
                      <w:rFonts w:hint="default" w:ascii="Times New Roman" w:hAnsi="Times New Roman" w:eastAsia="宋体" w:cs="Times New Roman"/>
                      <w:b w:val="0"/>
                      <w:bCs w:val="0"/>
                      <w:snapToGrid w:val="0"/>
                      <w:color w:val="auto"/>
                      <w:kern w:val="0"/>
                      <w:sz w:val="18"/>
                      <w:szCs w:val="18"/>
                      <w:highlight w:val="none"/>
                    </w:rPr>
                  </w:pPr>
                </w:p>
              </w:tc>
              <w:tc>
                <w:tcPr>
                  <w:tcW w:w="1107" w:type="pct"/>
                  <w:tcBorders>
                    <w:tl2br w:val="nil"/>
                    <w:tr2bl w:val="nil"/>
                  </w:tcBorders>
                  <w:noWrap w:val="0"/>
                  <w:vAlign w:val="center"/>
                </w:tcPr>
                <w:p w14:paraId="4972CED8">
                  <w:pPr>
                    <w:widowControl/>
                    <w:jc w:val="center"/>
                    <w:rPr>
                      <w:rFonts w:hint="default" w:ascii="Times New Roman" w:hAnsi="Times New Roman" w:eastAsia="宋体" w:cs="Times New Roman"/>
                      <w:b w:val="0"/>
                      <w:bCs w:val="0"/>
                      <w:snapToGrid w:val="0"/>
                      <w:color w:val="auto"/>
                      <w:kern w:val="0"/>
                      <w:sz w:val="18"/>
                      <w:szCs w:val="18"/>
                      <w:highlight w:val="none"/>
                    </w:rPr>
                  </w:pPr>
                  <w:r>
                    <w:rPr>
                      <w:rFonts w:hint="default" w:ascii="Times New Roman" w:hAnsi="Times New Roman" w:eastAsia="宋体" w:cs="Times New Roman"/>
                      <w:b w:val="0"/>
                      <w:bCs w:val="0"/>
                      <w:snapToGrid w:val="0"/>
                      <w:color w:val="auto"/>
                      <w:kern w:val="0"/>
                      <w:sz w:val="18"/>
                      <w:szCs w:val="18"/>
                      <w:highlight w:val="none"/>
                    </w:rPr>
                    <w:t>测量时间</w:t>
                  </w:r>
                </w:p>
              </w:tc>
              <w:tc>
                <w:tcPr>
                  <w:tcW w:w="1142" w:type="pct"/>
                  <w:tcBorders>
                    <w:tl2br w:val="nil"/>
                    <w:tr2bl w:val="nil"/>
                  </w:tcBorders>
                  <w:noWrap w:val="0"/>
                  <w:vAlign w:val="center"/>
                </w:tcPr>
                <w:p w14:paraId="53FF48B3">
                  <w:pPr>
                    <w:widowControl/>
                    <w:jc w:val="center"/>
                    <w:rPr>
                      <w:rFonts w:hint="default" w:ascii="Times New Roman" w:hAnsi="Times New Roman" w:eastAsia="宋体" w:cs="Times New Roman"/>
                      <w:b w:val="0"/>
                      <w:bCs w:val="0"/>
                      <w:snapToGrid w:val="0"/>
                      <w:color w:val="auto"/>
                      <w:kern w:val="0"/>
                      <w:sz w:val="18"/>
                      <w:szCs w:val="18"/>
                      <w:highlight w:val="none"/>
                    </w:rPr>
                  </w:pPr>
                  <w:r>
                    <w:rPr>
                      <w:rFonts w:hint="default" w:ascii="Times New Roman" w:hAnsi="Times New Roman" w:eastAsia="宋体" w:cs="Times New Roman"/>
                      <w:b w:val="0"/>
                      <w:bCs w:val="0"/>
                      <w:snapToGrid w:val="0"/>
                      <w:color w:val="auto"/>
                      <w:kern w:val="0"/>
                      <w:sz w:val="18"/>
                      <w:szCs w:val="18"/>
                      <w:highlight w:val="none"/>
                      <w:lang w:val="en-US" w:eastAsia="zh-CN"/>
                    </w:rPr>
                    <w:t>等效声级（L</w:t>
                  </w:r>
                  <w:r>
                    <w:rPr>
                      <w:rFonts w:hint="default" w:ascii="Times New Roman" w:hAnsi="Times New Roman" w:eastAsia="宋体" w:cs="Times New Roman"/>
                      <w:b w:val="0"/>
                      <w:bCs w:val="0"/>
                      <w:snapToGrid w:val="0"/>
                      <w:color w:val="auto"/>
                      <w:kern w:val="0"/>
                      <w:sz w:val="18"/>
                      <w:szCs w:val="18"/>
                      <w:highlight w:val="none"/>
                      <w:vertAlign w:val="subscript"/>
                      <w:lang w:val="en-US" w:eastAsia="zh-CN"/>
                    </w:rPr>
                    <w:t>eq</w:t>
                  </w:r>
                  <w:r>
                    <w:rPr>
                      <w:rFonts w:hint="default" w:ascii="Times New Roman" w:hAnsi="Times New Roman" w:eastAsia="宋体" w:cs="Times New Roman"/>
                      <w:b w:val="0"/>
                      <w:bCs w:val="0"/>
                      <w:snapToGrid w:val="0"/>
                      <w:color w:val="auto"/>
                      <w:kern w:val="0"/>
                      <w:sz w:val="18"/>
                      <w:szCs w:val="18"/>
                      <w:highlight w:val="none"/>
                      <w:lang w:val="en-US" w:eastAsia="zh-CN"/>
                    </w:rPr>
                    <w:t>）</w:t>
                  </w:r>
                </w:p>
              </w:tc>
            </w:tr>
            <w:tr w14:paraId="0B4FC8C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85" w:type="pct"/>
                  <w:tcBorders>
                    <w:tl2br w:val="nil"/>
                    <w:tr2bl w:val="nil"/>
                  </w:tcBorders>
                  <w:noWrap w:val="0"/>
                  <w:vAlign w:val="center"/>
                </w:tcPr>
                <w:p w14:paraId="5124722F">
                  <w:pPr>
                    <w:spacing w:line="240" w:lineRule="auto"/>
                    <w:ind w:firstLine="0" w:firstLineChars="0"/>
                    <w:jc w:val="center"/>
                    <w:rPr>
                      <w:rFonts w:hint="default" w:ascii="Times New Roman" w:hAnsi="Times New Roman" w:eastAsia="宋体" w:cs="Times New Roman"/>
                      <w:snapToGrid w:val="0"/>
                      <w:color w:val="auto"/>
                      <w:kern w:val="0"/>
                      <w:sz w:val="18"/>
                      <w:szCs w:val="18"/>
                      <w:highlight w:val="none"/>
                      <w:lang w:eastAsia="zh-CN"/>
                    </w:rPr>
                  </w:pPr>
                  <w:r>
                    <w:rPr>
                      <w:rFonts w:hint="default" w:ascii="Times New Roman" w:hAnsi="Times New Roman" w:cs="Times New Roman"/>
                      <w:color w:val="auto"/>
                      <w:sz w:val="18"/>
                      <w:szCs w:val="18"/>
                      <w:highlight w:val="none"/>
                      <w:lang w:val="en-US" w:eastAsia="zh-CN"/>
                    </w:rPr>
                    <w:t>厂界东</w:t>
                  </w:r>
                </w:p>
              </w:tc>
              <w:tc>
                <w:tcPr>
                  <w:tcW w:w="687" w:type="pct"/>
                  <w:tcBorders>
                    <w:tl2br w:val="nil"/>
                    <w:tr2bl w:val="nil"/>
                  </w:tcBorders>
                  <w:noWrap w:val="0"/>
                  <w:vAlign w:val="center"/>
                </w:tcPr>
                <w:p w14:paraId="20D77567">
                  <w:pPr>
                    <w:jc w:val="center"/>
                    <w:rPr>
                      <w:rFonts w:hint="default" w:ascii="Times New Roman" w:hAnsi="Times New Roman"/>
                      <w:color w:val="auto"/>
                      <w:kern w:val="2"/>
                      <w:sz w:val="18"/>
                      <w:szCs w:val="18"/>
                      <w:highlight w:val="none"/>
                      <w:lang w:val="en-US" w:eastAsia="zh-CN" w:bidi="ar-SA"/>
                    </w:rPr>
                  </w:pPr>
                  <w:r>
                    <w:rPr>
                      <w:rFonts w:ascii="Times New Roman" w:hAnsi="Times New Roman"/>
                      <w:color w:val="auto"/>
                      <w:sz w:val="18"/>
                      <w:szCs w:val="18"/>
                      <w:highlight w:val="none"/>
                    </w:rPr>
                    <w:t>N1</w:t>
                  </w:r>
                </w:p>
              </w:tc>
              <w:tc>
                <w:tcPr>
                  <w:tcW w:w="688" w:type="pct"/>
                  <w:tcBorders>
                    <w:tl2br w:val="nil"/>
                    <w:tr2bl w:val="nil"/>
                  </w:tcBorders>
                  <w:noWrap w:val="0"/>
                  <w:vAlign w:val="center"/>
                </w:tcPr>
                <w:p w14:paraId="36F024DE">
                  <w:pPr>
                    <w:jc w:val="center"/>
                    <w:rPr>
                      <w:rFonts w:hint="default" w:ascii="Times New Roman" w:hAnsi="Times New Roman" w:eastAsia="宋体" w:cs="Times New Roman"/>
                      <w:snapToGrid w:val="0"/>
                      <w:color w:val="auto"/>
                      <w:kern w:val="0"/>
                      <w:sz w:val="18"/>
                      <w:szCs w:val="18"/>
                      <w:highlight w:val="none"/>
                      <w:lang w:eastAsia="zh-CN"/>
                    </w:rPr>
                  </w:pPr>
                  <w:r>
                    <w:rPr>
                      <w:rFonts w:hint="default" w:ascii="Times New Roman" w:hAnsi="Times New Roman" w:eastAsia="宋体" w:cs="Times New Roman"/>
                      <w:snapToGrid w:val="0"/>
                      <w:color w:val="auto"/>
                      <w:kern w:val="0"/>
                      <w:sz w:val="18"/>
                      <w:szCs w:val="18"/>
                      <w:highlight w:val="none"/>
                      <w:lang w:eastAsia="zh-CN"/>
                    </w:rPr>
                    <w:t>交通噪声</w:t>
                  </w:r>
                </w:p>
              </w:tc>
              <w:tc>
                <w:tcPr>
                  <w:tcW w:w="688" w:type="pct"/>
                  <w:vMerge w:val="restart"/>
                  <w:tcBorders>
                    <w:tl2br w:val="nil"/>
                    <w:tr2bl w:val="nil"/>
                  </w:tcBorders>
                  <w:noWrap w:val="0"/>
                  <w:vAlign w:val="center"/>
                </w:tcPr>
                <w:p w14:paraId="09FBA7F2">
                  <w:pPr>
                    <w:jc w:val="center"/>
                    <w:rPr>
                      <w:rFonts w:hint="default" w:ascii="Times New Roman" w:hAnsi="Times New Roman" w:eastAsia="宋体" w:cs="Times New Roman"/>
                      <w:snapToGrid w:val="0"/>
                      <w:color w:val="auto"/>
                      <w:kern w:val="0"/>
                      <w:sz w:val="18"/>
                      <w:szCs w:val="18"/>
                      <w:highlight w:val="none"/>
                      <w:lang w:val="en-US" w:eastAsia="zh-CN"/>
                    </w:rPr>
                  </w:pPr>
                  <w:r>
                    <w:rPr>
                      <w:rFonts w:hint="default" w:ascii="Times New Roman" w:hAnsi="Times New Roman" w:eastAsia="宋体" w:cs="Times New Roman"/>
                      <w:snapToGrid w:val="0"/>
                      <w:color w:val="auto"/>
                      <w:kern w:val="0"/>
                      <w:sz w:val="18"/>
                      <w:szCs w:val="18"/>
                      <w:highlight w:val="none"/>
                      <w:lang w:val="en-US" w:eastAsia="zh-CN"/>
                    </w:rPr>
                    <w:t>2026.2.25</w:t>
                  </w:r>
                </w:p>
              </w:tc>
              <w:tc>
                <w:tcPr>
                  <w:tcW w:w="1107" w:type="pct"/>
                  <w:tcBorders>
                    <w:tl2br w:val="nil"/>
                    <w:tr2bl w:val="nil"/>
                  </w:tcBorders>
                  <w:noWrap w:val="0"/>
                  <w:vAlign w:val="center"/>
                </w:tcPr>
                <w:p w14:paraId="6102B869">
                  <w:pPr>
                    <w:jc w:val="center"/>
                    <w:rPr>
                      <w:rFonts w:hint="default" w:ascii="Times New Roman" w:hAnsi="Times New Roman" w:eastAsia="宋体" w:cs="Times New Roman"/>
                      <w:snapToGrid w:val="0"/>
                      <w:color w:val="auto"/>
                      <w:kern w:val="0"/>
                      <w:sz w:val="18"/>
                      <w:szCs w:val="18"/>
                      <w:highlight w:val="none"/>
                      <w:lang w:val="en-US" w:eastAsia="zh-CN"/>
                    </w:rPr>
                  </w:pPr>
                  <w:r>
                    <w:rPr>
                      <w:rFonts w:hint="default" w:ascii="Times New Roman" w:hAnsi="Times New Roman" w:eastAsia="宋体" w:cs="Times New Roman"/>
                      <w:snapToGrid w:val="0"/>
                      <w:color w:val="auto"/>
                      <w:kern w:val="0"/>
                      <w:sz w:val="18"/>
                      <w:szCs w:val="18"/>
                      <w:highlight w:val="none"/>
                      <w:lang w:val="en-US" w:eastAsia="zh-CN"/>
                    </w:rPr>
                    <w:t>10:57~11:17</w:t>
                  </w:r>
                </w:p>
              </w:tc>
              <w:tc>
                <w:tcPr>
                  <w:tcW w:w="1142" w:type="pct"/>
                  <w:tcBorders>
                    <w:tl2br w:val="nil"/>
                    <w:tr2bl w:val="nil"/>
                  </w:tcBorders>
                  <w:noWrap w:val="0"/>
                  <w:vAlign w:val="center"/>
                </w:tcPr>
                <w:p w14:paraId="49FE9FED">
                  <w:pPr>
                    <w:jc w:val="center"/>
                    <w:rPr>
                      <w:rFonts w:hint="default" w:ascii="Times New Roman" w:hAnsi="Times New Roman" w:eastAsia="宋体" w:cs="Times New Roman"/>
                      <w:snapToGrid w:val="0"/>
                      <w:color w:val="auto"/>
                      <w:kern w:val="0"/>
                      <w:sz w:val="18"/>
                      <w:szCs w:val="18"/>
                      <w:highlight w:val="none"/>
                      <w:lang w:val="en-US" w:eastAsia="zh-CN"/>
                    </w:rPr>
                  </w:pPr>
                  <w:r>
                    <w:rPr>
                      <w:rFonts w:hint="default" w:ascii="Times New Roman" w:hAnsi="Times New Roman" w:eastAsia="宋体" w:cs="Times New Roman"/>
                      <w:snapToGrid w:val="0"/>
                      <w:color w:val="auto"/>
                      <w:kern w:val="0"/>
                      <w:sz w:val="18"/>
                      <w:szCs w:val="18"/>
                      <w:highlight w:val="none"/>
                      <w:lang w:val="en-US" w:eastAsia="zh-CN"/>
                    </w:rPr>
                    <w:t>53</w:t>
                  </w:r>
                </w:p>
              </w:tc>
            </w:tr>
            <w:tr w14:paraId="0184101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85" w:type="pct"/>
                  <w:tcBorders>
                    <w:tl2br w:val="nil"/>
                    <w:tr2bl w:val="nil"/>
                  </w:tcBorders>
                  <w:noWrap w:val="0"/>
                  <w:vAlign w:val="center"/>
                </w:tcPr>
                <w:p w14:paraId="7AC6D71F">
                  <w:pPr>
                    <w:spacing w:line="240" w:lineRule="auto"/>
                    <w:ind w:firstLine="0" w:firstLineChars="0"/>
                    <w:jc w:val="center"/>
                    <w:rPr>
                      <w:rFonts w:hint="default" w:ascii="Times New Roman" w:hAnsi="Times New Roman" w:eastAsia="宋体" w:cs="Times New Roman"/>
                      <w:snapToGrid w:val="0"/>
                      <w:color w:val="auto"/>
                      <w:kern w:val="0"/>
                      <w:sz w:val="18"/>
                      <w:szCs w:val="18"/>
                      <w:highlight w:val="none"/>
                      <w:lang w:val="en-US" w:eastAsia="zh-CN"/>
                    </w:rPr>
                  </w:pPr>
                  <w:r>
                    <w:rPr>
                      <w:rFonts w:hint="default" w:ascii="Times New Roman" w:hAnsi="Times New Roman" w:cs="Times New Roman"/>
                      <w:color w:val="auto"/>
                      <w:sz w:val="18"/>
                      <w:szCs w:val="18"/>
                      <w:highlight w:val="none"/>
                      <w:lang w:val="en-US" w:eastAsia="zh-CN"/>
                    </w:rPr>
                    <w:t>厂界南</w:t>
                  </w:r>
                </w:p>
              </w:tc>
              <w:tc>
                <w:tcPr>
                  <w:tcW w:w="687" w:type="pct"/>
                  <w:tcBorders>
                    <w:tl2br w:val="nil"/>
                    <w:tr2bl w:val="nil"/>
                  </w:tcBorders>
                  <w:noWrap w:val="0"/>
                  <w:vAlign w:val="center"/>
                </w:tcPr>
                <w:p w14:paraId="423638F5">
                  <w:pPr>
                    <w:jc w:val="center"/>
                    <w:rPr>
                      <w:rFonts w:hint="default" w:ascii="Times New Roman" w:hAnsi="Times New Roman"/>
                      <w:color w:val="auto"/>
                      <w:kern w:val="2"/>
                      <w:sz w:val="18"/>
                      <w:szCs w:val="18"/>
                      <w:highlight w:val="none"/>
                      <w:lang w:val="en-US" w:eastAsia="zh-CN" w:bidi="ar-SA"/>
                    </w:rPr>
                  </w:pPr>
                  <w:r>
                    <w:rPr>
                      <w:rFonts w:hint="default" w:ascii="Times New Roman" w:hAnsi="Times New Roman"/>
                      <w:color w:val="auto"/>
                      <w:sz w:val="18"/>
                      <w:szCs w:val="18"/>
                      <w:highlight w:val="none"/>
                    </w:rPr>
                    <w:t>N</w:t>
                  </w:r>
                  <w:r>
                    <w:rPr>
                      <w:rFonts w:ascii="Times New Roman" w:hAnsi="Times New Roman"/>
                      <w:color w:val="auto"/>
                      <w:sz w:val="18"/>
                      <w:szCs w:val="18"/>
                      <w:highlight w:val="none"/>
                    </w:rPr>
                    <w:t>4</w:t>
                  </w:r>
                </w:p>
              </w:tc>
              <w:tc>
                <w:tcPr>
                  <w:tcW w:w="688" w:type="pct"/>
                  <w:tcBorders>
                    <w:tl2br w:val="nil"/>
                    <w:tr2bl w:val="nil"/>
                  </w:tcBorders>
                  <w:noWrap w:val="0"/>
                  <w:vAlign w:val="center"/>
                </w:tcPr>
                <w:p w14:paraId="44F7DCD4">
                  <w:pPr>
                    <w:jc w:val="center"/>
                    <w:rPr>
                      <w:rFonts w:hint="default" w:ascii="Times New Roman" w:hAnsi="Times New Roman" w:eastAsia="宋体" w:cs="Times New Roman"/>
                      <w:snapToGrid w:val="0"/>
                      <w:color w:val="auto"/>
                      <w:kern w:val="0"/>
                      <w:sz w:val="18"/>
                      <w:szCs w:val="18"/>
                      <w:highlight w:val="none"/>
                    </w:rPr>
                  </w:pPr>
                  <w:r>
                    <w:rPr>
                      <w:rFonts w:hint="default" w:ascii="Times New Roman" w:hAnsi="Times New Roman" w:eastAsia="宋体" w:cs="Times New Roman"/>
                      <w:snapToGrid w:val="0"/>
                      <w:color w:val="auto"/>
                      <w:kern w:val="0"/>
                      <w:sz w:val="18"/>
                      <w:szCs w:val="18"/>
                      <w:highlight w:val="none"/>
                      <w:lang w:eastAsia="zh-CN"/>
                    </w:rPr>
                    <w:t>工业噪声</w:t>
                  </w:r>
                </w:p>
              </w:tc>
              <w:tc>
                <w:tcPr>
                  <w:tcW w:w="688" w:type="pct"/>
                  <w:vMerge w:val="continue"/>
                  <w:tcBorders>
                    <w:tl2br w:val="nil"/>
                    <w:tr2bl w:val="nil"/>
                  </w:tcBorders>
                  <w:noWrap w:val="0"/>
                  <w:vAlign w:val="center"/>
                </w:tcPr>
                <w:p w14:paraId="2178D975">
                  <w:pPr>
                    <w:jc w:val="center"/>
                    <w:rPr>
                      <w:rFonts w:hint="default" w:ascii="Times New Roman" w:hAnsi="Times New Roman" w:eastAsia="宋体" w:cs="Times New Roman"/>
                      <w:snapToGrid w:val="0"/>
                      <w:color w:val="auto"/>
                      <w:kern w:val="0"/>
                      <w:sz w:val="18"/>
                      <w:szCs w:val="18"/>
                      <w:highlight w:val="none"/>
                      <w:lang w:eastAsia="zh-CN"/>
                    </w:rPr>
                  </w:pPr>
                </w:p>
              </w:tc>
              <w:tc>
                <w:tcPr>
                  <w:tcW w:w="1107" w:type="pct"/>
                  <w:tcBorders>
                    <w:tl2br w:val="nil"/>
                    <w:tr2bl w:val="nil"/>
                  </w:tcBorders>
                  <w:noWrap w:val="0"/>
                  <w:vAlign w:val="center"/>
                </w:tcPr>
                <w:p w14:paraId="02239105">
                  <w:pPr>
                    <w:jc w:val="center"/>
                    <w:rPr>
                      <w:rFonts w:hint="default" w:ascii="Times New Roman" w:hAnsi="Times New Roman" w:eastAsia="宋体" w:cs="Times New Roman"/>
                      <w:snapToGrid w:val="0"/>
                      <w:color w:val="auto"/>
                      <w:kern w:val="0"/>
                      <w:sz w:val="18"/>
                      <w:szCs w:val="18"/>
                      <w:highlight w:val="none"/>
                      <w:lang w:val="en-US" w:eastAsia="zh-CN" w:bidi="ar-SA"/>
                    </w:rPr>
                  </w:pPr>
                  <w:r>
                    <w:rPr>
                      <w:rFonts w:hint="default" w:ascii="Times New Roman" w:hAnsi="Times New Roman" w:eastAsia="宋体" w:cs="Times New Roman"/>
                      <w:snapToGrid w:val="0"/>
                      <w:color w:val="auto"/>
                      <w:kern w:val="0"/>
                      <w:sz w:val="18"/>
                      <w:szCs w:val="18"/>
                      <w:highlight w:val="none"/>
                      <w:lang w:val="en-US" w:eastAsia="zh-CN"/>
                    </w:rPr>
                    <w:t>11:44~11:54</w:t>
                  </w:r>
                </w:p>
              </w:tc>
              <w:tc>
                <w:tcPr>
                  <w:tcW w:w="1142" w:type="pct"/>
                  <w:tcBorders>
                    <w:tl2br w:val="nil"/>
                    <w:tr2bl w:val="nil"/>
                  </w:tcBorders>
                  <w:noWrap w:val="0"/>
                  <w:vAlign w:val="center"/>
                </w:tcPr>
                <w:p w14:paraId="5E9D69E9">
                  <w:pPr>
                    <w:jc w:val="center"/>
                    <w:rPr>
                      <w:rFonts w:hint="default" w:ascii="Times New Roman" w:hAnsi="Times New Roman" w:eastAsia="宋体" w:cs="Times New Roman"/>
                      <w:snapToGrid w:val="0"/>
                      <w:color w:val="auto"/>
                      <w:kern w:val="0"/>
                      <w:sz w:val="18"/>
                      <w:szCs w:val="18"/>
                      <w:highlight w:val="none"/>
                      <w:lang w:val="en-US" w:eastAsia="zh-CN" w:bidi="ar-SA"/>
                    </w:rPr>
                  </w:pPr>
                  <w:r>
                    <w:rPr>
                      <w:rFonts w:hint="default" w:ascii="Times New Roman" w:hAnsi="Times New Roman" w:eastAsia="宋体" w:cs="Times New Roman"/>
                      <w:snapToGrid w:val="0"/>
                      <w:color w:val="auto"/>
                      <w:kern w:val="0"/>
                      <w:sz w:val="18"/>
                      <w:szCs w:val="18"/>
                      <w:highlight w:val="none"/>
                      <w:lang w:val="en-US" w:eastAsia="zh-CN"/>
                    </w:rPr>
                    <w:t>50</w:t>
                  </w:r>
                </w:p>
              </w:tc>
            </w:tr>
            <w:tr w14:paraId="25C5E40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85" w:type="pct"/>
                  <w:tcBorders>
                    <w:tl2br w:val="nil"/>
                    <w:tr2bl w:val="nil"/>
                  </w:tcBorders>
                  <w:noWrap w:val="0"/>
                  <w:vAlign w:val="center"/>
                </w:tcPr>
                <w:p w14:paraId="7BCC2627">
                  <w:pPr>
                    <w:spacing w:line="240" w:lineRule="auto"/>
                    <w:ind w:firstLine="0" w:firstLineChars="0"/>
                    <w:jc w:val="center"/>
                    <w:rPr>
                      <w:rFonts w:hint="default" w:ascii="Times New Roman" w:hAnsi="Times New Roman" w:cs="Times New Roman"/>
                      <w:color w:val="auto"/>
                      <w:sz w:val="18"/>
                      <w:szCs w:val="18"/>
                      <w:highlight w:val="none"/>
                      <w:lang w:val="en-US" w:eastAsia="zh-CN"/>
                    </w:rPr>
                  </w:pPr>
                  <w:r>
                    <w:rPr>
                      <w:rFonts w:hint="default" w:ascii="Times New Roman" w:hAnsi="Times New Roman" w:cs="Times New Roman"/>
                      <w:color w:val="auto"/>
                      <w:sz w:val="18"/>
                      <w:szCs w:val="18"/>
                      <w:highlight w:val="none"/>
                      <w:lang w:val="en-US" w:eastAsia="zh-CN"/>
                    </w:rPr>
                    <w:t>厂界西</w:t>
                  </w:r>
                </w:p>
              </w:tc>
              <w:tc>
                <w:tcPr>
                  <w:tcW w:w="687" w:type="pct"/>
                  <w:tcBorders>
                    <w:tl2br w:val="nil"/>
                    <w:tr2bl w:val="nil"/>
                  </w:tcBorders>
                  <w:noWrap w:val="0"/>
                  <w:vAlign w:val="center"/>
                </w:tcPr>
                <w:p w14:paraId="3D00703E">
                  <w:pPr>
                    <w:jc w:val="center"/>
                    <w:rPr>
                      <w:rFonts w:hint="default" w:ascii="Times New Roman" w:hAnsi="Times New Roman"/>
                      <w:color w:val="auto"/>
                      <w:kern w:val="2"/>
                      <w:sz w:val="18"/>
                      <w:szCs w:val="18"/>
                      <w:highlight w:val="none"/>
                      <w:lang w:val="en-US" w:eastAsia="zh-CN" w:bidi="ar-SA"/>
                    </w:rPr>
                  </w:pPr>
                  <w:r>
                    <w:rPr>
                      <w:rFonts w:ascii="Times New Roman" w:hAnsi="Times New Roman"/>
                      <w:color w:val="auto"/>
                      <w:sz w:val="18"/>
                      <w:szCs w:val="18"/>
                      <w:highlight w:val="none"/>
                    </w:rPr>
                    <w:t>N3</w:t>
                  </w:r>
                </w:p>
              </w:tc>
              <w:tc>
                <w:tcPr>
                  <w:tcW w:w="688" w:type="pct"/>
                  <w:tcBorders>
                    <w:tl2br w:val="nil"/>
                    <w:tr2bl w:val="nil"/>
                  </w:tcBorders>
                  <w:noWrap w:val="0"/>
                  <w:vAlign w:val="center"/>
                </w:tcPr>
                <w:p w14:paraId="5C4AF477">
                  <w:pPr>
                    <w:jc w:val="center"/>
                    <w:rPr>
                      <w:rFonts w:hint="default" w:ascii="Times New Roman" w:hAnsi="Times New Roman" w:eastAsia="宋体" w:cs="Times New Roman"/>
                      <w:snapToGrid w:val="0"/>
                      <w:color w:val="auto"/>
                      <w:kern w:val="0"/>
                      <w:sz w:val="18"/>
                      <w:szCs w:val="18"/>
                      <w:highlight w:val="none"/>
                      <w:lang w:eastAsia="zh-CN"/>
                    </w:rPr>
                  </w:pPr>
                  <w:r>
                    <w:rPr>
                      <w:rFonts w:hint="default" w:ascii="Times New Roman" w:hAnsi="Times New Roman" w:eastAsia="宋体" w:cs="Times New Roman"/>
                      <w:snapToGrid w:val="0"/>
                      <w:color w:val="auto"/>
                      <w:kern w:val="0"/>
                      <w:sz w:val="18"/>
                      <w:szCs w:val="18"/>
                      <w:highlight w:val="none"/>
                      <w:lang w:eastAsia="zh-CN"/>
                    </w:rPr>
                    <w:t>工业噪声</w:t>
                  </w:r>
                </w:p>
              </w:tc>
              <w:tc>
                <w:tcPr>
                  <w:tcW w:w="688" w:type="pct"/>
                  <w:vMerge w:val="continue"/>
                  <w:tcBorders>
                    <w:tl2br w:val="nil"/>
                    <w:tr2bl w:val="nil"/>
                  </w:tcBorders>
                  <w:noWrap w:val="0"/>
                  <w:vAlign w:val="center"/>
                </w:tcPr>
                <w:p w14:paraId="08884F1E">
                  <w:pPr>
                    <w:jc w:val="center"/>
                    <w:rPr>
                      <w:rFonts w:hint="default" w:ascii="Times New Roman" w:hAnsi="Times New Roman" w:eastAsia="宋体" w:cs="Times New Roman"/>
                      <w:snapToGrid w:val="0"/>
                      <w:color w:val="auto"/>
                      <w:kern w:val="0"/>
                      <w:sz w:val="18"/>
                      <w:szCs w:val="18"/>
                      <w:highlight w:val="none"/>
                      <w:lang w:eastAsia="zh-CN"/>
                    </w:rPr>
                  </w:pPr>
                </w:p>
              </w:tc>
              <w:tc>
                <w:tcPr>
                  <w:tcW w:w="1107" w:type="pct"/>
                  <w:tcBorders>
                    <w:tl2br w:val="nil"/>
                    <w:tr2bl w:val="nil"/>
                  </w:tcBorders>
                  <w:noWrap w:val="0"/>
                  <w:vAlign w:val="center"/>
                </w:tcPr>
                <w:p w14:paraId="306DB248">
                  <w:pPr>
                    <w:jc w:val="center"/>
                    <w:rPr>
                      <w:rFonts w:hint="default" w:ascii="Times New Roman" w:hAnsi="Times New Roman" w:eastAsia="宋体" w:cs="Times New Roman"/>
                      <w:snapToGrid w:val="0"/>
                      <w:color w:val="auto"/>
                      <w:kern w:val="0"/>
                      <w:sz w:val="18"/>
                      <w:szCs w:val="18"/>
                      <w:highlight w:val="none"/>
                      <w:lang w:val="en-US" w:eastAsia="zh-CN"/>
                    </w:rPr>
                  </w:pPr>
                  <w:r>
                    <w:rPr>
                      <w:rFonts w:hint="default" w:ascii="Times New Roman" w:hAnsi="Times New Roman" w:eastAsia="宋体" w:cs="Times New Roman"/>
                      <w:snapToGrid w:val="0"/>
                      <w:color w:val="auto"/>
                      <w:kern w:val="0"/>
                      <w:sz w:val="18"/>
                      <w:szCs w:val="18"/>
                      <w:highlight w:val="none"/>
                      <w:lang w:val="en-US" w:eastAsia="zh-CN"/>
                    </w:rPr>
                    <w:t>11:32~11:42</w:t>
                  </w:r>
                </w:p>
              </w:tc>
              <w:tc>
                <w:tcPr>
                  <w:tcW w:w="1142" w:type="pct"/>
                  <w:tcBorders>
                    <w:tl2br w:val="nil"/>
                    <w:tr2bl w:val="nil"/>
                  </w:tcBorders>
                  <w:noWrap w:val="0"/>
                  <w:vAlign w:val="center"/>
                </w:tcPr>
                <w:p w14:paraId="615D0898">
                  <w:pPr>
                    <w:jc w:val="center"/>
                    <w:rPr>
                      <w:rFonts w:hint="default" w:ascii="Times New Roman" w:hAnsi="Times New Roman" w:eastAsia="宋体" w:cs="Times New Roman"/>
                      <w:snapToGrid w:val="0"/>
                      <w:color w:val="auto"/>
                      <w:kern w:val="0"/>
                      <w:sz w:val="18"/>
                      <w:szCs w:val="18"/>
                      <w:highlight w:val="none"/>
                      <w:lang w:val="en-US" w:eastAsia="zh-CN"/>
                    </w:rPr>
                  </w:pPr>
                  <w:r>
                    <w:rPr>
                      <w:rFonts w:hint="default" w:ascii="Times New Roman" w:hAnsi="Times New Roman" w:eastAsia="宋体" w:cs="Times New Roman"/>
                      <w:snapToGrid w:val="0"/>
                      <w:color w:val="auto"/>
                      <w:kern w:val="0"/>
                      <w:sz w:val="18"/>
                      <w:szCs w:val="18"/>
                      <w:highlight w:val="none"/>
                      <w:lang w:val="en-US" w:eastAsia="zh-CN"/>
                    </w:rPr>
                    <w:t>52</w:t>
                  </w:r>
                </w:p>
              </w:tc>
            </w:tr>
            <w:tr w14:paraId="22ECF7F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85" w:type="pct"/>
                  <w:tcBorders>
                    <w:tl2br w:val="nil"/>
                    <w:tr2bl w:val="nil"/>
                  </w:tcBorders>
                  <w:noWrap w:val="0"/>
                  <w:vAlign w:val="center"/>
                </w:tcPr>
                <w:p w14:paraId="332C0AA0">
                  <w:pPr>
                    <w:spacing w:line="240" w:lineRule="auto"/>
                    <w:ind w:firstLine="0" w:firstLineChars="0"/>
                    <w:jc w:val="center"/>
                    <w:rPr>
                      <w:rFonts w:hint="default" w:ascii="Times New Roman" w:hAnsi="Times New Roman" w:cs="Times New Roman"/>
                      <w:color w:val="auto"/>
                      <w:sz w:val="18"/>
                      <w:szCs w:val="18"/>
                      <w:highlight w:val="none"/>
                      <w:lang w:val="en-US" w:eastAsia="zh-CN"/>
                    </w:rPr>
                  </w:pPr>
                  <w:r>
                    <w:rPr>
                      <w:rFonts w:hint="default" w:ascii="Times New Roman" w:hAnsi="Times New Roman" w:cs="Times New Roman"/>
                      <w:color w:val="auto"/>
                      <w:sz w:val="18"/>
                      <w:szCs w:val="18"/>
                      <w:highlight w:val="none"/>
                      <w:lang w:val="en-US" w:eastAsia="zh-CN"/>
                    </w:rPr>
                    <w:t>厂界北</w:t>
                  </w:r>
                </w:p>
              </w:tc>
              <w:tc>
                <w:tcPr>
                  <w:tcW w:w="687" w:type="pct"/>
                  <w:tcBorders>
                    <w:tl2br w:val="nil"/>
                    <w:tr2bl w:val="nil"/>
                  </w:tcBorders>
                  <w:noWrap w:val="0"/>
                  <w:vAlign w:val="center"/>
                </w:tcPr>
                <w:p w14:paraId="3651AE70">
                  <w:pPr>
                    <w:jc w:val="center"/>
                    <w:rPr>
                      <w:rFonts w:ascii="Times New Roman" w:hAnsi="Times New Roman"/>
                      <w:color w:val="auto"/>
                      <w:kern w:val="2"/>
                      <w:sz w:val="18"/>
                      <w:szCs w:val="18"/>
                      <w:highlight w:val="none"/>
                      <w:lang w:val="en-US" w:eastAsia="zh-CN" w:bidi="ar-SA"/>
                    </w:rPr>
                  </w:pPr>
                  <w:r>
                    <w:rPr>
                      <w:rFonts w:ascii="Times New Roman" w:hAnsi="Times New Roman"/>
                      <w:color w:val="auto"/>
                      <w:sz w:val="18"/>
                      <w:szCs w:val="18"/>
                      <w:highlight w:val="none"/>
                    </w:rPr>
                    <w:t>N2</w:t>
                  </w:r>
                </w:p>
              </w:tc>
              <w:tc>
                <w:tcPr>
                  <w:tcW w:w="688" w:type="pct"/>
                  <w:tcBorders>
                    <w:tl2br w:val="nil"/>
                    <w:tr2bl w:val="nil"/>
                  </w:tcBorders>
                  <w:noWrap w:val="0"/>
                  <w:vAlign w:val="center"/>
                </w:tcPr>
                <w:p w14:paraId="2381511B">
                  <w:pPr>
                    <w:jc w:val="center"/>
                    <w:rPr>
                      <w:rFonts w:hint="default" w:ascii="Times New Roman" w:hAnsi="Times New Roman" w:eastAsia="宋体" w:cs="Times New Roman"/>
                      <w:snapToGrid w:val="0"/>
                      <w:color w:val="auto"/>
                      <w:kern w:val="0"/>
                      <w:sz w:val="18"/>
                      <w:szCs w:val="18"/>
                      <w:highlight w:val="none"/>
                      <w:lang w:eastAsia="zh-CN"/>
                    </w:rPr>
                  </w:pPr>
                  <w:r>
                    <w:rPr>
                      <w:rFonts w:hint="default" w:ascii="Times New Roman" w:hAnsi="Times New Roman" w:eastAsia="宋体" w:cs="Times New Roman"/>
                      <w:snapToGrid w:val="0"/>
                      <w:color w:val="auto"/>
                      <w:kern w:val="0"/>
                      <w:sz w:val="18"/>
                      <w:szCs w:val="18"/>
                      <w:highlight w:val="none"/>
                      <w:lang w:eastAsia="zh-CN"/>
                    </w:rPr>
                    <w:t>工业噪声</w:t>
                  </w:r>
                </w:p>
              </w:tc>
              <w:tc>
                <w:tcPr>
                  <w:tcW w:w="688" w:type="pct"/>
                  <w:vMerge w:val="continue"/>
                  <w:tcBorders>
                    <w:tl2br w:val="nil"/>
                    <w:tr2bl w:val="nil"/>
                  </w:tcBorders>
                  <w:noWrap w:val="0"/>
                  <w:vAlign w:val="center"/>
                </w:tcPr>
                <w:p w14:paraId="7731F9FC">
                  <w:pPr>
                    <w:jc w:val="center"/>
                    <w:rPr>
                      <w:rFonts w:hint="default" w:ascii="Times New Roman" w:hAnsi="Times New Roman" w:eastAsia="宋体" w:cs="Times New Roman"/>
                      <w:snapToGrid w:val="0"/>
                      <w:color w:val="auto"/>
                      <w:kern w:val="0"/>
                      <w:sz w:val="18"/>
                      <w:szCs w:val="18"/>
                      <w:highlight w:val="none"/>
                      <w:lang w:eastAsia="zh-CN"/>
                    </w:rPr>
                  </w:pPr>
                </w:p>
              </w:tc>
              <w:tc>
                <w:tcPr>
                  <w:tcW w:w="1107" w:type="pct"/>
                  <w:tcBorders>
                    <w:tl2br w:val="nil"/>
                    <w:tr2bl w:val="nil"/>
                  </w:tcBorders>
                  <w:noWrap w:val="0"/>
                  <w:vAlign w:val="center"/>
                </w:tcPr>
                <w:p w14:paraId="6EF00200">
                  <w:pPr>
                    <w:jc w:val="center"/>
                    <w:rPr>
                      <w:rFonts w:hint="default" w:ascii="Times New Roman" w:hAnsi="Times New Roman" w:eastAsia="宋体" w:cs="Times New Roman"/>
                      <w:snapToGrid w:val="0"/>
                      <w:color w:val="auto"/>
                      <w:kern w:val="0"/>
                      <w:sz w:val="18"/>
                      <w:szCs w:val="18"/>
                      <w:highlight w:val="none"/>
                      <w:lang w:val="en-US" w:eastAsia="zh-CN" w:bidi="ar-SA"/>
                    </w:rPr>
                  </w:pPr>
                  <w:r>
                    <w:rPr>
                      <w:rFonts w:hint="default" w:ascii="Times New Roman" w:hAnsi="Times New Roman" w:eastAsia="宋体" w:cs="Times New Roman"/>
                      <w:snapToGrid w:val="0"/>
                      <w:color w:val="auto"/>
                      <w:kern w:val="0"/>
                      <w:sz w:val="18"/>
                      <w:szCs w:val="18"/>
                      <w:highlight w:val="none"/>
                      <w:lang w:val="en-US" w:eastAsia="zh-CN"/>
                    </w:rPr>
                    <w:t>11:19~11:29</w:t>
                  </w:r>
                </w:p>
              </w:tc>
              <w:tc>
                <w:tcPr>
                  <w:tcW w:w="1142" w:type="pct"/>
                  <w:tcBorders>
                    <w:tl2br w:val="nil"/>
                    <w:tr2bl w:val="nil"/>
                  </w:tcBorders>
                  <w:noWrap w:val="0"/>
                  <w:vAlign w:val="center"/>
                </w:tcPr>
                <w:p w14:paraId="150D3A76">
                  <w:pPr>
                    <w:jc w:val="center"/>
                    <w:rPr>
                      <w:rFonts w:hint="default" w:ascii="Times New Roman" w:hAnsi="Times New Roman" w:eastAsia="宋体" w:cs="Times New Roman"/>
                      <w:snapToGrid w:val="0"/>
                      <w:color w:val="auto"/>
                      <w:kern w:val="0"/>
                      <w:sz w:val="18"/>
                      <w:szCs w:val="18"/>
                      <w:highlight w:val="none"/>
                      <w:lang w:val="en-US" w:eastAsia="zh-CN" w:bidi="ar-SA"/>
                    </w:rPr>
                  </w:pPr>
                  <w:r>
                    <w:rPr>
                      <w:rFonts w:hint="default" w:ascii="Times New Roman" w:hAnsi="Times New Roman" w:eastAsia="宋体" w:cs="Times New Roman"/>
                      <w:snapToGrid w:val="0"/>
                      <w:color w:val="auto"/>
                      <w:kern w:val="0"/>
                      <w:sz w:val="18"/>
                      <w:szCs w:val="18"/>
                      <w:highlight w:val="none"/>
                      <w:lang w:val="en-US" w:eastAsia="zh-CN"/>
                    </w:rPr>
                    <w:t>53</w:t>
                  </w:r>
                </w:p>
              </w:tc>
            </w:tr>
            <w:tr w14:paraId="0D484E5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85" w:type="pct"/>
                  <w:tcBorders>
                    <w:tl2br w:val="nil"/>
                    <w:tr2bl w:val="nil"/>
                  </w:tcBorders>
                  <w:noWrap w:val="0"/>
                  <w:vAlign w:val="center"/>
                </w:tcPr>
                <w:p w14:paraId="098DA7BC">
                  <w:pPr>
                    <w:spacing w:line="240" w:lineRule="auto"/>
                    <w:ind w:firstLine="0" w:firstLineChars="0"/>
                    <w:jc w:val="center"/>
                    <w:rPr>
                      <w:rFonts w:hint="default" w:ascii="Times New Roman" w:hAnsi="Times New Roman"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洛山社区党群服务中心</w:t>
                  </w:r>
                </w:p>
              </w:tc>
              <w:tc>
                <w:tcPr>
                  <w:tcW w:w="687" w:type="pct"/>
                  <w:tcBorders>
                    <w:tl2br w:val="nil"/>
                    <w:tr2bl w:val="nil"/>
                  </w:tcBorders>
                  <w:noWrap w:val="0"/>
                  <w:vAlign w:val="center"/>
                </w:tcPr>
                <w:p w14:paraId="04741E88">
                  <w:pPr>
                    <w:jc w:val="center"/>
                    <w:rPr>
                      <w:rFonts w:hint="default" w:ascii="Times New Roman" w:hAnsi="Times New Roman" w:eastAsia="宋体"/>
                      <w:color w:val="auto"/>
                      <w:sz w:val="18"/>
                      <w:szCs w:val="18"/>
                      <w:highlight w:val="none"/>
                      <w:lang w:val="en-US" w:eastAsia="zh-CN"/>
                    </w:rPr>
                  </w:pPr>
                  <w:r>
                    <w:rPr>
                      <w:rFonts w:hint="default" w:ascii="Times New Roman" w:hAnsi="Times New Roman"/>
                      <w:color w:val="auto"/>
                      <w:sz w:val="18"/>
                      <w:szCs w:val="18"/>
                      <w:highlight w:val="none"/>
                    </w:rPr>
                    <w:t>N</w:t>
                  </w:r>
                  <w:r>
                    <w:rPr>
                      <w:rFonts w:hint="default" w:ascii="Times New Roman" w:hAnsi="Times New Roman"/>
                      <w:color w:val="auto"/>
                      <w:sz w:val="18"/>
                      <w:szCs w:val="18"/>
                      <w:highlight w:val="none"/>
                      <w:lang w:val="en-US" w:eastAsia="zh-CN"/>
                    </w:rPr>
                    <w:t>5</w:t>
                  </w:r>
                </w:p>
              </w:tc>
              <w:tc>
                <w:tcPr>
                  <w:tcW w:w="688" w:type="pct"/>
                  <w:tcBorders>
                    <w:tl2br w:val="nil"/>
                    <w:tr2bl w:val="nil"/>
                  </w:tcBorders>
                  <w:noWrap w:val="0"/>
                  <w:vAlign w:val="center"/>
                </w:tcPr>
                <w:p w14:paraId="2DC67E47">
                  <w:pPr>
                    <w:jc w:val="center"/>
                    <w:rPr>
                      <w:rFonts w:hint="default" w:ascii="Times New Roman" w:hAnsi="Times New Roman" w:eastAsia="宋体" w:cs="Times New Roman"/>
                      <w:snapToGrid w:val="0"/>
                      <w:color w:val="auto"/>
                      <w:kern w:val="0"/>
                      <w:sz w:val="18"/>
                      <w:szCs w:val="18"/>
                      <w:highlight w:val="none"/>
                      <w:lang w:eastAsia="zh-CN"/>
                    </w:rPr>
                  </w:pPr>
                  <w:r>
                    <w:rPr>
                      <w:rFonts w:hint="default" w:ascii="Times New Roman" w:hAnsi="Times New Roman" w:eastAsia="宋体" w:cs="Times New Roman"/>
                      <w:snapToGrid w:val="0"/>
                      <w:color w:val="auto"/>
                      <w:kern w:val="0"/>
                      <w:sz w:val="18"/>
                      <w:szCs w:val="18"/>
                      <w:highlight w:val="none"/>
                      <w:lang w:eastAsia="zh-CN"/>
                    </w:rPr>
                    <w:t>交通噪声</w:t>
                  </w:r>
                </w:p>
              </w:tc>
              <w:tc>
                <w:tcPr>
                  <w:tcW w:w="688" w:type="pct"/>
                  <w:vMerge w:val="continue"/>
                  <w:tcBorders>
                    <w:tl2br w:val="nil"/>
                    <w:tr2bl w:val="nil"/>
                  </w:tcBorders>
                  <w:noWrap w:val="0"/>
                  <w:vAlign w:val="center"/>
                </w:tcPr>
                <w:p w14:paraId="1E819558">
                  <w:pPr>
                    <w:jc w:val="center"/>
                    <w:rPr>
                      <w:rFonts w:hint="default" w:ascii="Times New Roman" w:hAnsi="Times New Roman" w:eastAsia="宋体" w:cs="Times New Roman"/>
                      <w:snapToGrid w:val="0"/>
                      <w:color w:val="auto"/>
                      <w:kern w:val="0"/>
                      <w:sz w:val="18"/>
                      <w:szCs w:val="18"/>
                      <w:highlight w:val="none"/>
                      <w:lang w:eastAsia="zh-CN"/>
                    </w:rPr>
                  </w:pPr>
                </w:p>
              </w:tc>
              <w:tc>
                <w:tcPr>
                  <w:tcW w:w="1107" w:type="pct"/>
                  <w:tcBorders>
                    <w:tl2br w:val="nil"/>
                    <w:tr2bl w:val="nil"/>
                  </w:tcBorders>
                  <w:noWrap w:val="0"/>
                  <w:vAlign w:val="center"/>
                </w:tcPr>
                <w:p w14:paraId="7819C2D8">
                  <w:pPr>
                    <w:jc w:val="center"/>
                    <w:rPr>
                      <w:rFonts w:hint="default" w:ascii="Times New Roman" w:hAnsi="Times New Roman" w:eastAsia="宋体" w:cs="Times New Roman"/>
                      <w:snapToGrid w:val="0"/>
                      <w:color w:val="auto"/>
                      <w:kern w:val="0"/>
                      <w:sz w:val="18"/>
                      <w:szCs w:val="18"/>
                      <w:highlight w:val="none"/>
                      <w:lang w:val="en-US" w:eastAsia="zh-CN"/>
                    </w:rPr>
                  </w:pPr>
                  <w:r>
                    <w:rPr>
                      <w:rFonts w:hint="default" w:ascii="Times New Roman" w:hAnsi="Times New Roman" w:eastAsia="宋体" w:cs="Times New Roman"/>
                      <w:snapToGrid w:val="0"/>
                      <w:color w:val="auto"/>
                      <w:kern w:val="0"/>
                      <w:sz w:val="18"/>
                      <w:szCs w:val="18"/>
                      <w:highlight w:val="none"/>
                      <w:lang w:val="en-US" w:eastAsia="zh-CN"/>
                    </w:rPr>
                    <w:t>10:44~10:54</w:t>
                  </w:r>
                </w:p>
              </w:tc>
              <w:tc>
                <w:tcPr>
                  <w:tcW w:w="1142" w:type="pct"/>
                  <w:tcBorders>
                    <w:tl2br w:val="nil"/>
                    <w:tr2bl w:val="nil"/>
                  </w:tcBorders>
                  <w:noWrap w:val="0"/>
                  <w:vAlign w:val="center"/>
                </w:tcPr>
                <w:p w14:paraId="460B8C0B">
                  <w:pPr>
                    <w:jc w:val="center"/>
                    <w:rPr>
                      <w:rFonts w:hint="default" w:ascii="Times New Roman" w:hAnsi="Times New Roman" w:eastAsia="宋体" w:cs="Times New Roman"/>
                      <w:snapToGrid w:val="0"/>
                      <w:color w:val="auto"/>
                      <w:kern w:val="0"/>
                      <w:sz w:val="18"/>
                      <w:szCs w:val="18"/>
                      <w:highlight w:val="none"/>
                      <w:lang w:val="en-US" w:eastAsia="zh-CN"/>
                    </w:rPr>
                  </w:pPr>
                  <w:r>
                    <w:rPr>
                      <w:rFonts w:hint="default" w:ascii="Times New Roman" w:hAnsi="Times New Roman" w:eastAsia="宋体" w:cs="Times New Roman"/>
                      <w:snapToGrid w:val="0"/>
                      <w:color w:val="auto"/>
                      <w:kern w:val="0"/>
                      <w:sz w:val="18"/>
                      <w:szCs w:val="18"/>
                      <w:highlight w:val="none"/>
                      <w:lang w:val="en-US" w:eastAsia="zh-CN"/>
                    </w:rPr>
                    <w:t>53</w:t>
                  </w:r>
                </w:p>
              </w:tc>
            </w:tr>
            <w:tr w14:paraId="03958D0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85" w:type="pct"/>
                  <w:tcBorders>
                    <w:tl2br w:val="nil"/>
                    <w:tr2bl w:val="nil"/>
                  </w:tcBorders>
                  <w:noWrap w:val="0"/>
                  <w:vAlign w:val="center"/>
                </w:tcPr>
                <w:p w14:paraId="743E5883">
                  <w:pPr>
                    <w:spacing w:line="240" w:lineRule="auto"/>
                    <w:ind w:firstLine="0" w:firstLineChars="0"/>
                    <w:jc w:val="center"/>
                    <w:rPr>
                      <w:rFonts w:hint="default" w:ascii="Times New Roman" w:hAnsi="Times New Roman" w:eastAsia="宋体" w:cs="Times New Roman"/>
                      <w:snapToGrid w:val="0"/>
                      <w:color w:val="auto"/>
                      <w:kern w:val="0"/>
                      <w:sz w:val="18"/>
                      <w:szCs w:val="18"/>
                      <w:highlight w:val="none"/>
                      <w:lang w:val="en-US" w:eastAsia="zh-CN" w:bidi="ar-SA"/>
                    </w:rPr>
                  </w:pPr>
                  <w:r>
                    <w:rPr>
                      <w:rFonts w:hint="default" w:ascii="Times New Roman" w:hAnsi="Times New Roman" w:cs="Times New Roman"/>
                      <w:color w:val="auto"/>
                      <w:sz w:val="18"/>
                      <w:szCs w:val="18"/>
                      <w:highlight w:val="none"/>
                      <w:lang w:val="en-US" w:eastAsia="zh-CN"/>
                    </w:rPr>
                    <w:t>厂界东</w:t>
                  </w:r>
                </w:p>
              </w:tc>
              <w:tc>
                <w:tcPr>
                  <w:tcW w:w="687" w:type="pct"/>
                  <w:tcBorders>
                    <w:tl2br w:val="nil"/>
                    <w:tr2bl w:val="nil"/>
                  </w:tcBorders>
                  <w:noWrap w:val="0"/>
                  <w:vAlign w:val="center"/>
                </w:tcPr>
                <w:p w14:paraId="581AB286">
                  <w:pPr>
                    <w:jc w:val="center"/>
                    <w:rPr>
                      <w:rFonts w:hint="default" w:ascii="Times New Roman" w:hAnsi="Times New Roman"/>
                      <w:color w:val="auto"/>
                      <w:kern w:val="2"/>
                      <w:sz w:val="18"/>
                      <w:szCs w:val="18"/>
                      <w:highlight w:val="none"/>
                      <w:lang w:val="en-US" w:eastAsia="zh-CN" w:bidi="ar-SA"/>
                    </w:rPr>
                  </w:pPr>
                  <w:r>
                    <w:rPr>
                      <w:rFonts w:ascii="Times New Roman" w:hAnsi="Times New Roman"/>
                      <w:color w:val="auto"/>
                      <w:sz w:val="18"/>
                      <w:szCs w:val="18"/>
                      <w:highlight w:val="none"/>
                    </w:rPr>
                    <w:t>N1</w:t>
                  </w:r>
                </w:p>
              </w:tc>
              <w:tc>
                <w:tcPr>
                  <w:tcW w:w="688" w:type="pct"/>
                  <w:tcBorders>
                    <w:tl2br w:val="nil"/>
                    <w:tr2bl w:val="nil"/>
                  </w:tcBorders>
                  <w:noWrap w:val="0"/>
                  <w:vAlign w:val="center"/>
                </w:tcPr>
                <w:p w14:paraId="03F9F2FA">
                  <w:pPr>
                    <w:jc w:val="center"/>
                    <w:rPr>
                      <w:rFonts w:hint="default" w:ascii="Times New Roman" w:hAnsi="Times New Roman" w:eastAsia="宋体" w:cs="Times New Roman"/>
                      <w:snapToGrid w:val="0"/>
                      <w:color w:val="auto"/>
                      <w:kern w:val="0"/>
                      <w:sz w:val="18"/>
                      <w:szCs w:val="18"/>
                      <w:highlight w:val="none"/>
                      <w:lang w:val="en-US" w:eastAsia="zh-CN" w:bidi="ar-SA"/>
                    </w:rPr>
                  </w:pPr>
                  <w:r>
                    <w:rPr>
                      <w:rFonts w:hint="default" w:ascii="Times New Roman" w:hAnsi="Times New Roman" w:eastAsia="宋体" w:cs="Times New Roman"/>
                      <w:snapToGrid w:val="0"/>
                      <w:color w:val="auto"/>
                      <w:kern w:val="0"/>
                      <w:sz w:val="18"/>
                      <w:szCs w:val="18"/>
                      <w:highlight w:val="none"/>
                      <w:lang w:eastAsia="zh-CN"/>
                    </w:rPr>
                    <w:t>交通噪声</w:t>
                  </w:r>
                </w:p>
              </w:tc>
              <w:tc>
                <w:tcPr>
                  <w:tcW w:w="688" w:type="pct"/>
                  <w:vMerge w:val="restart"/>
                  <w:tcBorders>
                    <w:tl2br w:val="nil"/>
                    <w:tr2bl w:val="nil"/>
                  </w:tcBorders>
                  <w:noWrap w:val="0"/>
                  <w:vAlign w:val="center"/>
                </w:tcPr>
                <w:p w14:paraId="6F4502E5">
                  <w:pPr>
                    <w:jc w:val="center"/>
                    <w:rPr>
                      <w:rFonts w:hint="default" w:ascii="Times New Roman" w:hAnsi="Times New Roman" w:eastAsia="宋体" w:cs="Times New Roman"/>
                      <w:snapToGrid w:val="0"/>
                      <w:color w:val="auto"/>
                      <w:kern w:val="0"/>
                      <w:sz w:val="18"/>
                      <w:szCs w:val="18"/>
                      <w:highlight w:val="none"/>
                      <w:lang w:val="en-US" w:eastAsia="zh-CN"/>
                    </w:rPr>
                  </w:pPr>
                  <w:r>
                    <w:rPr>
                      <w:rFonts w:hint="default" w:ascii="Times New Roman" w:hAnsi="Times New Roman" w:eastAsia="宋体" w:cs="Times New Roman"/>
                      <w:snapToGrid w:val="0"/>
                      <w:color w:val="auto"/>
                      <w:kern w:val="0"/>
                      <w:sz w:val="18"/>
                      <w:szCs w:val="18"/>
                      <w:highlight w:val="none"/>
                      <w:lang w:val="en-US" w:eastAsia="zh-CN"/>
                    </w:rPr>
                    <w:t>2026.2.26</w:t>
                  </w:r>
                </w:p>
              </w:tc>
              <w:tc>
                <w:tcPr>
                  <w:tcW w:w="1107" w:type="pct"/>
                  <w:tcBorders>
                    <w:tl2br w:val="nil"/>
                    <w:tr2bl w:val="nil"/>
                  </w:tcBorders>
                  <w:noWrap w:val="0"/>
                  <w:vAlign w:val="center"/>
                </w:tcPr>
                <w:p w14:paraId="665FCFC3">
                  <w:pPr>
                    <w:jc w:val="center"/>
                    <w:rPr>
                      <w:rFonts w:hint="default" w:ascii="Times New Roman" w:hAnsi="Times New Roman" w:eastAsia="宋体" w:cs="Times New Roman"/>
                      <w:snapToGrid w:val="0"/>
                      <w:color w:val="auto"/>
                      <w:kern w:val="0"/>
                      <w:sz w:val="18"/>
                      <w:szCs w:val="18"/>
                      <w:highlight w:val="none"/>
                      <w:lang w:val="en-US" w:eastAsia="zh-CN"/>
                    </w:rPr>
                  </w:pPr>
                  <w:r>
                    <w:rPr>
                      <w:rFonts w:hint="default" w:ascii="Times New Roman" w:hAnsi="Times New Roman" w:eastAsia="宋体" w:cs="Times New Roman"/>
                      <w:snapToGrid w:val="0"/>
                      <w:color w:val="auto"/>
                      <w:kern w:val="0"/>
                      <w:sz w:val="18"/>
                      <w:szCs w:val="18"/>
                      <w:highlight w:val="none"/>
                      <w:lang w:val="en-US" w:eastAsia="zh-CN"/>
                    </w:rPr>
                    <w:t>12:30~12:50</w:t>
                  </w:r>
                </w:p>
              </w:tc>
              <w:tc>
                <w:tcPr>
                  <w:tcW w:w="1142" w:type="pct"/>
                  <w:tcBorders>
                    <w:tl2br w:val="nil"/>
                    <w:tr2bl w:val="nil"/>
                  </w:tcBorders>
                  <w:noWrap w:val="0"/>
                  <w:vAlign w:val="center"/>
                </w:tcPr>
                <w:p w14:paraId="38E8C1F7">
                  <w:pPr>
                    <w:jc w:val="center"/>
                    <w:rPr>
                      <w:rFonts w:hint="default" w:ascii="Times New Roman" w:hAnsi="Times New Roman" w:eastAsia="宋体" w:cs="Times New Roman"/>
                      <w:snapToGrid w:val="0"/>
                      <w:color w:val="auto"/>
                      <w:kern w:val="0"/>
                      <w:sz w:val="18"/>
                      <w:szCs w:val="18"/>
                      <w:highlight w:val="none"/>
                      <w:lang w:val="en-US" w:eastAsia="zh-CN"/>
                    </w:rPr>
                  </w:pPr>
                  <w:r>
                    <w:rPr>
                      <w:rFonts w:hint="default" w:ascii="Times New Roman" w:hAnsi="Times New Roman" w:eastAsia="宋体" w:cs="Times New Roman"/>
                      <w:snapToGrid w:val="0"/>
                      <w:color w:val="auto"/>
                      <w:kern w:val="0"/>
                      <w:sz w:val="18"/>
                      <w:szCs w:val="18"/>
                      <w:highlight w:val="none"/>
                      <w:lang w:val="en-US" w:eastAsia="zh-CN"/>
                    </w:rPr>
                    <w:t>60</w:t>
                  </w:r>
                </w:p>
              </w:tc>
            </w:tr>
            <w:tr w14:paraId="2892725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85" w:type="pct"/>
                  <w:tcBorders>
                    <w:tl2br w:val="nil"/>
                    <w:tr2bl w:val="nil"/>
                  </w:tcBorders>
                  <w:noWrap w:val="0"/>
                  <w:vAlign w:val="center"/>
                </w:tcPr>
                <w:p w14:paraId="3DC3E75C">
                  <w:pPr>
                    <w:spacing w:line="240" w:lineRule="auto"/>
                    <w:ind w:firstLine="0" w:firstLineChars="0"/>
                    <w:jc w:val="center"/>
                    <w:rPr>
                      <w:rFonts w:hint="default" w:ascii="Times New Roman" w:hAnsi="Times New Roman" w:eastAsia="宋体" w:cs="Times New Roman"/>
                      <w:snapToGrid w:val="0"/>
                      <w:color w:val="auto"/>
                      <w:kern w:val="0"/>
                      <w:sz w:val="18"/>
                      <w:szCs w:val="18"/>
                      <w:highlight w:val="none"/>
                      <w:lang w:val="en-US" w:eastAsia="zh-CN" w:bidi="ar-SA"/>
                    </w:rPr>
                  </w:pPr>
                  <w:r>
                    <w:rPr>
                      <w:rFonts w:hint="default" w:ascii="Times New Roman" w:hAnsi="Times New Roman" w:cs="Times New Roman"/>
                      <w:color w:val="auto"/>
                      <w:sz w:val="18"/>
                      <w:szCs w:val="18"/>
                      <w:highlight w:val="none"/>
                      <w:lang w:val="en-US" w:eastAsia="zh-CN"/>
                    </w:rPr>
                    <w:t>厂界南</w:t>
                  </w:r>
                </w:p>
              </w:tc>
              <w:tc>
                <w:tcPr>
                  <w:tcW w:w="687" w:type="pct"/>
                  <w:tcBorders>
                    <w:tl2br w:val="nil"/>
                    <w:tr2bl w:val="nil"/>
                  </w:tcBorders>
                  <w:noWrap w:val="0"/>
                  <w:vAlign w:val="center"/>
                </w:tcPr>
                <w:p w14:paraId="47C9A71C">
                  <w:pPr>
                    <w:jc w:val="center"/>
                    <w:rPr>
                      <w:rFonts w:hint="default" w:ascii="Times New Roman" w:hAnsi="Times New Roman"/>
                      <w:color w:val="auto"/>
                      <w:kern w:val="2"/>
                      <w:sz w:val="18"/>
                      <w:szCs w:val="18"/>
                      <w:highlight w:val="none"/>
                      <w:lang w:val="en-US" w:eastAsia="zh-CN" w:bidi="ar-SA"/>
                    </w:rPr>
                  </w:pPr>
                  <w:r>
                    <w:rPr>
                      <w:rFonts w:hint="default" w:ascii="Times New Roman" w:hAnsi="Times New Roman"/>
                      <w:color w:val="auto"/>
                      <w:sz w:val="18"/>
                      <w:szCs w:val="18"/>
                      <w:highlight w:val="none"/>
                    </w:rPr>
                    <w:t>N</w:t>
                  </w:r>
                  <w:r>
                    <w:rPr>
                      <w:rFonts w:ascii="Times New Roman" w:hAnsi="Times New Roman"/>
                      <w:color w:val="auto"/>
                      <w:sz w:val="18"/>
                      <w:szCs w:val="18"/>
                      <w:highlight w:val="none"/>
                    </w:rPr>
                    <w:t>4</w:t>
                  </w:r>
                </w:p>
              </w:tc>
              <w:tc>
                <w:tcPr>
                  <w:tcW w:w="688" w:type="pct"/>
                  <w:tcBorders>
                    <w:tl2br w:val="nil"/>
                    <w:tr2bl w:val="nil"/>
                  </w:tcBorders>
                  <w:noWrap w:val="0"/>
                  <w:vAlign w:val="center"/>
                </w:tcPr>
                <w:p w14:paraId="17E82C62">
                  <w:pPr>
                    <w:jc w:val="center"/>
                    <w:rPr>
                      <w:rFonts w:hint="default" w:ascii="Times New Roman" w:hAnsi="Times New Roman" w:eastAsia="宋体" w:cs="Times New Roman"/>
                      <w:snapToGrid w:val="0"/>
                      <w:color w:val="auto"/>
                      <w:kern w:val="0"/>
                      <w:sz w:val="18"/>
                      <w:szCs w:val="18"/>
                      <w:highlight w:val="none"/>
                      <w:lang w:val="en-US" w:eastAsia="zh-CN" w:bidi="ar-SA"/>
                    </w:rPr>
                  </w:pPr>
                  <w:r>
                    <w:rPr>
                      <w:rFonts w:hint="default" w:ascii="Times New Roman" w:hAnsi="Times New Roman" w:eastAsia="宋体" w:cs="Times New Roman"/>
                      <w:snapToGrid w:val="0"/>
                      <w:color w:val="auto"/>
                      <w:kern w:val="0"/>
                      <w:sz w:val="18"/>
                      <w:szCs w:val="18"/>
                      <w:highlight w:val="none"/>
                      <w:lang w:eastAsia="zh-CN"/>
                    </w:rPr>
                    <w:t>工业噪声</w:t>
                  </w:r>
                </w:p>
              </w:tc>
              <w:tc>
                <w:tcPr>
                  <w:tcW w:w="688" w:type="pct"/>
                  <w:vMerge w:val="continue"/>
                  <w:tcBorders>
                    <w:tl2br w:val="nil"/>
                    <w:tr2bl w:val="nil"/>
                  </w:tcBorders>
                  <w:noWrap w:val="0"/>
                  <w:vAlign w:val="center"/>
                </w:tcPr>
                <w:p w14:paraId="371B2DF7">
                  <w:pPr>
                    <w:jc w:val="center"/>
                    <w:rPr>
                      <w:rFonts w:hint="default" w:ascii="Times New Roman" w:hAnsi="Times New Roman" w:eastAsia="宋体" w:cs="Times New Roman"/>
                      <w:snapToGrid w:val="0"/>
                      <w:color w:val="auto"/>
                      <w:kern w:val="0"/>
                      <w:sz w:val="18"/>
                      <w:szCs w:val="18"/>
                      <w:highlight w:val="none"/>
                      <w:lang w:eastAsia="zh-CN"/>
                    </w:rPr>
                  </w:pPr>
                </w:p>
              </w:tc>
              <w:tc>
                <w:tcPr>
                  <w:tcW w:w="1107" w:type="pct"/>
                  <w:tcBorders>
                    <w:tl2br w:val="nil"/>
                    <w:tr2bl w:val="nil"/>
                  </w:tcBorders>
                  <w:noWrap w:val="0"/>
                  <w:vAlign w:val="center"/>
                </w:tcPr>
                <w:p w14:paraId="3567AD80">
                  <w:pPr>
                    <w:jc w:val="center"/>
                    <w:rPr>
                      <w:rFonts w:hint="default" w:ascii="Times New Roman" w:hAnsi="Times New Roman" w:eastAsia="宋体" w:cs="Times New Roman"/>
                      <w:snapToGrid w:val="0"/>
                      <w:color w:val="auto"/>
                      <w:kern w:val="0"/>
                      <w:sz w:val="18"/>
                      <w:szCs w:val="18"/>
                      <w:highlight w:val="none"/>
                      <w:lang w:val="en-US" w:eastAsia="zh-CN" w:bidi="ar-SA"/>
                    </w:rPr>
                  </w:pPr>
                  <w:r>
                    <w:rPr>
                      <w:rFonts w:hint="default" w:ascii="Times New Roman" w:hAnsi="Times New Roman" w:eastAsia="宋体" w:cs="Times New Roman"/>
                      <w:snapToGrid w:val="0"/>
                      <w:color w:val="auto"/>
                      <w:kern w:val="0"/>
                      <w:sz w:val="18"/>
                      <w:szCs w:val="18"/>
                      <w:highlight w:val="none"/>
                      <w:lang w:val="en-US" w:eastAsia="zh-CN"/>
                    </w:rPr>
                    <w:t>13:16~13:26</w:t>
                  </w:r>
                </w:p>
              </w:tc>
              <w:tc>
                <w:tcPr>
                  <w:tcW w:w="1142" w:type="pct"/>
                  <w:tcBorders>
                    <w:tl2br w:val="nil"/>
                    <w:tr2bl w:val="nil"/>
                  </w:tcBorders>
                  <w:noWrap w:val="0"/>
                  <w:vAlign w:val="center"/>
                </w:tcPr>
                <w:p w14:paraId="0753D7FC">
                  <w:pPr>
                    <w:jc w:val="center"/>
                    <w:rPr>
                      <w:rFonts w:hint="default" w:ascii="Times New Roman" w:hAnsi="Times New Roman" w:eastAsia="宋体" w:cs="Times New Roman"/>
                      <w:snapToGrid w:val="0"/>
                      <w:color w:val="auto"/>
                      <w:kern w:val="0"/>
                      <w:sz w:val="18"/>
                      <w:szCs w:val="18"/>
                      <w:highlight w:val="none"/>
                      <w:lang w:val="en-US" w:eastAsia="zh-CN" w:bidi="ar-SA"/>
                    </w:rPr>
                  </w:pPr>
                  <w:r>
                    <w:rPr>
                      <w:rFonts w:hint="default" w:ascii="Times New Roman" w:hAnsi="Times New Roman" w:eastAsia="宋体" w:cs="Times New Roman"/>
                      <w:snapToGrid w:val="0"/>
                      <w:color w:val="auto"/>
                      <w:kern w:val="0"/>
                      <w:sz w:val="18"/>
                      <w:szCs w:val="18"/>
                      <w:highlight w:val="none"/>
                      <w:lang w:val="en-US" w:eastAsia="zh-CN"/>
                    </w:rPr>
                    <w:t>56</w:t>
                  </w:r>
                </w:p>
              </w:tc>
            </w:tr>
            <w:tr w14:paraId="007932E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85" w:type="pct"/>
                  <w:tcBorders>
                    <w:tl2br w:val="nil"/>
                    <w:tr2bl w:val="nil"/>
                  </w:tcBorders>
                  <w:noWrap w:val="0"/>
                  <w:vAlign w:val="center"/>
                </w:tcPr>
                <w:p w14:paraId="5B3D4DBA">
                  <w:pPr>
                    <w:spacing w:line="240" w:lineRule="auto"/>
                    <w:ind w:firstLine="0" w:firstLineChars="0"/>
                    <w:jc w:val="center"/>
                    <w:rPr>
                      <w:rFonts w:hint="default" w:ascii="Times New Roman" w:hAnsi="Times New Roman" w:cs="Times New Roman"/>
                      <w:color w:val="auto"/>
                      <w:kern w:val="2"/>
                      <w:sz w:val="18"/>
                      <w:szCs w:val="18"/>
                      <w:highlight w:val="none"/>
                      <w:lang w:val="en-US" w:eastAsia="zh-CN" w:bidi="ar-SA"/>
                    </w:rPr>
                  </w:pPr>
                  <w:r>
                    <w:rPr>
                      <w:rFonts w:hint="default" w:ascii="Times New Roman" w:hAnsi="Times New Roman" w:cs="Times New Roman"/>
                      <w:color w:val="auto"/>
                      <w:sz w:val="18"/>
                      <w:szCs w:val="18"/>
                      <w:highlight w:val="none"/>
                      <w:lang w:val="en-US" w:eastAsia="zh-CN"/>
                    </w:rPr>
                    <w:t>厂界西</w:t>
                  </w:r>
                </w:p>
              </w:tc>
              <w:tc>
                <w:tcPr>
                  <w:tcW w:w="687" w:type="pct"/>
                  <w:tcBorders>
                    <w:tl2br w:val="nil"/>
                    <w:tr2bl w:val="nil"/>
                  </w:tcBorders>
                  <w:noWrap w:val="0"/>
                  <w:vAlign w:val="center"/>
                </w:tcPr>
                <w:p w14:paraId="7AFF16BA">
                  <w:pPr>
                    <w:jc w:val="center"/>
                    <w:rPr>
                      <w:rFonts w:hint="default" w:ascii="Times New Roman" w:hAnsi="Times New Roman"/>
                      <w:color w:val="auto"/>
                      <w:kern w:val="2"/>
                      <w:sz w:val="18"/>
                      <w:szCs w:val="18"/>
                      <w:highlight w:val="none"/>
                      <w:lang w:val="en-US" w:eastAsia="zh-CN" w:bidi="ar-SA"/>
                    </w:rPr>
                  </w:pPr>
                  <w:r>
                    <w:rPr>
                      <w:rFonts w:ascii="Times New Roman" w:hAnsi="Times New Roman"/>
                      <w:color w:val="auto"/>
                      <w:sz w:val="18"/>
                      <w:szCs w:val="18"/>
                      <w:highlight w:val="none"/>
                    </w:rPr>
                    <w:t>N3</w:t>
                  </w:r>
                </w:p>
              </w:tc>
              <w:tc>
                <w:tcPr>
                  <w:tcW w:w="688" w:type="pct"/>
                  <w:tcBorders>
                    <w:tl2br w:val="nil"/>
                    <w:tr2bl w:val="nil"/>
                  </w:tcBorders>
                  <w:noWrap w:val="0"/>
                  <w:vAlign w:val="center"/>
                </w:tcPr>
                <w:p w14:paraId="11817B12">
                  <w:pPr>
                    <w:jc w:val="center"/>
                    <w:rPr>
                      <w:rFonts w:hint="default" w:ascii="Times New Roman" w:hAnsi="Times New Roman" w:eastAsia="宋体" w:cs="Times New Roman"/>
                      <w:snapToGrid w:val="0"/>
                      <w:color w:val="auto"/>
                      <w:kern w:val="0"/>
                      <w:sz w:val="18"/>
                      <w:szCs w:val="18"/>
                      <w:highlight w:val="none"/>
                      <w:lang w:val="en-US" w:eastAsia="zh-CN" w:bidi="ar-SA"/>
                    </w:rPr>
                  </w:pPr>
                  <w:r>
                    <w:rPr>
                      <w:rFonts w:hint="default" w:ascii="Times New Roman" w:hAnsi="Times New Roman" w:eastAsia="宋体" w:cs="Times New Roman"/>
                      <w:snapToGrid w:val="0"/>
                      <w:color w:val="auto"/>
                      <w:kern w:val="0"/>
                      <w:sz w:val="18"/>
                      <w:szCs w:val="18"/>
                      <w:highlight w:val="none"/>
                      <w:lang w:eastAsia="zh-CN"/>
                    </w:rPr>
                    <w:t>工业噪声</w:t>
                  </w:r>
                </w:p>
              </w:tc>
              <w:tc>
                <w:tcPr>
                  <w:tcW w:w="688" w:type="pct"/>
                  <w:vMerge w:val="continue"/>
                  <w:tcBorders>
                    <w:tl2br w:val="nil"/>
                    <w:tr2bl w:val="nil"/>
                  </w:tcBorders>
                  <w:noWrap w:val="0"/>
                  <w:vAlign w:val="center"/>
                </w:tcPr>
                <w:p w14:paraId="6D5C63A4">
                  <w:pPr>
                    <w:jc w:val="center"/>
                    <w:rPr>
                      <w:rFonts w:hint="default" w:ascii="Times New Roman" w:hAnsi="Times New Roman" w:eastAsia="宋体" w:cs="Times New Roman"/>
                      <w:snapToGrid w:val="0"/>
                      <w:color w:val="auto"/>
                      <w:kern w:val="0"/>
                      <w:sz w:val="18"/>
                      <w:szCs w:val="18"/>
                      <w:highlight w:val="none"/>
                      <w:lang w:eastAsia="zh-CN"/>
                    </w:rPr>
                  </w:pPr>
                </w:p>
              </w:tc>
              <w:tc>
                <w:tcPr>
                  <w:tcW w:w="1107" w:type="pct"/>
                  <w:tcBorders>
                    <w:tl2br w:val="nil"/>
                    <w:tr2bl w:val="nil"/>
                  </w:tcBorders>
                  <w:noWrap w:val="0"/>
                  <w:vAlign w:val="center"/>
                </w:tcPr>
                <w:p w14:paraId="6EDFF765">
                  <w:pPr>
                    <w:jc w:val="center"/>
                    <w:rPr>
                      <w:rFonts w:hint="default" w:ascii="Times New Roman" w:hAnsi="Times New Roman" w:eastAsia="宋体" w:cs="Times New Roman"/>
                      <w:snapToGrid w:val="0"/>
                      <w:color w:val="auto"/>
                      <w:kern w:val="0"/>
                      <w:sz w:val="18"/>
                      <w:szCs w:val="18"/>
                      <w:highlight w:val="none"/>
                      <w:lang w:val="en-US" w:eastAsia="zh-CN"/>
                    </w:rPr>
                  </w:pPr>
                  <w:r>
                    <w:rPr>
                      <w:rFonts w:hint="default" w:ascii="Times New Roman" w:hAnsi="Times New Roman" w:eastAsia="宋体" w:cs="Times New Roman"/>
                      <w:snapToGrid w:val="0"/>
                      <w:color w:val="auto"/>
                      <w:kern w:val="0"/>
                      <w:sz w:val="18"/>
                      <w:szCs w:val="18"/>
                      <w:highlight w:val="none"/>
                      <w:lang w:val="en-US" w:eastAsia="zh-CN"/>
                    </w:rPr>
                    <w:t>13:05~13:15</w:t>
                  </w:r>
                </w:p>
              </w:tc>
              <w:tc>
                <w:tcPr>
                  <w:tcW w:w="1142" w:type="pct"/>
                  <w:tcBorders>
                    <w:tl2br w:val="nil"/>
                    <w:tr2bl w:val="nil"/>
                  </w:tcBorders>
                  <w:noWrap w:val="0"/>
                  <w:vAlign w:val="center"/>
                </w:tcPr>
                <w:p w14:paraId="299DD76A">
                  <w:pPr>
                    <w:jc w:val="center"/>
                    <w:rPr>
                      <w:rFonts w:hint="default" w:ascii="Times New Roman" w:hAnsi="Times New Roman" w:eastAsia="宋体" w:cs="Times New Roman"/>
                      <w:snapToGrid w:val="0"/>
                      <w:color w:val="auto"/>
                      <w:kern w:val="0"/>
                      <w:sz w:val="18"/>
                      <w:szCs w:val="18"/>
                      <w:highlight w:val="none"/>
                      <w:lang w:val="en-US" w:eastAsia="zh-CN"/>
                    </w:rPr>
                  </w:pPr>
                  <w:r>
                    <w:rPr>
                      <w:rFonts w:hint="default" w:ascii="Times New Roman" w:hAnsi="Times New Roman" w:eastAsia="宋体" w:cs="Times New Roman"/>
                      <w:snapToGrid w:val="0"/>
                      <w:color w:val="auto"/>
                      <w:kern w:val="0"/>
                      <w:sz w:val="18"/>
                      <w:szCs w:val="18"/>
                      <w:highlight w:val="none"/>
                      <w:lang w:val="en-US" w:eastAsia="zh-CN"/>
                    </w:rPr>
                    <w:t>55</w:t>
                  </w:r>
                </w:p>
              </w:tc>
            </w:tr>
            <w:tr w14:paraId="3440874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85" w:type="pct"/>
                  <w:tcBorders>
                    <w:tl2br w:val="nil"/>
                    <w:tr2bl w:val="nil"/>
                  </w:tcBorders>
                  <w:noWrap w:val="0"/>
                  <w:vAlign w:val="center"/>
                </w:tcPr>
                <w:p w14:paraId="108B711D">
                  <w:pPr>
                    <w:spacing w:line="240" w:lineRule="auto"/>
                    <w:ind w:firstLine="0" w:firstLineChars="0"/>
                    <w:jc w:val="center"/>
                    <w:rPr>
                      <w:rFonts w:hint="default" w:ascii="Times New Roman" w:hAnsi="Times New Roman" w:cs="Times New Roman"/>
                      <w:color w:val="auto"/>
                      <w:kern w:val="2"/>
                      <w:sz w:val="18"/>
                      <w:szCs w:val="18"/>
                      <w:highlight w:val="none"/>
                      <w:lang w:val="en-US" w:eastAsia="zh-CN" w:bidi="ar-SA"/>
                    </w:rPr>
                  </w:pPr>
                  <w:r>
                    <w:rPr>
                      <w:rFonts w:hint="default" w:ascii="Times New Roman" w:hAnsi="Times New Roman" w:cs="Times New Roman"/>
                      <w:color w:val="auto"/>
                      <w:sz w:val="18"/>
                      <w:szCs w:val="18"/>
                      <w:highlight w:val="none"/>
                      <w:lang w:val="en-US" w:eastAsia="zh-CN"/>
                    </w:rPr>
                    <w:t>厂界北</w:t>
                  </w:r>
                </w:p>
              </w:tc>
              <w:tc>
                <w:tcPr>
                  <w:tcW w:w="687" w:type="pct"/>
                  <w:tcBorders>
                    <w:tl2br w:val="nil"/>
                    <w:tr2bl w:val="nil"/>
                  </w:tcBorders>
                  <w:noWrap w:val="0"/>
                  <w:vAlign w:val="center"/>
                </w:tcPr>
                <w:p w14:paraId="1BFC8DB4">
                  <w:pPr>
                    <w:jc w:val="center"/>
                    <w:rPr>
                      <w:rFonts w:hint="default" w:ascii="Times New Roman" w:hAnsi="Times New Roman"/>
                      <w:color w:val="auto"/>
                      <w:kern w:val="2"/>
                      <w:sz w:val="18"/>
                      <w:szCs w:val="18"/>
                      <w:highlight w:val="none"/>
                      <w:lang w:val="en-US" w:eastAsia="zh-CN" w:bidi="ar-SA"/>
                    </w:rPr>
                  </w:pPr>
                  <w:r>
                    <w:rPr>
                      <w:rFonts w:ascii="Times New Roman" w:hAnsi="Times New Roman"/>
                      <w:color w:val="auto"/>
                      <w:sz w:val="18"/>
                      <w:szCs w:val="18"/>
                      <w:highlight w:val="none"/>
                    </w:rPr>
                    <w:t>N2</w:t>
                  </w:r>
                </w:p>
              </w:tc>
              <w:tc>
                <w:tcPr>
                  <w:tcW w:w="688" w:type="pct"/>
                  <w:tcBorders>
                    <w:tl2br w:val="nil"/>
                    <w:tr2bl w:val="nil"/>
                  </w:tcBorders>
                  <w:noWrap w:val="0"/>
                  <w:vAlign w:val="center"/>
                </w:tcPr>
                <w:p w14:paraId="0A9B240D">
                  <w:pPr>
                    <w:jc w:val="center"/>
                    <w:rPr>
                      <w:rFonts w:hint="default" w:ascii="Times New Roman" w:hAnsi="Times New Roman" w:eastAsia="宋体" w:cs="Times New Roman"/>
                      <w:snapToGrid w:val="0"/>
                      <w:color w:val="auto"/>
                      <w:kern w:val="0"/>
                      <w:sz w:val="18"/>
                      <w:szCs w:val="18"/>
                      <w:highlight w:val="none"/>
                      <w:lang w:val="en-US" w:eastAsia="zh-CN" w:bidi="ar-SA"/>
                    </w:rPr>
                  </w:pPr>
                  <w:r>
                    <w:rPr>
                      <w:rFonts w:hint="default" w:ascii="Times New Roman" w:hAnsi="Times New Roman" w:eastAsia="宋体" w:cs="Times New Roman"/>
                      <w:snapToGrid w:val="0"/>
                      <w:color w:val="auto"/>
                      <w:kern w:val="0"/>
                      <w:sz w:val="18"/>
                      <w:szCs w:val="18"/>
                      <w:highlight w:val="none"/>
                      <w:lang w:eastAsia="zh-CN"/>
                    </w:rPr>
                    <w:t>工业噪声</w:t>
                  </w:r>
                </w:p>
              </w:tc>
              <w:tc>
                <w:tcPr>
                  <w:tcW w:w="688" w:type="pct"/>
                  <w:vMerge w:val="continue"/>
                  <w:tcBorders>
                    <w:tl2br w:val="nil"/>
                    <w:tr2bl w:val="nil"/>
                  </w:tcBorders>
                  <w:noWrap w:val="0"/>
                  <w:vAlign w:val="center"/>
                </w:tcPr>
                <w:p w14:paraId="60315E9F">
                  <w:pPr>
                    <w:jc w:val="center"/>
                    <w:rPr>
                      <w:rFonts w:hint="default" w:ascii="Times New Roman" w:hAnsi="Times New Roman" w:eastAsia="宋体" w:cs="Times New Roman"/>
                      <w:snapToGrid w:val="0"/>
                      <w:color w:val="auto"/>
                      <w:kern w:val="0"/>
                      <w:sz w:val="18"/>
                      <w:szCs w:val="18"/>
                      <w:highlight w:val="none"/>
                      <w:lang w:eastAsia="zh-CN"/>
                    </w:rPr>
                  </w:pPr>
                </w:p>
              </w:tc>
              <w:tc>
                <w:tcPr>
                  <w:tcW w:w="1107" w:type="pct"/>
                  <w:tcBorders>
                    <w:tl2br w:val="nil"/>
                    <w:tr2bl w:val="nil"/>
                  </w:tcBorders>
                  <w:noWrap w:val="0"/>
                  <w:vAlign w:val="center"/>
                </w:tcPr>
                <w:p w14:paraId="395DD727">
                  <w:pPr>
                    <w:jc w:val="center"/>
                    <w:rPr>
                      <w:rFonts w:hint="default" w:ascii="Times New Roman" w:hAnsi="Times New Roman" w:eastAsia="宋体" w:cs="Times New Roman"/>
                      <w:snapToGrid w:val="0"/>
                      <w:color w:val="auto"/>
                      <w:kern w:val="0"/>
                      <w:sz w:val="18"/>
                      <w:szCs w:val="18"/>
                      <w:highlight w:val="none"/>
                      <w:lang w:val="en-US" w:eastAsia="zh-CN" w:bidi="ar-SA"/>
                    </w:rPr>
                  </w:pPr>
                  <w:r>
                    <w:rPr>
                      <w:rFonts w:hint="default" w:ascii="Times New Roman" w:hAnsi="Times New Roman" w:eastAsia="宋体" w:cs="Times New Roman"/>
                      <w:snapToGrid w:val="0"/>
                      <w:color w:val="auto"/>
                      <w:kern w:val="0"/>
                      <w:sz w:val="18"/>
                      <w:szCs w:val="18"/>
                      <w:highlight w:val="none"/>
                      <w:lang w:val="en-US" w:eastAsia="zh-CN"/>
                    </w:rPr>
                    <w:t>12:53~13:03</w:t>
                  </w:r>
                </w:p>
              </w:tc>
              <w:tc>
                <w:tcPr>
                  <w:tcW w:w="1142" w:type="pct"/>
                  <w:tcBorders>
                    <w:tl2br w:val="nil"/>
                    <w:tr2bl w:val="nil"/>
                  </w:tcBorders>
                  <w:noWrap w:val="0"/>
                  <w:vAlign w:val="center"/>
                </w:tcPr>
                <w:p w14:paraId="033443A7">
                  <w:pPr>
                    <w:jc w:val="center"/>
                    <w:rPr>
                      <w:rFonts w:hint="default" w:ascii="Times New Roman" w:hAnsi="Times New Roman" w:eastAsia="宋体" w:cs="Times New Roman"/>
                      <w:snapToGrid w:val="0"/>
                      <w:color w:val="auto"/>
                      <w:kern w:val="0"/>
                      <w:sz w:val="18"/>
                      <w:szCs w:val="18"/>
                      <w:highlight w:val="none"/>
                      <w:lang w:val="en-US" w:eastAsia="zh-CN" w:bidi="ar-SA"/>
                    </w:rPr>
                  </w:pPr>
                  <w:r>
                    <w:rPr>
                      <w:rFonts w:hint="default" w:ascii="Times New Roman" w:hAnsi="Times New Roman" w:eastAsia="宋体" w:cs="Times New Roman"/>
                      <w:snapToGrid w:val="0"/>
                      <w:color w:val="auto"/>
                      <w:kern w:val="0"/>
                      <w:sz w:val="18"/>
                      <w:szCs w:val="18"/>
                      <w:highlight w:val="none"/>
                      <w:lang w:val="en-US" w:eastAsia="zh-CN"/>
                    </w:rPr>
                    <w:t>55</w:t>
                  </w:r>
                </w:p>
              </w:tc>
            </w:tr>
            <w:tr w14:paraId="095361E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85" w:type="pct"/>
                  <w:tcBorders>
                    <w:tl2br w:val="nil"/>
                    <w:tr2bl w:val="nil"/>
                  </w:tcBorders>
                  <w:noWrap w:val="0"/>
                  <w:vAlign w:val="center"/>
                </w:tcPr>
                <w:p w14:paraId="5E7F2F3C">
                  <w:pPr>
                    <w:spacing w:line="240" w:lineRule="auto"/>
                    <w:ind w:firstLine="0" w:firstLineChars="0"/>
                    <w:jc w:val="center"/>
                    <w:rPr>
                      <w:rFonts w:hint="default" w:ascii="Times New Roman" w:hAnsi="Times New Roman" w:cs="Times New Roman"/>
                      <w:color w:val="auto"/>
                      <w:kern w:val="2"/>
                      <w:sz w:val="18"/>
                      <w:szCs w:val="18"/>
                      <w:highlight w:val="none"/>
                      <w:lang w:val="en-US" w:eastAsia="zh-CN" w:bidi="ar-SA"/>
                    </w:rPr>
                  </w:pPr>
                  <w:r>
                    <w:rPr>
                      <w:rFonts w:hint="default" w:ascii="Times New Roman" w:hAnsi="Times New Roman" w:eastAsia="宋体" w:cs="Times New Roman"/>
                      <w:color w:val="auto"/>
                      <w:sz w:val="18"/>
                      <w:szCs w:val="18"/>
                      <w:highlight w:val="none"/>
                      <w:lang w:val="en-US" w:eastAsia="zh-CN"/>
                    </w:rPr>
                    <w:t>洛山社区党群服务中心</w:t>
                  </w:r>
                </w:p>
              </w:tc>
              <w:tc>
                <w:tcPr>
                  <w:tcW w:w="687" w:type="pct"/>
                  <w:tcBorders>
                    <w:tl2br w:val="nil"/>
                    <w:tr2bl w:val="nil"/>
                  </w:tcBorders>
                  <w:noWrap w:val="0"/>
                  <w:vAlign w:val="center"/>
                </w:tcPr>
                <w:p w14:paraId="753C996D">
                  <w:pPr>
                    <w:jc w:val="center"/>
                    <w:rPr>
                      <w:rFonts w:hint="default" w:ascii="Times New Roman" w:hAnsi="Times New Roman" w:eastAsia="宋体"/>
                      <w:color w:val="auto"/>
                      <w:kern w:val="2"/>
                      <w:sz w:val="18"/>
                      <w:szCs w:val="18"/>
                      <w:highlight w:val="none"/>
                      <w:lang w:val="en-US" w:eastAsia="zh-CN" w:bidi="ar-SA"/>
                    </w:rPr>
                  </w:pPr>
                  <w:r>
                    <w:rPr>
                      <w:rFonts w:hint="default" w:ascii="Times New Roman" w:hAnsi="Times New Roman"/>
                      <w:color w:val="auto"/>
                      <w:sz w:val="18"/>
                      <w:szCs w:val="18"/>
                      <w:highlight w:val="none"/>
                    </w:rPr>
                    <w:t>N</w:t>
                  </w:r>
                  <w:r>
                    <w:rPr>
                      <w:rFonts w:hint="default" w:ascii="Times New Roman" w:hAnsi="Times New Roman"/>
                      <w:color w:val="auto"/>
                      <w:sz w:val="18"/>
                      <w:szCs w:val="18"/>
                      <w:highlight w:val="none"/>
                      <w:lang w:val="en-US" w:eastAsia="zh-CN"/>
                    </w:rPr>
                    <w:t>5</w:t>
                  </w:r>
                </w:p>
              </w:tc>
              <w:tc>
                <w:tcPr>
                  <w:tcW w:w="688" w:type="pct"/>
                  <w:tcBorders>
                    <w:tl2br w:val="nil"/>
                    <w:tr2bl w:val="nil"/>
                  </w:tcBorders>
                  <w:noWrap w:val="0"/>
                  <w:vAlign w:val="center"/>
                </w:tcPr>
                <w:p w14:paraId="6E009A79">
                  <w:pPr>
                    <w:jc w:val="center"/>
                    <w:rPr>
                      <w:rFonts w:hint="default" w:ascii="Times New Roman" w:hAnsi="Times New Roman" w:eastAsia="宋体" w:cs="Times New Roman"/>
                      <w:snapToGrid w:val="0"/>
                      <w:color w:val="auto"/>
                      <w:kern w:val="0"/>
                      <w:sz w:val="18"/>
                      <w:szCs w:val="18"/>
                      <w:highlight w:val="none"/>
                      <w:lang w:val="en-US" w:eastAsia="zh-CN" w:bidi="ar-SA"/>
                    </w:rPr>
                  </w:pPr>
                  <w:r>
                    <w:rPr>
                      <w:rFonts w:hint="default" w:ascii="Times New Roman" w:hAnsi="Times New Roman" w:eastAsia="宋体" w:cs="Times New Roman"/>
                      <w:snapToGrid w:val="0"/>
                      <w:color w:val="auto"/>
                      <w:kern w:val="0"/>
                      <w:sz w:val="18"/>
                      <w:szCs w:val="18"/>
                      <w:highlight w:val="none"/>
                      <w:lang w:eastAsia="zh-CN"/>
                    </w:rPr>
                    <w:t>工业噪声</w:t>
                  </w:r>
                </w:p>
              </w:tc>
              <w:tc>
                <w:tcPr>
                  <w:tcW w:w="688" w:type="pct"/>
                  <w:vMerge w:val="continue"/>
                  <w:tcBorders>
                    <w:tl2br w:val="nil"/>
                    <w:tr2bl w:val="nil"/>
                  </w:tcBorders>
                  <w:noWrap w:val="0"/>
                  <w:vAlign w:val="center"/>
                </w:tcPr>
                <w:p w14:paraId="2F3F53ED">
                  <w:pPr>
                    <w:jc w:val="center"/>
                    <w:rPr>
                      <w:rFonts w:hint="default" w:ascii="Times New Roman" w:hAnsi="Times New Roman" w:eastAsia="宋体" w:cs="Times New Roman"/>
                      <w:snapToGrid w:val="0"/>
                      <w:color w:val="auto"/>
                      <w:kern w:val="0"/>
                      <w:sz w:val="18"/>
                      <w:szCs w:val="18"/>
                      <w:highlight w:val="none"/>
                      <w:lang w:eastAsia="zh-CN"/>
                    </w:rPr>
                  </w:pPr>
                </w:p>
              </w:tc>
              <w:tc>
                <w:tcPr>
                  <w:tcW w:w="1107" w:type="pct"/>
                  <w:tcBorders>
                    <w:tl2br w:val="nil"/>
                    <w:tr2bl w:val="nil"/>
                  </w:tcBorders>
                  <w:noWrap w:val="0"/>
                  <w:vAlign w:val="center"/>
                </w:tcPr>
                <w:p w14:paraId="313260E6">
                  <w:pPr>
                    <w:jc w:val="center"/>
                    <w:rPr>
                      <w:rFonts w:hint="default" w:ascii="Times New Roman" w:hAnsi="Times New Roman" w:eastAsia="宋体" w:cs="Times New Roman"/>
                      <w:snapToGrid w:val="0"/>
                      <w:color w:val="auto"/>
                      <w:kern w:val="0"/>
                      <w:sz w:val="18"/>
                      <w:szCs w:val="18"/>
                      <w:highlight w:val="none"/>
                      <w:lang w:val="en-US" w:eastAsia="zh-CN"/>
                    </w:rPr>
                  </w:pPr>
                  <w:r>
                    <w:rPr>
                      <w:rFonts w:hint="default" w:ascii="Times New Roman" w:hAnsi="Times New Roman" w:eastAsia="宋体" w:cs="Times New Roman"/>
                      <w:snapToGrid w:val="0"/>
                      <w:color w:val="auto"/>
                      <w:kern w:val="0"/>
                      <w:sz w:val="18"/>
                      <w:szCs w:val="18"/>
                      <w:highlight w:val="none"/>
                      <w:lang w:val="en-US" w:eastAsia="zh-CN"/>
                    </w:rPr>
                    <w:t>12:16~12:26</w:t>
                  </w:r>
                </w:p>
              </w:tc>
              <w:tc>
                <w:tcPr>
                  <w:tcW w:w="1142" w:type="pct"/>
                  <w:tcBorders>
                    <w:tl2br w:val="nil"/>
                    <w:tr2bl w:val="nil"/>
                  </w:tcBorders>
                  <w:noWrap w:val="0"/>
                  <w:vAlign w:val="center"/>
                </w:tcPr>
                <w:p w14:paraId="2E0FABCA">
                  <w:pPr>
                    <w:jc w:val="center"/>
                    <w:rPr>
                      <w:rFonts w:hint="default" w:ascii="Times New Roman" w:hAnsi="Times New Roman" w:eastAsia="宋体" w:cs="Times New Roman"/>
                      <w:snapToGrid w:val="0"/>
                      <w:color w:val="auto"/>
                      <w:kern w:val="0"/>
                      <w:sz w:val="18"/>
                      <w:szCs w:val="18"/>
                      <w:highlight w:val="none"/>
                      <w:lang w:val="en-US" w:eastAsia="zh-CN"/>
                    </w:rPr>
                  </w:pPr>
                  <w:r>
                    <w:rPr>
                      <w:rFonts w:hint="default" w:ascii="Times New Roman" w:hAnsi="Times New Roman" w:eastAsia="宋体" w:cs="Times New Roman"/>
                      <w:snapToGrid w:val="0"/>
                      <w:color w:val="auto"/>
                      <w:kern w:val="0"/>
                      <w:sz w:val="18"/>
                      <w:szCs w:val="18"/>
                      <w:highlight w:val="none"/>
                      <w:lang w:val="en-US" w:eastAsia="zh-CN"/>
                    </w:rPr>
                    <w:t>56</w:t>
                  </w:r>
                </w:p>
              </w:tc>
            </w:tr>
            <w:tr w14:paraId="0F79BCB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000" w:type="pct"/>
                  <w:gridSpan w:val="6"/>
                  <w:tcBorders>
                    <w:tl2br w:val="nil"/>
                    <w:tr2bl w:val="nil"/>
                  </w:tcBorders>
                  <w:noWrap w:val="0"/>
                  <w:vAlign w:val="center"/>
                </w:tcPr>
                <w:p w14:paraId="0974C695">
                  <w:pPr>
                    <w:jc w:val="left"/>
                    <w:rPr>
                      <w:rFonts w:hint="default" w:ascii="Times New Roman" w:hAnsi="Times New Roman" w:eastAsia="宋体" w:cs="Times New Roman"/>
                      <w:snapToGrid w:val="0"/>
                      <w:color w:val="auto"/>
                      <w:kern w:val="0"/>
                      <w:sz w:val="18"/>
                      <w:szCs w:val="18"/>
                      <w:highlight w:val="none"/>
                      <w:lang w:val="en-US" w:eastAsia="zh-CN"/>
                    </w:rPr>
                  </w:pPr>
                  <w:r>
                    <w:rPr>
                      <w:rFonts w:hint="default" w:ascii="Times New Roman" w:hAnsi="Times New Roman" w:eastAsia="宋体" w:cs="Times New Roman"/>
                      <w:snapToGrid w:val="0"/>
                      <w:color w:val="auto"/>
                      <w:kern w:val="0"/>
                      <w:sz w:val="18"/>
                      <w:szCs w:val="18"/>
                      <w:highlight w:val="none"/>
                      <w:lang w:val="en-US" w:eastAsia="zh-CN"/>
                    </w:rPr>
                    <w:t>备注：1、本报告仅对本次测试负责；2、检测期间气象参数为：2026.2.25：风速1.1 m/s，天气多云；2026.2.26：风速0.9 m/s，天气阴。</w:t>
                  </w:r>
                </w:p>
              </w:tc>
            </w:tr>
          </w:tbl>
          <w:p w14:paraId="75740FDD">
            <w:pPr>
              <w:adjustRightInd w:val="0"/>
              <w:snapToGrid w:val="0"/>
              <w:spacing w:line="360" w:lineRule="auto"/>
              <w:rPr>
                <w:b/>
                <w:color w:val="auto"/>
                <w:kern w:val="0"/>
                <w:sz w:val="22"/>
                <w:szCs w:val="22"/>
                <w:highlight w:val="none"/>
              </w:rPr>
            </w:pPr>
            <w:r>
              <w:rPr>
                <w:b/>
                <w:color w:val="auto"/>
                <w:kern w:val="0"/>
                <w:sz w:val="22"/>
                <w:szCs w:val="22"/>
                <w:highlight w:val="none"/>
              </w:rPr>
              <w:t>3.</w:t>
            </w:r>
            <w:r>
              <w:rPr>
                <w:rFonts w:hint="default"/>
                <w:b/>
                <w:color w:val="auto"/>
                <w:kern w:val="0"/>
                <w:sz w:val="22"/>
                <w:szCs w:val="22"/>
                <w:highlight w:val="none"/>
              </w:rPr>
              <w:t>1.</w:t>
            </w:r>
            <w:r>
              <w:rPr>
                <w:rFonts w:hint="default"/>
                <w:b/>
                <w:color w:val="auto"/>
                <w:kern w:val="0"/>
                <w:sz w:val="22"/>
                <w:szCs w:val="22"/>
                <w:highlight w:val="none"/>
                <w:lang w:val="en-US" w:eastAsia="zh-CN"/>
              </w:rPr>
              <w:t xml:space="preserve">4 </w:t>
            </w:r>
            <w:r>
              <w:rPr>
                <w:rFonts w:hint="default"/>
                <w:b/>
                <w:color w:val="auto"/>
                <w:kern w:val="0"/>
                <w:sz w:val="22"/>
                <w:szCs w:val="22"/>
                <w:highlight w:val="none"/>
              </w:rPr>
              <w:t xml:space="preserve"> </w:t>
            </w:r>
            <w:r>
              <w:rPr>
                <w:b/>
                <w:color w:val="auto"/>
                <w:kern w:val="0"/>
                <w:sz w:val="22"/>
                <w:szCs w:val="22"/>
                <w:highlight w:val="none"/>
              </w:rPr>
              <w:t>生态环境</w:t>
            </w:r>
          </w:p>
          <w:p w14:paraId="128C12EC">
            <w:pPr>
              <w:adjustRightInd w:val="0"/>
              <w:snapToGrid w:val="0"/>
              <w:spacing w:line="360" w:lineRule="auto"/>
              <w:ind w:firstLine="420" w:firstLineChars="200"/>
              <w:rPr>
                <w:color w:val="auto"/>
                <w:highlight w:val="none"/>
              </w:rPr>
            </w:pPr>
            <w:r>
              <w:rPr>
                <w:rFonts w:hint="default"/>
                <w:color w:val="auto"/>
                <w:highlight w:val="none"/>
              </w:rPr>
              <w:t>本项目位于仁和先进制造业基地范围内，租用</w:t>
            </w:r>
            <w:r>
              <w:rPr>
                <w:bCs/>
                <w:color w:val="auto"/>
                <w:szCs w:val="21"/>
                <w:highlight w:val="none"/>
              </w:rPr>
              <w:t>闲置厂房</w:t>
            </w:r>
            <w:r>
              <w:rPr>
                <w:rFonts w:hint="default"/>
                <w:color w:val="auto"/>
                <w:highlight w:val="none"/>
              </w:rPr>
              <w:t>，不新增用地面积，不涉及生态环境保护目标。</w:t>
            </w:r>
            <w:r>
              <w:rPr>
                <w:color w:val="auto"/>
                <w:highlight w:val="none"/>
              </w:rPr>
              <w:t>根据《建设项目环境影响报告表编制技术指南（污染影响类）（试行）》，可不开展生态环境现状调查。</w:t>
            </w:r>
          </w:p>
          <w:p w14:paraId="4B4B04C9">
            <w:pPr>
              <w:adjustRightInd w:val="0"/>
              <w:snapToGrid w:val="0"/>
              <w:spacing w:line="360" w:lineRule="auto"/>
              <w:rPr>
                <w:rFonts w:hint="default"/>
                <w:b/>
                <w:bCs/>
                <w:color w:val="auto"/>
                <w:sz w:val="22"/>
                <w:szCs w:val="28"/>
                <w:highlight w:val="none"/>
                <w:lang w:val="en-US" w:eastAsia="zh-CN"/>
              </w:rPr>
            </w:pPr>
            <w:r>
              <w:rPr>
                <w:rFonts w:hint="default"/>
                <w:b/>
                <w:bCs/>
                <w:color w:val="auto"/>
                <w:sz w:val="22"/>
                <w:szCs w:val="28"/>
                <w:highlight w:val="none"/>
                <w:lang w:val="en-US" w:eastAsia="zh-CN"/>
              </w:rPr>
              <w:t>3.1.5  电磁辐射</w:t>
            </w:r>
          </w:p>
          <w:p w14:paraId="06632B80">
            <w:pPr>
              <w:adjustRightInd w:val="0"/>
              <w:snapToGrid w:val="0"/>
              <w:spacing w:line="360" w:lineRule="auto"/>
              <w:ind w:firstLine="420" w:firstLineChars="200"/>
              <w:rPr>
                <w:rFonts w:hint="default"/>
                <w:b w:val="0"/>
                <w:bCs w:val="0"/>
                <w:color w:val="auto"/>
                <w:sz w:val="21"/>
                <w:szCs w:val="24"/>
                <w:highlight w:val="none"/>
                <w:lang w:val="en-US" w:eastAsia="zh-CN"/>
              </w:rPr>
            </w:pPr>
            <w:r>
              <w:rPr>
                <w:rFonts w:hint="default"/>
                <w:b w:val="0"/>
                <w:bCs w:val="0"/>
                <w:color w:val="auto"/>
                <w:sz w:val="21"/>
                <w:szCs w:val="24"/>
                <w:highlight w:val="none"/>
                <w:lang w:val="en-US" w:eastAsia="zh-CN"/>
              </w:rPr>
              <w:t>本项目不涉及新建或改建、扩建广播电台、差转台、电视塔台、卫星地球上行站、雷达等电磁辐射类项目，不需要对电磁辐射现状开展监测与评价。</w:t>
            </w:r>
          </w:p>
          <w:p w14:paraId="21589AA1">
            <w:pPr>
              <w:adjustRightInd w:val="0"/>
              <w:snapToGrid w:val="0"/>
              <w:spacing w:line="360" w:lineRule="auto"/>
              <w:rPr>
                <w:b/>
                <w:color w:val="auto"/>
                <w:kern w:val="0"/>
                <w:sz w:val="22"/>
                <w:szCs w:val="22"/>
                <w:highlight w:val="none"/>
              </w:rPr>
            </w:pPr>
            <w:r>
              <w:rPr>
                <w:b/>
                <w:color w:val="auto"/>
                <w:kern w:val="0"/>
                <w:sz w:val="22"/>
                <w:szCs w:val="22"/>
                <w:highlight w:val="none"/>
              </w:rPr>
              <w:t>3.</w:t>
            </w:r>
            <w:r>
              <w:rPr>
                <w:rFonts w:hint="default"/>
                <w:b/>
                <w:color w:val="auto"/>
                <w:kern w:val="0"/>
                <w:sz w:val="22"/>
                <w:szCs w:val="22"/>
                <w:highlight w:val="none"/>
              </w:rPr>
              <w:t>1.</w:t>
            </w:r>
            <w:r>
              <w:rPr>
                <w:rFonts w:hint="default"/>
                <w:b/>
                <w:color w:val="auto"/>
                <w:kern w:val="0"/>
                <w:sz w:val="22"/>
                <w:szCs w:val="22"/>
                <w:highlight w:val="none"/>
                <w:lang w:val="en-US" w:eastAsia="zh-CN"/>
              </w:rPr>
              <w:t>6</w:t>
            </w:r>
            <w:r>
              <w:rPr>
                <w:rFonts w:hint="default"/>
                <w:b/>
                <w:color w:val="auto"/>
                <w:kern w:val="0"/>
                <w:sz w:val="22"/>
                <w:szCs w:val="22"/>
                <w:highlight w:val="none"/>
              </w:rPr>
              <w:t xml:space="preserve"> </w:t>
            </w:r>
            <w:r>
              <w:rPr>
                <w:rFonts w:hint="default"/>
                <w:b/>
                <w:color w:val="auto"/>
                <w:kern w:val="0"/>
                <w:sz w:val="22"/>
                <w:szCs w:val="22"/>
                <w:highlight w:val="none"/>
                <w:lang w:val="en-US" w:eastAsia="zh-CN"/>
              </w:rPr>
              <w:t xml:space="preserve"> </w:t>
            </w:r>
            <w:r>
              <w:rPr>
                <w:b/>
                <w:color w:val="auto"/>
                <w:kern w:val="0"/>
                <w:sz w:val="22"/>
                <w:szCs w:val="22"/>
                <w:highlight w:val="none"/>
              </w:rPr>
              <w:t>地下水、土壤环境</w:t>
            </w:r>
          </w:p>
          <w:p w14:paraId="2CA607A5">
            <w:pPr>
              <w:spacing w:line="360" w:lineRule="auto"/>
              <w:ind w:firstLine="420" w:firstLineChars="200"/>
              <w:rPr>
                <w:color w:val="auto"/>
                <w:highlight w:val="none"/>
              </w:rPr>
            </w:pPr>
            <w:r>
              <w:rPr>
                <w:rFonts w:hint="default"/>
                <w:color w:val="auto"/>
                <w:highlight w:val="none"/>
              </w:rPr>
              <w:t>项目营运期工艺废气主要为少量粉尘、有机废气，不涉及重金属、持久性难降解挥发性有机物，不会通过大气沉降对土壤造成影响。</w:t>
            </w:r>
          </w:p>
          <w:p w14:paraId="26CD6450">
            <w:pPr>
              <w:spacing w:line="360" w:lineRule="auto"/>
              <w:ind w:firstLine="420" w:firstLineChars="200"/>
              <w:rPr>
                <w:rFonts w:hint="default"/>
                <w:b w:val="0"/>
                <w:bCs w:val="0"/>
                <w:color w:val="auto"/>
                <w:sz w:val="21"/>
                <w:szCs w:val="24"/>
                <w:highlight w:val="none"/>
                <w:lang w:val="en-US" w:eastAsia="zh-CN"/>
              </w:rPr>
            </w:pPr>
            <w:r>
              <w:rPr>
                <w:rFonts w:hint="default"/>
                <w:color w:val="auto"/>
                <w:highlight w:val="none"/>
              </w:rPr>
              <w:t>本项目实行雨污分流制，清污分流。雨水经厂区雨水收集系统收集后纳入周边市政雨水管排放；本项目</w:t>
            </w:r>
            <w:r>
              <w:rPr>
                <w:rFonts w:hint="eastAsia"/>
                <w:color w:val="auto"/>
                <w:highlight w:val="none"/>
                <w:lang w:val="en-US" w:eastAsia="zh-CN"/>
              </w:rPr>
              <w:t>生产废水经预处理、</w:t>
            </w:r>
            <w:r>
              <w:rPr>
                <w:rFonts w:hint="default"/>
                <w:color w:val="auto"/>
                <w:highlight w:val="none"/>
              </w:rPr>
              <w:t>生活污水经化粪池预处理后纳管，最终汇至良渚污水处理厂处理</w:t>
            </w:r>
            <w:r>
              <w:rPr>
                <w:rFonts w:hint="eastAsia"/>
                <w:color w:val="auto"/>
                <w:highlight w:val="none"/>
                <w:lang w:val="en-US" w:eastAsia="zh-CN"/>
              </w:rPr>
              <w:t>达标</w:t>
            </w:r>
            <w:r>
              <w:rPr>
                <w:rFonts w:hint="default"/>
                <w:color w:val="auto"/>
                <w:highlight w:val="none"/>
              </w:rPr>
              <w:t>后外排。相应管道均做好防渗措施，建设项目对土壤、地下水环境基本不存在污染途径，故不开展现状调查。</w:t>
            </w:r>
          </w:p>
        </w:tc>
      </w:tr>
      <w:tr w14:paraId="2168DF3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400" w:hRule="atLeast"/>
          <w:jc w:val="center"/>
        </w:trPr>
        <w:tc>
          <w:tcPr>
            <w:tcW w:w="800" w:type="dxa"/>
            <w:vAlign w:val="center"/>
          </w:tcPr>
          <w:p w14:paraId="64AE5342">
            <w:pPr>
              <w:adjustRightInd w:val="0"/>
              <w:snapToGrid w:val="0"/>
              <w:jc w:val="center"/>
              <w:rPr>
                <w:color w:val="auto"/>
                <w:kern w:val="0"/>
                <w:szCs w:val="21"/>
                <w:highlight w:val="none"/>
              </w:rPr>
            </w:pPr>
            <w:r>
              <w:rPr>
                <w:color w:val="auto"/>
                <w:kern w:val="0"/>
                <w:szCs w:val="21"/>
                <w:highlight w:val="none"/>
              </w:rPr>
              <w:t>环境</w:t>
            </w:r>
          </w:p>
          <w:p w14:paraId="0EBCF2E8">
            <w:pPr>
              <w:adjustRightInd w:val="0"/>
              <w:snapToGrid w:val="0"/>
              <w:jc w:val="center"/>
              <w:rPr>
                <w:color w:val="auto"/>
                <w:kern w:val="0"/>
                <w:szCs w:val="21"/>
                <w:highlight w:val="none"/>
              </w:rPr>
            </w:pPr>
            <w:r>
              <w:rPr>
                <w:color w:val="auto"/>
                <w:kern w:val="0"/>
                <w:szCs w:val="21"/>
                <w:highlight w:val="none"/>
              </w:rPr>
              <w:t>保护</w:t>
            </w:r>
          </w:p>
          <w:p w14:paraId="01BF5F4A">
            <w:pPr>
              <w:adjustRightInd w:val="0"/>
              <w:snapToGrid w:val="0"/>
              <w:jc w:val="center"/>
              <w:rPr>
                <w:color w:val="auto"/>
                <w:kern w:val="0"/>
                <w:szCs w:val="21"/>
                <w:highlight w:val="none"/>
              </w:rPr>
            </w:pPr>
            <w:r>
              <w:rPr>
                <w:color w:val="auto"/>
                <w:kern w:val="0"/>
                <w:szCs w:val="21"/>
                <w:highlight w:val="none"/>
              </w:rPr>
              <w:t>目标</w:t>
            </w:r>
          </w:p>
        </w:tc>
        <w:tc>
          <w:tcPr>
            <w:tcW w:w="8190" w:type="dxa"/>
            <w:vAlign w:val="center"/>
          </w:tcPr>
          <w:p w14:paraId="065E9691">
            <w:pPr>
              <w:spacing w:line="360" w:lineRule="auto"/>
              <w:rPr>
                <w:b/>
                <w:color w:val="auto"/>
                <w:sz w:val="24"/>
                <w:szCs w:val="32"/>
                <w:highlight w:val="none"/>
              </w:rPr>
            </w:pPr>
            <w:r>
              <w:rPr>
                <w:rFonts w:hint="default"/>
                <w:b/>
                <w:color w:val="auto"/>
                <w:sz w:val="24"/>
                <w:szCs w:val="32"/>
                <w:highlight w:val="none"/>
              </w:rPr>
              <w:t xml:space="preserve">3.2 </w:t>
            </w:r>
            <w:r>
              <w:rPr>
                <w:rFonts w:hint="default"/>
                <w:b/>
                <w:color w:val="auto"/>
                <w:sz w:val="24"/>
                <w:szCs w:val="32"/>
                <w:highlight w:val="none"/>
                <w:lang w:val="en-US" w:eastAsia="zh-CN"/>
              </w:rPr>
              <w:t xml:space="preserve"> </w:t>
            </w:r>
            <w:r>
              <w:rPr>
                <w:rFonts w:hint="default"/>
                <w:b/>
                <w:color w:val="auto"/>
                <w:sz w:val="24"/>
                <w:szCs w:val="32"/>
                <w:highlight w:val="none"/>
              </w:rPr>
              <w:t>环境保护目标</w:t>
            </w:r>
          </w:p>
          <w:p w14:paraId="25B7456B">
            <w:pPr>
              <w:spacing w:line="360" w:lineRule="auto"/>
              <w:rPr>
                <w:b/>
                <w:color w:val="auto"/>
                <w:sz w:val="22"/>
                <w:szCs w:val="28"/>
                <w:highlight w:val="none"/>
              </w:rPr>
            </w:pPr>
            <w:r>
              <w:rPr>
                <w:b/>
                <w:color w:val="auto"/>
                <w:sz w:val="22"/>
                <w:szCs w:val="28"/>
                <w:highlight w:val="none"/>
              </w:rPr>
              <w:t>3.</w:t>
            </w:r>
            <w:r>
              <w:rPr>
                <w:rFonts w:hint="default"/>
                <w:b/>
                <w:color w:val="auto"/>
                <w:sz w:val="22"/>
                <w:szCs w:val="28"/>
                <w:highlight w:val="none"/>
              </w:rPr>
              <w:t xml:space="preserve">2.1 </w:t>
            </w:r>
            <w:r>
              <w:rPr>
                <w:rFonts w:hint="default"/>
                <w:b/>
                <w:color w:val="auto"/>
                <w:sz w:val="22"/>
                <w:szCs w:val="28"/>
                <w:highlight w:val="none"/>
                <w:lang w:val="en-US" w:eastAsia="zh-CN"/>
              </w:rPr>
              <w:t xml:space="preserve"> </w:t>
            </w:r>
            <w:r>
              <w:rPr>
                <w:b/>
                <w:color w:val="auto"/>
                <w:sz w:val="22"/>
                <w:szCs w:val="28"/>
                <w:highlight w:val="none"/>
              </w:rPr>
              <w:t>大气环境</w:t>
            </w:r>
          </w:p>
          <w:p w14:paraId="02EEE1CF">
            <w:pPr>
              <w:spacing w:line="360" w:lineRule="auto"/>
              <w:ind w:firstLine="420" w:firstLineChars="200"/>
              <w:rPr>
                <w:color w:val="auto"/>
                <w:highlight w:val="none"/>
              </w:rPr>
            </w:pPr>
            <w:r>
              <w:rPr>
                <w:color w:val="auto"/>
                <w:highlight w:val="none"/>
              </w:rPr>
              <w:t>根据调查，项目周边500m范围内大气环境评价范围内保护目标见表</w:t>
            </w:r>
            <w:r>
              <w:rPr>
                <w:rFonts w:hint="default"/>
                <w:color w:val="auto"/>
                <w:highlight w:val="none"/>
                <w:lang w:val="en-US" w:eastAsia="zh-CN"/>
              </w:rPr>
              <w:t>3-</w:t>
            </w:r>
            <w:r>
              <w:rPr>
                <w:rFonts w:hint="eastAsia" w:cs="Times New Roman"/>
                <w:color w:val="auto"/>
                <w:highlight w:val="none"/>
                <w:lang w:val="en-US" w:eastAsia="zh-CN"/>
              </w:rPr>
              <w:t>5</w:t>
            </w:r>
            <w:r>
              <w:rPr>
                <w:color w:val="auto"/>
                <w:highlight w:val="none"/>
              </w:rPr>
              <w:t>。</w:t>
            </w:r>
          </w:p>
          <w:p w14:paraId="215974B4">
            <w:pPr>
              <w:pStyle w:val="14"/>
              <w:widowControl/>
              <w:numPr>
                <w:ilvl w:val="0"/>
                <w:numId w:val="4"/>
              </w:numPr>
              <w:tabs>
                <w:tab w:val="left" w:pos="4515"/>
                <w:tab w:val="left" w:pos="5883"/>
                <w:tab w:val="left" w:pos="8718"/>
              </w:tabs>
              <w:adjustRightInd w:val="0"/>
              <w:snapToGrid w:val="0"/>
              <w:spacing w:line="360" w:lineRule="auto"/>
              <w:jc w:val="center"/>
              <w:rPr>
                <w:rFonts w:hint="default" w:ascii="Times New Roman" w:hAnsi="Times New Roman" w:eastAsia="黑体" w:cs="Times New Roman"/>
                <w:b w:val="0"/>
                <w:bCs/>
                <w:color w:val="auto"/>
                <w:highlight w:val="none"/>
              </w:rPr>
            </w:pPr>
            <w:r>
              <w:rPr>
                <w:rFonts w:hint="default" w:ascii="Times New Roman" w:hAnsi="Times New Roman" w:eastAsia="黑体" w:cs="Times New Roman"/>
                <w:b w:val="0"/>
                <w:bCs/>
                <w:color w:val="auto"/>
                <w:highlight w:val="none"/>
                <w:lang w:val="en-US" w:eastAsia="zh-CN"/>
              </w:rPr>
              <w:t xml:space="preserve"> </w:t>
            </w:r>
            <w:r>
              <w:rPr>
                <w:rFonts w:hint="default" w:ascii="Times New Roman" w:hAnsi="Times New Roman" w:eastAsia="黑体" w:cs="Times New Roman"/>
                <w:b w:val="0"/>
                <w:bCs/>
                <w:color w:val="auto"/>
                <w:highlight w:val="none"/>
              </w:rPr>
              <w:t>大气环境保护目标基本情况</w:t>
            </w:r>
          </w:p>
          <w:tbl>
            <w:tblPr>
              <w:tblStyle w:val="24"/>
              <w:tblW w:w="4997"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0" w:type="dxa"/>
                <w:bottom w:w="0" w:type="dxa"/>
                <w:right w:w="0" w:type="dxa"/>
              </w:tblCellMar>
            </w:tblPr>
            <w:tblGrid>
              <w:gridCol w:w="1956"/>
              <w:gridCol w:w="836"/>
              <w:gridCol w:w="936"/>
              <w:gridCol w:w="399"/>
              <w:gridCol w:w="779"/>
              <w:gridCol w:w="789"/>
              <w:gridCol w:w="1373"/>
              <w:gridCol w:w="400"/>
              <w:gridCol w:w="681"/>
            </w:tblGrid>
            <w:tr w14:paraId="56ADA10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200" w:type="pct"/>
                  <w:vMerge w:val="restart"/>
                  <w:tcBorders>
                    <w:tl2br w:val="nil"/>
                    <w:tr2bl w:val="nil"/>
                  </w:tcBorders>
                  <w:vAlign w:val="center"/>
                </w:tcPr>
                <w:p w14:paraId="48F21393">
                  <w:pPr>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保护目标名称</w:t>
                  </w:r>
                </w:p>
              </w:tc>
              <w:tc>
                <w:tcPr>
                  <w:tcW w:w="1087" w:type="pct"/>
                  <w:gridSpan w:val="2"/>
                  <w:tcBorders>
                    <w:tl2br w:val="nil"/>
                    <w:tr2bl w:val="nil"/>
                  </w:tcBorders>
                  <w:vAlign w:val="center"/>
                </w:tcPr>
                <w:p w14:paraId="098A4738">
                  <w:pPr>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UTM坐标/m</w:t>
                  </w:r>
                </w:p>
              </w:tc>
              <w:tc>
                <w:tcPr>
                  <w:tcW w:w="245" w:type="pct"/>
                  <w:vMerge w:val="restart"/>
                  <w:tcBorders>
                    <w:tl2br w:val="nil"/>
                    <w:tr2bl w:val="nil"/>
                  </w:tcBorders>
                  <w:vAlign w:val="center"/>
                </w:tcPr>
                <w:p w14:paraId="79EA6A14">
                  <w:pPr>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保护</w:t>
                  </w:r>
                </w:p>
                <w:p w14:paraId="4EE0BA27">
                  <w:pPr>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对象</w:t>
                  </w:r>
                </w:p>
              </w:tc>
              <w:tc>
                <w:tcPr>
                  <w:tcW w:w="478" w:type="pct"/>
                  <w:vMerge w:val="restart"/>
                  <w:tcBorders>
                    <w:tl2br w:val="nil"/>
                    <w:tr2bl w:val="nil"/>
                  </w:tcBorders>
                  <w:vAlign w:val="center"/>
                </w:tcPr>
                <w:p w14:paraId="286C9334">
                  <w:pPr>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规模</w:t>
                  </w:r>
                </w:p>
              </w:tc>
              <w:tc>
                <w:tcPr>
                  <w:tcW w:w="484" w:type="pct"/>
                  <w:vMerge w:val="restart"/>
                  <w:tcBorders>
                    <w:tl2br w:val="nil"/>
                    <w:tr2bl w:val="nil"/>
                  </w:tcBorders>
                  <w:vAlign w:val="center"/>
                </w:tcPr>
                <w:p w14:paraId="44A197CC">
                  <w:pPr>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保护内容</w:t>
                  </w:r>
                </w:p>
              </w:tc>
              <w:tc>
                <w:tcPr>
                  <w:tcW w:w="842" w:type="pct"/>
                  <w:vMerge w:val="restart"/>
                  <w:tcBorders>
                    <w:tl2br w:val="nil"/>
                    <w:tr2bl w:val="nil"/>
                  </w:tcBorders>
                  <w:vAlign w:val="center"/>
                </w:tcPr>
                <w:p w14:paraId="286EF5D1">
                  <w:pPr>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环境功能区</w:t>
                  </w:r>
                </w:p>
              </w:tc>
              <w:tc>
                <w:tcPr>
                  <w:tcW w:w="245" w:type="pct"/>
                  <w:vMerge w:val="restart"/>
                  <w:tcBorders>
                    <w:tl2br w:val="nil"/>
                    <w:tr2bl w:val="nil"/>
                  </w:tcBorders>
                  <w:vAlign w:val="center"/>
                </w:tcPr>
                <w:p w14:paraId="2DEE3A2C">
                  <w:pPr>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方位</w:t>
                  </w:r>
                </w:p>
              </w:tc>
              <w:tc>
                <w:tcPr>
                  <w:tcW w:w="417" w:type="pct"/>
                  <w:vMerge w:val="restart"/>
                  <w:tcBorders>
                    <w:tl2br w:val="nil"/>
                    <w:tr2bl w:val="nil"/>
                  </w:tcBorders>
                  <w:vAlign w:val="center"/>
                </w:tcPr>
                <w:p w14:paraId="6C578A5F">
                  <w:pPr>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与厂界</w:t>
                  </w:r>
                </w:p>
                <w:p w14:paraId="27761C50">
                  <w:pPr>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距离(m)</w:t>
                  </w:r>
                </w:p>
              </w:tc>
            </w:tr>
            <w:tr w14:paraId="17A914E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200" w:type="pct"/>
                  <w:vMerge w:val="continue"/>
                  <w:tcBorders>
                    <w:tl2br w:val="nil"/>
                    <w:tr2bl w:val="nil"/>
                  </w:tcBorders>
                  <w:vAlign w:val="center"/>
                </w:tcPr>
                <w:p w14:paraId="68602874">
                  <w:pPr>
                    <w:jc w:val="center"/>
                    <w:rPr>
                      <w:rFonts w:hint="default" w:ascii="Times New Roman" w:hAnsi="Times New Roman" w:cs="Times New Roman"/>
                      <w:color w:val="auto"/>
                      <w:sz w:val="18"/>
                      <w:szCs w:val="18"/>
                      <w:highlight w:val="none"/>
                    </w:rPr>
                  </w:pPr>
                </w:p>
              </w:tc>
              <w:tc>
                <w:tcPr>
                  <w:tcW w:w="513" w:type="pct"/>
                  <w:tcBorders>
                    <w:tl2br w:val="nil"/>
                    <w:tr2bl w:val="nil"/>
                  </w:tcBorders>
                  <w:vAlign w:val="center"/>
                </w:tcPr>
                <w:p w14:paraId="4B31E492">
                  <w:pPr>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X</w:t>
                  </w:r>
                </w:p>
              </w:tc>
              <w:tc>
                <w:tcPr>
                  <w:tcW w:w="573" w:type="pct"/>
                  <w:tcBorders>
                    <w:tl2br w:val="nil"/>
                    <w:tr2bl w:val="nil"/>
                  </w:tcBorders>
                  <w:vAlign w:val="center"/>
                </w:tcPr>
                <w:p w14:paraId="6D960CA8">
                  <w:pPr>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Y</w:t>
                  </w:r>
                </w:p>
              </w:tc>
              <w:tc>
                <w:tcPr>
                  <w:tcW w:w="245" w:type="pct"/>
                  <w:vMerge w:val="continue"/>
                  <w:tcBorders>
                    <w:tl2br w:val="nil"/>
                    <w:tr2bl w:val="nil"/>
                  </w:tcBorders>
                  <w:vAlign w:val="center"/>
                </w:tcPr>
                <w:p w14:paraId="0E045239">
                  <w:pPr>
                    <w:jc w:val="center"/>
                    <w:rPr>
                      <w:rFonts w:hint="default" w:ascii="Times New Roman" w:hAnsi="Times New Roman" w:cs="Times New Roman"/>
                      <w:color w:val="auto"/>
                      <w:sz w:val="18"/>
                      <w:szCs w:val="18"/>
                      <w:highlight w:val="none"/>
                    </w:rPr>
                  </w:pPr>
                </w:p>
              </w:tc>
              <w:tc>
                <w:tcPr>
                  <w:tcW w:w="478" w:type="pct"/>
                  <w:vMerge w:val="continue"/>
                  <w:tcBorders>
                    <w:tl2br w:val="nil"/>
                    <w:tr2bl w:val="nil"/>
                  </w:tcBorders>
                  <w:vAlign w:val="center"/>
                </w:tcPr>
                <w:p w14:paraId="63CCC4F2">
                  <w:pPr>
                    <w:jc w:val="center"/>
                    <w:rPr>
                      <w:rFonts w:hint="default" w:ascii="Times New Roman" w:hAnsi="Times New Roman" w:cs="Times New Roman"/>
                      <w:color w:val="auto"/>
                      <w:sz w:val="18"/>
                      <w:szCs w:val="18"/>
                      <w:highlight w:val="none"/>
                    </w:rPr>
                  </w:pPr>
                </w:p>
              </w:tc>
              <w:tc>
                <w:tcPr>
                  <w:tcW w:w="484" w:type="pct"/>
                  <w:vMerge w:val="continue"/>
                  <w:tcBorders>
                    <w:tl2br w:val="nil"/>
                    <w:tr2bl w:val="nil"/>
                  </w:tcBorders>
                  <w:vAlign w:val="center"/>
                </w:tcPr>
                <w:p w14:paraId="1B61D59E">
                  <w:pPr>
                    <w:jc w:val="center"/>
                    <w:rPr>
                      <w:rFonts w:hint="default" w:ascii="Times New Roman" w:hAnsi="Times New Roman" w:cs="Times New Roman"/>
                      <w:color w:val="auto"/>
                      <w:sz w:val="18"/>
                      <w:szCs w:val="18"/>
                      <w:highlight w:val="none"/>
                    </w:rPr>
                  </w:pPr>
                </w:p>
              </w:tc>
              <w:tc>
                <w:tcPr>
                  <w:tcW w:w="842" w:type="pct"/>
                  <w:vMerge w:val="continue"/>
                  <w:tcBorders>
                    <w:tl2br w:val="nil"/>
                    <w:tr2bl w:val="nil"/>
                  </w:tcBorders>
                  <w:vAlign w:val="center"/>
                </w:tcPr>
                <w:p w14:paraId="2CFC665B">
                  <w:pPr>
                    <w:jc w:val="center"/>
                    <w:rPr>
                      <w:rFonts w:hint="default" w:ascii="Times New Roman" w:hAnsi="Times New Roman" w:cs="Times New Roman"/>
                      <w:color w:val="auto"/>
                      <w:sz w:val="18"/>
                      <w:szCs w:val="18"/>
                      <w:highlight w:val="none"/>
                    </w:rPr>
                  </w:pPr>
                </w:p>
              </w:tc>
              <w:tc>
                <w:tcPr>
                  <w:tcW w:w="245" w:type="pct"/>
                  <w:vMerge w:val="continue"/>
                  <w:tcBorders>
                    <w:tl2br w:val="nil"/>
                    <w:tr2bl w:val="nil"/>
                  </w:tcBorders>
                  <w:vAlign w:val="center"/>
                </w:tcPr>
                <w:p w14:paraId="2153E720">
                  <w:pPr>
                    <w:jc w:val="center"/>
                    <w:rPr>
                      <w:rFonts w:hint="default" w:ascii="Times New Roman" w:hAnsi="Times New Roman" w:cs="Times New Roman"/>
                      <w:color w:val="auto"/>
                      <w:sz w:val="18"/>
                      <w:szCs w:val="18"/>
                      <w:highlight w:val="none"/>
                    </w:rPr>
                  </w:pPr>
                </w:p>
              </w:tc>
              <w:tc>
                <w:tcPr>
                  <w:tcW w:w="417" w:type="pct"/>
                  <w:vMerge w:val="continue"/>
                  <w:tcBorders>
                    <w:tl2br w:val="nil"/>
                    <w:tr2bl w:val="nil"/>
                  </w:tcBorders>
                  <w:vAlign w:val="center"/>
                </w:tcPr>
                <w:p w14:paraId="73F86013">
                  <w:pPr>
                    <w:jc w:val="center"/>
                    <w:rPr>
                      <w:rFonts w:hint="default" w:ascii="Times New Roman" w:hAnsi="Times New Roman" w:cs="Times New Roman"/>
                      <w:color w:val="auto"/>
                      <w:sz w:val="18"/>
                      <w:szCs w:val="18"/>
                      <w:highlight w:val="none"/>
                    </w:rPr>
                  </w:pPr>
                </w:p>
              </w:tc>
            </w:tr>
            <w:tr w14:paraId="1BBA7E3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200" w:type="pct"/>
                  <w:tcBorders>
                    <w:tl2br w:val="nil"/>
                    <w:tr2bl w:val="nil"/>
                  </w:tcBorders>
                  <w:vAlign w:val="center"/>
                </w:tcPr>
                <w:p w14:paraId="7FEC56C8">
                  <w:pPr>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荼锦公寓</w:t>
                  </w:r>
                </w:p>
              </w:tc>
              <w:tc>
                <w:tcPr>
                  <w:tcW w:w="513" w:type="pct"/>
                  <w:tcBorders>
                    <w:tl2br w:val="nil"/>
                    <w:tr2bl w:val="nil"/>
                  </w:tcBorders>
                  <w:vAlign w:val="center"/>
                </w:tcPr>
                <w:p w14:paraId="585766D2">
                  <w:pPr>
                    <w:widowControl/>
                    <w:jc w:val="center"/>
                    <w:rPr>
                      <w:rFonts w:hint="default" w:ascii="Times New Roman" w:hAnsi="Times New Roman" w:cs="Times New Roman"/>
                      <w:color w:val="auto"/>
                      <w:kern w:val="0"/>
                      <w:sz w:val="18"/>
                      <w:szCs w:val="18"/>
                      <w:highlight w:val="none"/>
                    </w:rPr>
                  </w:pPr>
                  <w:r>
                    <w:rPr>
                      <w:rFonts w:hint="default" w:ascii="Times New Roman" w:hAnsi="Times New Roman" w:cs="Times New Roman"/>
                      <w:color w:val="auto"/>
                      <w:sz w:val="18"/>
                      <w:szCs w:val="18"/>
                      <w:highlight w:val="none"/>
                    </w:rPr>
                    <w:t>218878.45</w:t>
                  </w:r>
                </w:p>
              </w:tc>
              <w:tc>
                <w:tcPr>
                  <w:tcW w:w="573" w:type="pct"/>
                  <w:tcBorders>
                    <w:tl2br w:val="nil"/>
                    <w:tr2bl w:val="nil"/>
                  </w:tcBorders>
                  <w:vAlign w:val="center"/>
                </w:tcPr>
                <w:p w14:paraId="0ED921DF">
                  <w:pPr>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3373629.56</w:t>
                  </w:r>
                </w:p>
              </w:tc>
              <w:tc>
                <w:tcPr>
                  <w:tcW w:w="245" w:type="pct"/>
                  <w:tcBorders>
                    <w:tl2br w:val="nil"/>
                    <w:tr2bl w:val="nil"/>
                  </w:tcBorders>
                  <w:vAlign w:val="center"/>
                </w:tcPr>
                <w:p w14:paraId="49E2C9AF">
                  <w:pPr>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居民</w:t>
                  </w:r>
                </w:p>
              </w:tc>
              <w:tc>
                <w:tcPr>
                  <w:tcW w:w="478" w:type="pct"/>
                  <w:tcBorders>
                    <w:tl2br w:val="nil"/>
                    <w:tr2bl w:val="nil"/>
                  </w:tcBorders>
                  <w:vAlign w:val="center"/>
                </w:tcPr>
                <w:p w14:paraId="4D37D649">
                  <w:pPr>
                    <w:pStyle w:val="55"/>
                    <w:widowControl w:val="0"/>
                    <w:pBdr>
                      <w:left w:val="none" w:color="auto" w:sz="0" w:space="0"/>
                      <w:bottom w:val="none" w:color="auto" w:sz="0" w:space="0"/>
                      <w:right w:val="none" w:color="auto" w:sz="0" w:space="0"/>
                    </w:pBdr>
                    <w:spacing w:before="0" w:beforeAutospacing="0" w:after="0" w:afterAutospacing="0"/>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约616户</w:t>
                  </w:r>
                </w:p>
              </w:tc>
              <w:tc>
                <w:tcPr>
                  <w:tcW w:w="484" w:type="pct"/>
                  <w:vMerge w:val="restart"/>
                  <w:tcBorders>
                    <w:tl2br w:val="nil"/>
                    <w:tr2bl w:val="nil"/>
                  </w:tcBorders>
                  <w:vAlign w:val="center"/>
                </w:tcPr>
                <w:p w14:paraId="2EE46F3C">
                  <w:pPr>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环境空气</w:t>
                  </w:r>
                </w:p>
                <w:p w14:paraId="0E2C0E05">
                  <w:pPr>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人群健康</w:t>
                  </w:r>
                </w:p>
              </w:tc>
              <w:tc>
                <w:tcPr>
                  <w:tcW w:w="842" w:type="pct"/>
                  <w:vMerge w:val="restart"/>
                  <w:tcBorders>
                    <w:tl2br w:val="nil"/>
                    <w:tr2bl w:val="nil"/>
                  </w:tcBorders>
                  <w:vAlign w:val="center"/>
                </w:tcPr>
                <w:p w14:paraId="39DC9E6C">
                  <w:pPr>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环境空气二类区</w:t>
                  </w:r>
                </w:p>
              </w:tc>
              <w:tc>
                <w:tcPr>
                  <w:tcW w:w="245" w:type="pct"/>
                  <w:tcBorders>
                    <w:tl2br w:val="nil"/>
                    <w:tr2bl w:val="nil"/>
                  </w:tcBorders>
                  <w:vAlign w:val="center"/>
                </w:tcPr>
                <w:p w14:paraId="77DCE072">
                  <w:pPr>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西北</w:t>
                  </w:r>
                </w:p>
              </w:tc>
              <w:tc>
                <w:tcPr>
                  <w:tcW w:w="417" w:type="pct"/>
                  <w:tcBorders>
                    <w:tl2br w:val="nil"/>
                    <w:tr2bl w:val="nil"/>
                  </w:tcBorders>
                  <w:vAlign w:val="center"/>
                </w:tcPr>
                <w:p w14:paraId="1D03B8D6">
                  <w:pPr>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220</w:t>
                  </w:r>
                </w:p>
              </w:tc>
            </w:tr>
            <w:tr w14:paraId="4032008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200" w:type="pct"/>
                  <w:tcBorders>
                    <w:tl2br w:val="nil"/>
                    <w:tr2bl w:val="nil"/>
                  </w:tcBorders>
                  <w:vAlign w:val="center"/>
                </w:tcPr>
                <w:p w14:paraId="5B43F64F">
                  <w:pPr>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洛山社区党群服务中心</w:t>
                  </w:r>
                </w:p>
              </w:tc>
              <w:tc>
                <w:tcPr>
                  <w:tcW w:w="513" w:type="pct"/>
                  <w:tcBorders>
                    <w:tl2br w:val="nil"/>
                    <w:tr2bl w:val="nil"/>
                  </w:tcBorders>
                  <w:vAlign w:val="center"/>
                </w:tcPr>
                <w:p w14:paraId="4AC3C6D6">
                  <w:pPr>
                    <w:widowControl/>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219185.99</w:t>
                  </w:r>
                </w:p>
              </w:tc>
              <w:tc>
                <w:tcPr>
                  <w:tcW w:w="573" w:type="pct"/>
                  <w:tcBorders>
                    <w:tl2br w:val="nil"/>
                    <w:tr2bl w:val="nil"/>
                  </w:tcBorders>
                  <w:vAlign w:val="center"/>
                </w:tcPr>
                <w:p w14:paraId="7F673476">
                  <w:pPr>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3373538.47</w:t>
                  </w:r>
                </w:p>
              </w:tc>
              <w:tc>
                <w:tcPr>
                  <w:tcW w:w="245" w:type="pct"/>
                  <w:tcBorders>
                    <w:tl2br w:val="nil"/>
                    <w:tr2bl w:val="nil"/>
                  </w:tcBorders>
                  <w:vAlign w:val="center"/>
                </w:tcPr>
                <w:p w14:paraId="226A06E3">
                  <w:pPr>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文化</w:t>
                  </w:r>
                </w:p>
              </w:tc>
              <w:tc>
                <w:tcPr>
                  <w:tcW w:w="478" w:type="pct"/>
                  <w:tcBorders>
                    <w:tl2br w:val="nil"/>
                    <w:tr2bl w:val="nil"/>
                  </w:tcBorders>
                  <w:vAlign w:val="center"/>
                </w:tcPr>
                <w:p w14:paraId="09C4BB82">
                  <w:pPr>
                    <w:pStyle w:val="55"/>
                    <w:widowControl w:val="0"/>
                    <w:pBdr>
                      <w:left w:val="none" w:color="auto" w:sz="0" w:space="0"/>
                      <w:bottom w:val="none" w:color="auto" w:sz="0" w:space="0"/>
                      <w:right w:val="none" w:color="auto" w:sz="0" w:space="0"/>
                    </w:pBdr>
                    <w:spacing w:before="0" w:beforeAutospacing="0" w:after="0" w:afterAutospacing="0"/>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约10人</w:t>
                  </w:r>
                </w:p>
              </w:tc>
              <w:tc>
                <w:tcPr>
                  <w:tcW w:w="484" w:type="pct"/>
                  <w:vMerge w:val="continue"/>
                  <w:tcBorders>
                    <w:tl2br w:val="nil"/>
                    <w:tr2bl w:val="nil"/>
                  </w:tcBorders>
                  <w:vAlign w:val="center"/>
                </w:tcPr>
                <w:p w14:paraId="52562CE1">
                  <w:pPr>
                    <w:jc w:val="center"/>
                    <w:rPr>
                      <w:rFonts w:hint="default" w:ascii="Times New Roman" w:hAnsi="Times New Roman" w:cs="Times New Roman"/>
                      <w:color w:val="auto"/>
                      <w:sz w:val="18"/>
                      <w:szCs w:val="18"/>
                      <w:highlight w:val="none"/>
                    </w:rPr>
                  </w:pPr>
                </w:p>
              </w:tc>
              <w:tc>
                <w:tcPr>
                  <w:tcW w:w="842" w:type="pct"/>
                  <w:vMerge w:val="continue"/>
                  <w:tcBorders>
                    <w:tl2br w:val="nil"/>
                    <w:tr2bl w:val="nil"/>
                  </w:tcBorders>
                  <w:vAlign w:val="center"/>
                </w:tcPr>
                <w:p w14:paraId="14B8FFD6">
                  <w:pPr>
                    <w:jc w:val="center"/>
                    <w:rPr>
                      <w:rFonts w:hint="default" w:ascii="Times New Roman" w:hAnsi="Times New Roman" w:cs="Times New Roman"/>
                      <w:color w:val="auto"/>
                      <w:sz w:val="18"/>
                      <w:szCs w:val="18"/>
                      <w:highlight w:val="none"/>
                    </w:rPr>
                  </w:pPr>
                </w:p>
              </w:tc>
              <w:tc>
                <w:tcPr>
                  <w:tcW w:w="245" w:type="pct"/>
                  <w:tcBorders>
                    <w:tl2br w:val="nil"/>
                    <w:tr2bl w:val="nil"/>
                  </w:tcBorders>
                  <w:vAlign w:val="center"/>
                </w:tcPr>
                <w:p w14:paraId="1DED1037">
                  <w:pPr>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南</w:t>
                  </w:r>
                </w:p>
              </w:tc>
              <w:tc>
                <w:tcPr>
                  <w:tcW w:w="417" w:type="pct"/>
                  <w:tcBorders>
                    <w:tl2br w:val="nil"/>
                    <w:tr2bl w:val="nil"/>
                  </w:tcBorders>
                  <w:vAlign w:val="center"/>
                </w:tcPr>
                <w:p w14:paraId="744E5DFF">
                  <w:pPr>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15</w:t>
                  </w:r>
                </w:p>
              </w:tc>
            </w:tr>
          </w:tbl>
          <w:p w14:paraId="727F343A">
            <w:pPr>
              <w:spacing w:line="360" w:lineRule="auto"/>
              <w:rPr>
                <w:color w:val="auto"/>
                <w:highlight w:val="none"/>
              </w:rPr>
            </w:pPr>
          </w:p>
          <w:p w14:paraId="15038A7C">
            <w:pPr>
              <w:spacing w:line="360" w:lineRule="auto"/>
              <w:jc w:val="center"/>
              <w:rPr>
                <w:rFonts w:hint="default" w:eastAsia="宋体"/>
                <w:color w:val="auto"/>
                <w:highlight w:val="none"/>
                <w:lang w:eastAsia="zh-CN"/>
              </w:rPr>
            </w:pPr>
            <w:r>
              <w:rPr>
                <w:rFonts w:hint="default" w:eastAsia="宋体"/>
                <w:color w:val="auto"/>
                <w:highlight w:val="none"/>
                <w:lang w:eastAsia="zh-CN"/>
              </w:rPr>
              <w:drawing>
                <wp:inline distT="0" distB="0" distL="114300" distR="114300">
                  <wp:extent cx="5211445" cy="3271520"/>
                  <wp:effectExtent l="0" t="0" r="635" b="5080"/>
                  <wp:docPr id="8" name="图片 8" descr="bb3d402c-4ec6-43e1-a0bf-e328bd97d09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bb3d402c-4ec6-43e1-a0bf-e328bd97d09d"/>
                          <pic:cNvPicPr>
                            <a:picLocks noChangeAspect="1"/>
                          </pic:cNvPicPr>
                        </pic:nvPicPr>
                        <pic:blipFill>
                          <a:blip r:embed="rId14"/>
                          <a:stretch>
                            <a:fillRect/>
                          </a:stretch>
                        </pic:blipFill>
                        <pic:spPr>
                          <a:xfrm>
                            <a:off x="0" y="0"/>
                            <a:ext cx="5211445" cy="3271520"/>
                          </a:xfrm>
                          <a:prstGeom prst="rect">
                            <a:avLst/>
                          </a:prstGeom>
                        </pic:spPr>
                      </pic:pic>
                    </a:graphicData>
                  </a:graphic>
                </wp:inline>
              </w:drawing>
            </w:r>
          </w:p>
          <w:p w14:paraId="43E482CD">
            <w:pPr>
              <w:widowControl/>
              <w:numPr>
                <w:ilvl w:val="1"/>
                <w:numId w:val="5"/>
              </w:numPr>
              <w:autoSpaceDE w:val="0"/>
              <w:autoSpaceDN w:val="0"/>
              <w:adjustRightInd w:val="0"/>
              <w:spacing w:line="360" w:lineRule="auto"/>
              <w:jc w:val="center"/>
              <w:rPr>
                <w:b/>
                <w:bCs/>
                <w:color w:val="auto"/>
                <w:kern w:val="0"/>
                <w:highlight w:val="none"/>
              </w:rPr>
            </w:pPr>
            <w:r>
              <w:rPr>
                <w:b/>
                <w:bCs/>
                <w:color w:val="auto"/>
                <w:kern w:val="0"/>
                <w:highlight w:val="none"/>
              </w:rPr>
              <w:t>项目大气环境保护目标图</w:t>
            </w:r>
          </w:p>
          <w:p w14:paraId="307ABE74">
            <w:pPr>
              <w:spacing w:line="360" w:lineRule="auto"/>
              <w:rPr>
                <w:b/>
                <w:color w:val="auto"/>
                <w:highlight w:val="none"/>
              </w:rPr>
            </w:pPr>
            <w:r>
              <w:rPr>
                <w:b/>
                <w:color w:val="auto"/>
                <w:sz w:val="22"/>
                <w:szCs w:val="28"/>
                <w:highlight w:val="none"/>
              </w:rPr>
              <w:t>3.</w:t>
            </w:r>
            <w:r>
              <w:rPr>
                <w:rFonts w:hint="default"/>
                <w:b/>
                <w:color w:val="auto"/>
                <w:sz w:val="22"/>
                <w:szCs w:val="28"/>
                <w:highlight w:val="none"/>
                <w:lang w:val="en-US" w:eastAsia="zh-CN"/>
              </w:rPr>
              <w:t xml:space="preserve">2.2 </w:t>
            </w:r>
            <w:r>
              <w:rPr>
                <w:rFonts w:hint="default"/>
                <w:b/>
                <w:color w:val="auto"/>
                <w:sz w:val="22"/>
                <w:szCs w:val="28"/>
                <w:highlight w:val="none"/>
              </w:rPr>
              <w:t xml:space="preserve"> </w:t>
            </w:r>
            <w:r>
              <w:rPr>
                <w:b/>
                <w:color w:val="auto"/>
                <w:sz w:val="22"/>
                <w:szCs w:val="28"/>
                <w:highlight w:val="none"/>
              </w:rPr>
              <w:t>声环境</w:t>
            </w:r>
          </w:p>
          <w:p w14:paraId="79169F2E">
            <w:pPr>
              <w:spacing w:line="360" w:lineRule="auto"/>
              <w:ind w:firstLine="420" w:firstLineChars="200"/>
              <w:rPr>
                <w:rFonts w:hint="default"/>
                <w:color w:val="auto"/>
                <w:highlight w:val="none"/>
                <w:lang w:val="en-US" w:eastAsia="zh-CN"/>
              </w:rPr>
            </w:pPr>
            <w:r>
              <w:rPr>
                <w:rFonts w:hint="default"/>
                <w:color w:val="auto"/>
                <w:highlight w:val="none"/>
              </w:rPr>
              <w:t>根据现状调查，项目厂界外50m范围内</w:t>
            </w:r>
            <w:r>
              <w:rPr>
                <w:rFonts w:hint="default"/>
                <w:color w:val="auto"/>
                <w:highlight w:val="none"/>
                <w:lang w:val="en-US" w:eastAsia="zh-CN"/>
              </w:rPr>
              <w:t>声环境保护目标见表3-</w:t>
            </w:r>
            <w:r>
              <w:rPr>
                <w:rFonts w:hint="eastAsia" w:cs="Times New Roman"/>
                <w:color w:val="auto"/>
                <w:highlight w:val="none"/>
                <w:lang w:val="en-US" w:eastAsia="zh-CN"/>
              </w:rPr>
              <w:t>6</w:t>
            </w:r>
            <w:r>
              <w:rPr>
                <w:rFonts w:hint="default"/>
                <w:color w:val="auto"/>
                <w:highlight w:val="none"/>
                <w:lang w:val="en-US" w:eastAsia="zh-CN"/>
              </w:rPr>
              <w:t>。</w:t>
            </w:r>
          </w:p>
          <w:p w14:paraId="310464D3">
            <w:pPr>
              <w:pStyle w:val="14"/>
              <w:widowControl/>
              <w:numPr>
                <w:ilvl w:val="0"/>
                <w:numId w:val="4"/>
              </w:numPr>
              <w:tabs>
                <w:tab w:val="left" w:pos="4515"/>
                <w:tab w:val="left" w:pos="5883"/>
                <w:tab w:val="left" w:pos="8718"/>
              </w:tabs>
              <w:adjustRightInd w:val="0"/>
              <w:snapToGrid w:val="0"/>
              <w:spacing w:line="360" w:lineRule="auto"/>
              <w:jc w:val="center"/>
              <w:rPr>
                <w:rFonts w:hint="default" w:ascii="Times New Roman" w:hAnsi="Times New Roman" w:eastAsia="黑体" w:cs="Times New Roman"/>
                <w:b w:val="0"/>
                <w:bCs/>
                <w:color w:val="auto"/>
                <w:highlight w:val="none"/>
              </w:rPr>
            </w:pPr>
            <w:r>
              <w:rPr>
                <w:rFonts w:hint="default" w:ascii="Times New Roman" w:hAnsi="Times New Roman" w:eastAsia="黑体" w:cs="Times New Roman"/>
                <w:b w:val="0"/>
                <w:bCs/>
                <w:color w:val="auto"/>
                <w:highlight w:val="none"/>
                <w:lang w:val="en-US" w:eastAsia="zh-CN"/>
              </w:rPr>
              <w:t xml:space="preserve"> 声</w:t>
            </w:r>
            <w:r>
              <w:rPr>
                <w:rFonts w:hint="default" w:ascii="Times New Roman" w:hAnsi="Times New Roman" w:eastAsia="黑体" w:cs="Times New Roman"/>
                <w:b w:val="0"/>
                <w:bCs/>
                <w:color w:val="auto"/>
                <w:highlight w:val="none"/>
              </w:rPr>
              <w:t>环境保护目标基本情况</w:t>
            </w:r>
          </w:p>
          <w:tbl>
            <w:tblPr>
              <w:tblStyle w:val="24"/>
              <w:tblW w:w="0" w:type="auto"/>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Layout w:type="autofit"/>
              <w:tblCellMar>
                <w:top w:w="0" w:type="dxa"/>
                <w:left w:w="108" w:type="dxa"/>
                <w:bottom w:w="0" w:type="dxa"/>
                <w:right w:w="108" w:type="dxa"/>
              </w:tblCellMar>
            </w:tblPr>
            <w:tblGrid>
              <w:gridCol w:w="430"/>
              <w:gridCol w:w="1656"/>
              <w:gridCol w:w="531"/>
              <w:gridCol w:w="681"/>
              <w:gridCol w:w="441"/>
              <w:gridCol w:w="646"/>
              <w:gridCol w:w="430"/>
              <w:gridCol w:w="782"/>
              <w:gridCol w:w="2557"/>
            </w:tblGrid>
            <w:tr w14:paraId="2AFF2E7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 w:hRule="atLeast"/>
                <w:jc w:val="center"/>
              </w:trPr>
              <w:tc>
                <w:tcPr>
                  <w:tcW w:w="0" w:type="auto"/>
                  <w:vMerge w:val="restart"/>
                  <w:tcBorders>
                    <w:tl2br w:val="nil"/>
                    <w:tr2bl w:val="nil"/>
                  </w:tcBorders>
                  <w:shd w:val="clear" w:color="auto" w:fill="auto"/>
                  <w:vAlign w:val="center"/>
                </w:tcPr>
                <w:p w14:paraId="1CFFF6A4">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序号</w:t>
                  </w:r>
                </w:p>
              </w:tc>
              <w:tc>
                <w:tcPr>
                  <w:tcW w:w="0" w:type="auto"/>
                  <w:vMerge w:val="restart"/>
                  <w:tcBorders>
                    <w:tl2br w:val="nil"/>
                    <w:tr2bl w:val="nil"/>
                  </w:tcBorders>
                  <w:shd w:val="clear" w:color="auto" w:fill="auto"/>
                  <w:vAlign w:val="center"/>
                </w:tcPr>
                <w:p w14:paraId="33266803">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声环境保护目标</w:t>
                  </w:r>
                </w:p>
              </w:tc>
              <w:tc>
                <w:tcPr>
                  <w:tcW w:w="0" w:type="auto"/>
                  <w:gridSpan w:val="3"/>
                  <w:tcBorders>
                    <w:tl2br w:val="nil"/>
                    <w:tr2bl w:val="nil"/>
                  </w:tcBorders>
                  <w:shd w:val="clear" w:color="auto" w:fill="auto"/>
                  <w:vAlign w:val="center"/>
                </w:tcPr>
                <w:p w14:paraId="64A4DB45">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空间相对位置/m</w:t>
                  </w:r>
                </w:p>
              </w:tc>
              <w:tc>
                <w:tcPr>
                  <w:tcW w:w="0" w:type="auto"/>
                  <w:vMerge w:val="restart"/>
                  <w:tcBorders>
                    <w:tl2br w:val="nil"/>
                    <w:tr2bl w:val="nil"/>
                  </w:tcBorders>
                  <w:shd w:val="clear" w:color="auto" w:fill="auto"/>
                  <w:vAlign w:val="center"/>
                </w:tcPr>
                <w:p w14:paraId="1D335B66">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据厂界最近距离/m</w:t>
                  </w:r>
                </w:p>
              </w:tc>
              <w:tc>
                <w:tcPr>
                  <w:tcW w:w="0" w:type="auto"/>
                  <w:vMerge w:val="restart"/>
                  <w:tcBorders>
                    <w:tl2br w:val="nil"/>
                    <w:tr2bl w:val="nil"/>
                  </w:tcBorders>
                  <w:shd w:val="clear" w:color="auto" w:fill="auto"/>
                  <w:vAlign w:val="center"/>
                </w:tcPr>
                <w:p w14:paraId="26E88BED">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方位</w:t>
                  </w:r>
                </w:p>
              </w:tc>
              <w:tc>
                <w:tcPr>
                  <w:tcW w:w="0" w:type="auto"/>
                  <w:vMerge w:val="restart"/>
                  <w:tcBorders>
                    <w:tl2br w:val="nil"/>
                    <w:tr2bl w:val="nil"/>
                  </w:tcBorders>
                  <w:shd w:val="clear" w:color="auto" w:fill="auto"/>
                  <w:vAlign w:val="center"/>
                </w:tcPr>
                <w:p w14:paraId="227FB294">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执行标准/功能区类别</w:t>
                  </w:r>
                </w:p>
              </w:tc>
              <w:tc>
                <w:tcPr>
                  <w:tcW w:w="0" w:type="auto"/>
                  <w:vMerge w:val="restart"/>
                  <w:tcBorders>
                    <w:tl2br w:val="nil"/>
                    <w:tr2bl w:val="nil"/>
                  </w:tcBorders>
                  <w:shd w:val="clear" w:color="auto" w:fill="auto"/>
                  <w:vAlign w:val="center"/>
                </w:tcPr>
                <w:p w14:paraId="5C3DB757">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声环境保护目标情况说明</w:t>
                  </w:r>
                </w:p>
              </w:tc>
            </w:tr>
            <w:tr w14:paraId="639915E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 w:hRule="atLeast"/>
                <w:jc w:val="center"/>
              </w:trPr>
              <w:tc>
                <w:tcPr>
                  <w:tcW w:w="0" w:type="auto"/>
                  <w:vMerge w:val="continue"/>
                  <w:tcBorders>
                    <w:tl2br w:val="nil"/>
                    <w:tr2bl w:val="nil"/>
                  </w:tcBorders>
                  <w:shd w:val="clear" w:color="auto" w:fill="auto"/>
                  <w:vAlign w:val="center"/>
                </w:tcPr>
                <w:p w14:paraId="01CD5990">
                  <w:pPr>
                    <w:jc w:val="center"/>
                    <w:rPr>
                      <w:rFonts w:hint="default" w:ascii="Times New Roman" w:hAnsi="Times New Roman" w:eastAsia="宋体" w:cs="Times New Roman"/>
                      <w:i w:val="0"/>
                      <w:iCs w:val="0"/>
                      <w:color w:val="auto"/>
                      <w:sz w:val="18"/>
                      <w:szCs w:val="18"/>
                      <w:highlight w:val="none"/>
                      <w:u w:val="none"/>
                    </w:rPr>
                  </w:pPr>
                </w:p>
              </w:tc>
              <w:tc>
                <w:tcPr>
                  <w:tcW w:w="0" w:type="auto"/>
                  <w:vMerge w:val="continue"/>
                  <w:tcBorders>
                    <w:tl2br w:val="nil"/>
                    <w:tr2bl w:val="nil"/>
                  </w:tcBorders>
                  <w:shd w:val="clear" w:color="auto" w:fill="auto"/>
                  <w:vAlign w:val="center"/>
                </w:tcPr>
                <w:p w14:paraId="7A245C76">
                  <w:pPr>
                    <w:jc w:val="center"/>
                    <w:rPr>
                      <w:rFonts w:hint="default" w:ascii="Times New Roman" w:hAnsi="Times New Roman" w:eastAsia="宋体" w:cs="Times New Roman"/>
                      <w:i w:val="0"/>
                      <w:iCs w:val="0"/>
                      <w:color w:val="auto"/>
                      <w:sz w:val="18"/>
                      <w:szCs w:val="18"/>
                      <w:highlight w:val="none"/>
                      <w:u w:val="none"/>
                    </w:rPr>
                  </w:pPr>
                </w:p>
              </w:tc>
              <w:tc>
                <w:tcPr>
                  <w:tcW w:w="0" w:type="auto"/>
                  <w:tcBorders>
                    <w:tl2br w:val="nil"/>
                    <w:tr2bl w:val="nil"/>
                  </w:tcBorders>
                  <w:shd w:val="clear" w:color="auto" w:fill="auto"/>
                  <w:vAlign w:val="center"/>
                </w:tcPr>
                <w:p w14:paraId="73998C13">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X</w:t>
                  </w:r>
                </w:p>
              </w:tc>
              <w:tc>
                <w:tcPr>
                  <w:tcW w:w="0" w:type="auto"/>
                  <w:tcBorders>
                    <w:tl2br w:val="nil"/>
                    <w:tr2bl w:val="nil"/>
                  </w:tcBorders>
                  <w:shd w:val="clear" w:color="auto" w:fill="auto"/>
                  <w:vAlign w:val="center"/>
                </w:tcPr>
                <w:p w14:paraId="1C6F035E">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Y</w:t>
                  </w:r>
                </w:p>
              </w:tc>
              <w:tc>
                <w:tcPr>
                  <w:tcW w:w="0" w:type="auto"/>
                  <w:tcBorders>
                    <w:tl2br w:val="nil"/>
                    <w:tr2bl w:val="nil"/>
                  </w:tcBorders>
                  <w:shd w:val="clear" w:color="auto" w:fill="auto"/>
                  <w:vAlign w:val="center"/>
                </w:tcPr>
                <w:p w14:paraId="2822E0CA">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Z</w:t>
                  </w:r>
                </w:p>
              </w:tc>
              <w:tc>
                <w:tcPr>
                  <w:tcW w:w="0" w:type="auto"/>
                  <w:vMerge w:val="continue"/>
                  <w:tcBorders>
                    <w:tl2br w:val="nil"/>
                    <w:tr2bl w:val="nil"/>
                  </w:tcBorders>
                  <w:shd w:val="clear" w:color="auto" w:fill="auto"/>
                  <w:vAlign w:val="center"/>
                </w:tcPr>
                <w:p w14:paraId="180A7326">
                  <w:pPr>
                    <w:jc w:val="center"/>
                    <w:rPr>
                      <w:rFonts w:hint="default" w:ascii="Times New Roman" w:hAnsi="Times New Roman" w:eastAsia="宋体" w:cs="Times New Roman"/>
                      <w:i w:val="0"/>
                      <w:iCs w:val="0"/>
                      <w:color w:val="auto"/>
                      <w:sz w:val="18"/>
                      <w:szCs w:val="18"/>
                      <w:highlight w:val="none"/>
                      <w:u w:val="none"/>
                    </w:rPr>
                  </w:pPr>
                </w:p>
              </w:tc>
              <w:tc>
                <w:tcPr>
                  <w:tcW w:w="0" w:type="auto"/>
                  <w:vMerge w:val="continue"/>
                  <w:tcBorders>
                    <w:tl2br w:val="nil"/>
                    <w:tr2bl w:val="nil"/>
                  </w:tcBorders>
                  <w:shd w:val="clear" w:color="auto" w:fill="auto"/>
                  <w:vAlign w:val="center"/>
                </w:tcPr>
                <w:p w14:paraId="1FC079EE">
                  <w:pPr>
                    <w:jc w:val="center"/>
                    <w:rPr>
                      <w:rFonts w:hint="default" w:ascii="Times New Roman" w:hAnsi="Times New Roman" w:eastAsia="宋体" w:cs="Times New Roman"/>
                      <w:i w:val="0"/>
                      <w:iCs w:val="0"/>
                      <w:color w:val="auto"/>
                      <w:sz w:val="18"/>
                      <w:szCs w:val="18"/>
                      <w:highlight w:val="none"/>
                      <w:u w:val="none"/>
                    </w:rPr>
                  </w:pPr>
                </w:p>
              </w:tc>
              <w:tc>
                <w:tcPr>
                  <w:tcW w:w="0" w:type="auto"/>
                  <w:vMerge w:val="continue"/>
                  <w:tcBorders>
                    <w:tl2br w:val="nil"/>
                    <w:tr2bl w:val="nil"/>
                  </w:tcBorders>
                  <w:shd w:val="clear" w:color="auto" w:fill="auto"/>
                  <w:vAlign w:val="center"/>
                </w:tcPr>
                <w:p w14:paraId="7D9F4824">
                  <w:pPr>
                    <w:jc w:val="center"/>
                    <w:rPr>
                      <w:rFonts w:hint="default" w:ascii="Times New Roman" w:hAnsi="Times New Roman" w:eastAsia="宋体" w:cs="Times New Roman"/>
                      <w:i w:val="0"/>
                      <w:iCs w:val="0"/>
                      <w:color w:val="auto"/>
                      <w:sz w:val="18"/>
                      <w:szCs w:val="18"/>
                      <w:highlight w:val="none"/>
                      <w:u w:val="none"/>
                    </w:rPr>
                  </w:pPr>
                </w:p>
              </w:tc>
              <w:tc>
                <w:tcPr>
                  <w:tcW w:w="0" w:type="auto"/>
                  <w:vMerge w:val="continue"/>
                  <w:tcBorders>
                    <w:tl2br w:val="nil"/>
                    <w:tr2bl w:val="nil"/>
                  </w:tcBorders>
                  <w:shd w:val="clear" w:color="auto" w:fill="auto"/>
                  <w:vAlign w:val="center"/>
                </w:tcPr>
                <w:p w14:paraId="2C892498">
                  <w:pPr>
                    <w:jc w:val="center"/>
                    <w:rPr>
                      <w:rFonts w:hint="default" w:ascii="Times New Roman" w:hAnsi="Times New Roman" w:eastAsia="宋体" w:cs="Times New Roman"/>
                      <w:i w:val="0"/>
                      <w:iCs w:val="0"/>
                      <w:color w:val="auto"/>
                      <w:sz w:val="18"/>
                      <w:szCs w:val="18"/>
                      <w:highlight w:val="none"/>
                      <w:u w:val="none"/>
                    </w:rPr>
                  </w:pPr>
                </w:p>
              </w:tc>
            </w:tr>
            <w:tr w14:paraId="36D8B42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 w:hRule="atLeast"/>
                <w:jc w:val="center"/>
              </w:trPr>
              <w:tc>
                <w:tcPr>
                  <w:tcW w:w="0" w:type="auto"/>
                  <w:tcBorders>
                    <w:tl2br w:val="nil"/>
                    <w:tr2bl w:val="nil"/>
                  </w:tcBorders>
                  <w:shd w:val="clear" w:color="auto" w:fill="auto"/>
                  <w:noWrap/>
                  <w:vAlign w:val="center"/>
                </w:tcPr>
                <w:p w14:paraId="3BBC8749">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1</w:t>
                  </w:r>
                </w:p>
              </w:tc>
              <w:tc>
                <w:tcPr>
                  <w:tcW w:w="0" w:type="auto"/>
                  <w:tcBorders>
                    <w:tl2br w:val="nil"/>
                    <w:tr2bl w:val="nil"/>
                  </w:tcBorders>
                  <w:shd w:val="clear" w:color="auto" w:fill="auto"/>
                  <w:noWrap/>
                  <w:vAlign w:val="center"/>
                </w:tcPr>
                <w:p w14:paraId="4FDC08A1">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洛山党群服务中心</w:t>
                  </w:r>
                </w:p>
              </w:tc>
              <w:tc>
                <w:tcPr>
                  <w:tcW w:w="0" w:type="auto"/>
                  <w:tcBorders>
                    <w:tl2br w:val="nil"/>
                    <w:tr2bl w:val="nil"/>
                  </w:tcBorders>
                  <w:shd w:val="clear" w:color="auto" w:fill="auto"/>
                  <w:noWrap/>
                  <w:vAlign w:val="center"/>
                </w:tcPr>
                <w:p w14:paraId="35585E0E">
                  <w:pPr>
                    <w:jc w:val="center"/>
                    <w:rPr>
                      <w:rFonts w:hint="default" w:ascii="Times New Roman" w:hAnsi="Times New Roman" w:eastAsia="宋体" w:cs="Times New Roman"/>
                      <w:i w:val="0"/>
                      <w:iCs w:val="0"/>
                      <w:color w:val="auto"/>
                      <w:sz w:val="18"/>
                      <w:szCs w:val="18"/>
                      <w:highlight w:val="none"/>
                      <w:u w:val="none"/>
                      <w:lang w:val="en-US" w:eastAsia="zh-CN"/>
                    </w:rPr>
                  </w:pPr>
                  <w:r>
                    <w:rPr>
                      <w:rFonts w:hint="default" w:cs="Times New Roman"/>
                      <w:i w:val="0"/>
                      <w:iCs w:val="0"/>
                      <w:color w:val="auto"/>
                      <w:sz w:val="18"/>
                      <w:szCs w:val="18"/>
                      <w:highlight w:val="none"/>
                      <w:u w:val="none"/>
                      <w:lang w:val="en-US" w:eastAsia="zh-CN"/>
                    </w:rPr>
                    <w:t>9.02</w:t>
                  </w:r>
                </w:p>
              </w:tc>
              <w:tc>
                <w:tcPr>
                  <w:tcW w:w="0" w:type="auto"/>
                  <w:tcBorders>
                    <w:tl2br w:val="nil"/>
                    <w:tr2bl w:val="nil"/>
                  </w:tcBorders>
                  <w:shd w:val="clear" w:color="auto" w:fill="auto"/>
                  <w:noWrap/>
                  <w:vAlign w:val="center"/>
                </w:tcPr>
                <w:p w14:paraId="38DF065C">
                  <w:pPr>
                    <w:jc w:val="center"/>
                    <w:rPr>
                      <w:rFonts w:hint="default" w:ascii="Times New Roman" w:hAnsi="Times New Roman" w:eastAsia="宋体" w:cs="Times New Roman"/>
                      <w:i w:val="0"/>
                      <w:iCs w:val="0"/>
                      <w:color w:val="auto"/>
                      <w:sz w:val="18"/>
                      <w:szCs w:val="18"/>
                      <w:highlight w:val="none"/>
                      <w:u w:val="none"/>
                      <w:lang w:val="en-US" w:eastAsia="zh-CN"/>
                    </w:rPr>
                  </w:pPr>
                  <w:r>
                    <w:rPr>
                      <w:rFonts w:hint="default" w:cs="Times New Roman"/>
                      <w:i w:val="0"/>
                      <w:iCs w:val="0"/>
                      <w:color w:val="auto"/>
                      <w:sz w:val="18"/>
                      <w:szCs w:val="18"/>
                      <w:highlight w:val="none"/>
                      <w:u w:val="none"/>
                      <w:lang w:val="en-US" w:eastAsia="zh-CN"/>
                    </w:rPr>
                    <w:t>-31.16</w:t>
                  </w:r>
                </w:p>
              </w:tc>
              <w:tc>
                <w:tcPr>
                  <w:tcW w:w="0" w:type="auto"/>
                  <w:tcBorders>
                    <w:tl2br w:val="nil"/>
                    <w:tr2bl w:val="nil"/>
                  </w:tcBorders>
                  <w:shd w:val="clear" w:color="auto" w:fill="auto"/>
                  <w:noWrap/>
                  <w:vAlign w:val="center"/>
                </w:tcPr>
                <w:p w14:paraId="6F3886A9">
                  <w:pPr>
                    <w:jc w:val="center"/>
                    <w:rPr>
                      <w:rFonts w:hint="default" w:ascii="Times New Roman" w:hAnsi="Times New Roman" w:eastAsia="宋体" w:cs="Times New Roman"/>
                      <w:i w:val="0"/>
                      <w:iCs w:val="0"/>
                      <w:color w:val="auto"/>
                      <w:sz w:val="18"/>
                      <w:szCs w:val="18"/>
                      <w:highlight w:val="none"/>
                      <w:u w:val="none"/>
                      <w:lang w:val="en-US" w:eastAsia="zh-CN"/>
                    </w:rPr>
                  </w:pPr>
                  <w:r>
                    <w:rPr>
                      <w:rFonts w:hint="default" w:cs="Times New Roman"/>
                      <w:i w:val="0"/>
                      <w:iCs w:val="0"/>
                      <w:color w:val="auto"/>
                      <w:sz w:val="18"/>
                      <w:szCs w:val="18"/>
                      <w:highlight w:val="none"/>
                      <w:u w:val="none"/>
                      <w:lang w:val="en-US" w:eastAsia="zh-CN"/>
                    </w:rPr>
                    <w:t>1.2</w:t>
                  </w:r>
                </w:p>
              </w:tc>
              <w:tc>
                <w:tcPr>
                  <w:tcW w:w="0" w:type="auto"/>
                  <w:tcBorders>
                    <w:tl2br w:val="nil"/>
                    <w:tr2bl w:val="nil"/>
                  </w:tcBorders>
                  <w:shd w:val="clear" w:color="auto" w:fill="auto"/>
                  <w:noWrap/>
                  <w:vAlign w:val="center"/>
                </w:tcPr>
                <w:p w14:paraId="10A6AC86">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15</w:t>
                  </w:r>
                </w:p>
              </w:tc>
              <w:tc>
                <w:tcPr>
                  <w:tcW w:w="0" w:type="auto"/>
                  <w:tcBorders>
                    <w:tl2br w:val="nil"/>
                    <w:tr2bl w:val="nil"/>
                  </w:tcBorders>
                  <w:shd w:val="clear" w:color="auto" w:fill="auto"/>
                  <w:noWrap/>
                  <w:vAlign w:val="center"/>
                </w:tcPr>
                <w:p w14:paraId="4FD7A61A">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南</w:t>
                  </w:r>
                </w:p>
              </w:tc>
              <w:tc>
                <w:tcPr>
                  <w:tcW w:w="0" w:type="auto"/>
                  <w:tcBorders>
                    <w:tl2br w:val="nil"/>
                    <w:tr2bl w:val="nil"/>
                  </w:tcBorders>
                  <w:shd w:val="clear" w:color="auto" w:fill="auto"/>
                  <w:noWrap/>
                  <w:vAlign w:val="center"/>
                </w:tcPr>
                <w:p w14:paraId="67D701DF">
                  <w:pPr>
                    <w:jc w:val="center"/>
                    <w:rPr>
                      <w:rFonts w:hint="default" w:ascii="Times New Roman" w:hAnsi="Times New Roman" w:eastAsia="宋体" w:cs="Times New Roman"/>
                      <w:i w:val="0"/>
                      <w:iCs w:val="0"/>
                      <w:color w:val="auto"/>
                      <w:sz w:val="18"/>
                      <w:szCs w:val="18"/>
                      <w:highlight w:val="none"/>
                      <w:u w:val="none"/>
                      <w:lang w:val="en-US" w:eastAsia="zh-CN"/>
                    </w:rPr>
                  </w:pPr>
                  <w:r>
                    <w:rPr>
                      <w:rFonts w:hint="default" w:ascii="Times New Roman" w:hAnsi="Times New Roman" w:eastAsia="宋体" w:cs="Times New Roman"/>
                      <w:i w:val="0"/>
                      <w:iCs w:val="0"/>
                      <w:color w:val="auto"/>
                      <w:sz w:val="18"/>
                      <w:szCs w:val="18"/>
                      <w:highlight w:val="none"/>
                      <w:u w:val="none"/>
                      <w:lang w:val="en-US" w:eastAsia="zh-CN"/>
                    </w:rPr>
                    <w:t>2类</w:t>
                  </w:r>
                </w:p>
              </w:tc>
              <w:tc>
                <w:tcPr>
                  <w:tcW w:w="0" w:type="auto"/>
                  <w:tcBorders>
                    <w:tl2br w:val="nil"/>
                    <w:tr2bl w:val="nil"/>
                  </w:tcBorders>
                  <w:shd w:val="clear" w:color="auto" w:fill="auto"/>
                  <w:noWrap/>
                  <w:vAlign w:val="center"/>
                </w:tcPr>
                <w:p w14:paraId="52D1571B">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单层弧形建筑，周围有绿化带</w:t>
                  </w:r>
                </w:p>
              </w:tc>
            </w:tr>
            <w:tr w14:paraId="311B590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 w:hRule="atLeast"/>
                <w:jc w:val="center"/>
              </w:trPr>
              <w:tc>
                <w:tcPr>
                  <w:tcW w:w="0" w:type="auto"/>
                  <w:gridSpan w:val="9"/>
                  <w:tcBorders>
                    <w:tl2br w:val="nil"/>
                    <w:tr2bl w:val="nil"/>
                  </w:tcBorders>
                  <w:shd w:val="clear" w:color="auto" w:fill="auto"/>
                  <w:noWrap/>
                  <w:vAlign w:val="center"/>
                </w:tcPr>
                <w:p w14:paraId="5B601F60">
                  <w:pPr>
                    <w:pStyle w:val="20"/>
                    <w:keepNext w:val="0"/>
                    <w:keepLines w:val="0"/>
                    <w:widowControl/>
                    <w:suppressLineNumbers w:val="0"/>
                    <w:jc w:val="left"/>
                    <w:textAlignment w:val="auto"/>
                    <w:outlineLvl w:val="9"/>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snapToGrid w:val="0"/>
                      <w:color w:val="auto"/>
                      <w:sz w:val="18"/>
                      <w:szCs w:val="18"/>
                      <w:highlight w:val="none"/>
                      <w:lang w:val="en-US" w:eastAsia="zh-CN"/>
                    </w:rPr>
                    <w:t>备注：表中坐标以厂界东南角为坐标原点，正东向为X轴正方向，正北向为Y轴正方向。</w:t>
                  </w:r>
                </w:p>
              </w:tc>
            </w:tr>
          </w:tbl>
          <w:p w14:paraId="5DE381EA">
            <w:pPr>
              <w:spacing w:line="360" w:lineRule="auto"/>
              <w:rPr>
                <w:b/>
                <w:color w:val="auto"/>
                <w:sz w:val="22"/>
                <w:szCs w:val="28"/>
                <w:highlight w:val="none"/>
              </w:rPr>
            </w:pPr>
            <w:r>
              <w:rPr>
                <w:b/>
                <w:color w:val="auto"/>
                <w:sz w:val="22"/>
                <w:szCs w:val="28"/>
                <w:highlight w:val="none"/>
              </w:rPr>
              <w:t>3.</w:t>
            </w:r>
            <w:r>
              <w:rPr>
                <w:rFonts w:hint="default"/>
                <w:b/>
                <w:color w:val="auto"/>
                <w:sz w:val="22"/>
                <w:szCs w:val="28"/>
                <w:highlight w:val="none"/>
                <w:lang w:val="en-US" w:eastAsia="zh-CN"/>
              </w:rPr>
              <w:t>2</w:t>
            </w:r>
            <w:r>
              <w:rPr>
                <w:rFonts w:hint="default"/>
                <w:b/>
                <w:color w:val="auto"/>
                <w:sz w:val="22"/>
                <w:szCs w:val="28"/>
                <w:highlight w:val="none"/>
              </w:rPr>
              <w:t xml:space="preserve">.3 </w:t>
            </w:r>
            <w:r>
              <w:rPr>
                <w:rFonts w:hint="default"/>
                <w:b/>
                <w:color w:val="auto"/>
                <w:sz w:val="22"/>
                <w:szCs w:val="28"/>
                <w:highlight w:val="none"/>
                <w:lang w:val="en-US" w:eastAsia="zh-CN"/>
              </w:rPr>
              <w:t xml:space="preserve"> </w:t>
            </w:r>
            <w:r>
              <w:rPr>
                <w:b/>
                <w:color w:val="auto"/>
                <w:sz w:val="22"/>
                <w:szCs w:val="28"/>
                <w:highlight w:val="none"/>
              </w:rPr>
              <w:t>地下水环境</w:t>
            </w:r>
          </w:p>
          <w:p w14:paraId="7BFBC3A6">
            <w:pPr>
              <w:spacing w:line="360" w:lineRule="auto"/>
              <w:ind w:firstLine="420" w:firstLineChars="200"/>
              <w:rPr>
                <w:color w:val="auto"/>
                <w:highlight w:val="none"/>
              </w:rPr>
            </w:pPr>
            <w:r>
              <w:rPr>
                <w:color w:val="auto"/>
                <w:highlight w:val="none"/>
              </w:rPr>
              <w:t>根据调查，项目厂界外500米范围内无地下水集中式饮用水水源和热水、矿泉水、温泉等特殊地下水资源。</w:t>
            </w:r>
          </w:p>
          <w:p w14:paraId="048DA8C0">
            <w:pPr>
              <w:spacing w:line="360" w:lineRule="auto"/>
              <w:rPr>
                <w:b/>
                <w:color w:val="auto"/>
                <w:sz w:val="22"/>
                <w:szCs w:val="28"/>
                <w:highlight w:val="none"/>
              </w:rPr>
            </w:pPr>
            <w:r>
              <w:rPr>
                <w:b/>
                <w:color w:val="auto"/>
                <w:sz w:val="22"/>
                <w:szCs w:val="28"/>
                <w:highlight w:val="none"/>
              </w:rPr>
              <w:t>3.</w:t>
            </w:r>
            <w:r>
              <w:rPr>
                <w:rFonts w:hint="default"/>
                <w:b/>
                <w:color w:val="auto"/>
                <w:sz w:val="22"/>
                <w:szCs w:val="28"/>
                <w:highlight w:val="none"/>
                <w:lang w:val="en-US" w:eastAsia="zh-CN"/>
              </w:rPr>
              <w:t>2</w:t>
            </w:r>
            <w:r>
              <w:rPr>
                <w:rFonts w:hint="default"/>
                <w:b/>
                <w:color w:val="auto"/>
                <w:sz w:val="22"/>
                <w:szCs w:val="28"/>
                <w:highlight w:val="none"/>
              </w:rPr>
              <w:t xml:space="preserve">.4 </w:t>
            </w:r>
            <w:r>
              <w:rPr>
                <w:rFonts w:hint="default"/>
                <w:b/>
                <w:color w:val="auto"/>
                <w:sz w:val="22"/>
                <w:szCs w:val="28"/>
                <w:highlight w:val="none"/>
                <w:lang w:val="en-US" w:eastAsia="zh-CN"/>
              </w:rPr>
              <w:t xml:space="preserve"> </w:t>
            </w:r>
            <w:r>
              <w:rPr>
                <w:b/>
                <w:color w:val="auto"/>
                <w:sz w:val="22"/>
                <w:szCs w:val="28"/>
                <w:highlight w:val="none"/>
              </w:rPr>
              <w:t>生态环境</w:t>
            </w:r>
          </w:p>
          <w:p w14:paraId="498F8186">
            <w:pPr>
              <w:spacing w:line="360" w:lineRule="auto"/>
              <w:ind w:firstLine="420" w:firstLineChars="200"/>
              <w:rPr>
                <w:rFonts w:hint="default"/>
                <w:color w:val="auto"/>
                <w:kern w:val="0"/>
                <w:szCs w:val="21"/>
                <w:highlight w:val="none"/>
              </w:rPr>
            </w:pPr>
            <w:r>
              <w:rPr>
                <w:rFonts w:hint="default"/>
                <w:color w:val="auto"/>
                <w:kern w:val="0"/>
                <w:szCs w:val="21"/>
                <w:highlight w:val="none"/>
              </w:rPr>
              <w:t>本项目位于仁和先进制造业基地（余杭区钱江经济开发区）范围内，租用</w:t>
            </w:r>
            <w:r>
              <w:rPr>
                <w:rFonts w:hint="default" w:ascii="Times New Roman" w:hAnsi="Times New Roman" w:cs="Times New Roman"/>
                <w:color w:val="auto"/>
                <w:highlight w:val="none"/>
              </w:rPr>
              <w:t>浙江东恒肽康医药有限公司园区闲置厂房（余杭区仁和街道獐山北路9号东恒肽康医药园6幢9楼）</w:t>
            </w:r>
            <w:r>
              <w:rPr>
                <w:rFonts w:hint="default"/>
                <w:color w:val="auto"/>
                <w:kern w:val="0"/>
                <w:szCs w:val="21"/>
                <w:highlight w:val="none"/>
              </w:rPr>
              <w:t>，不新增用地面积，不涉及生态环境保护目标。</w:t>
            </w:r>
          </w:p>
          <w:p w14:paraId="5202A682">
            <w:pPr>
              <w:pStyle w:val="14"/>
              <w:rPr>
                <w:rFonts w:hint="default"/>
                <w:color w:val="auto"/>
                <w:kern w:val="0"/>
                <w:szCs w:val="21"/>
                <w:highlight w:val="none"/>
              </w:rPr>
            </w:pPr>
          </w:p>
          <w:p w14:paraId="618EADFB">
            <w:pPr>
              <w:pStyle w:val="14"/>
              <w:rPr>
                <w:rFonts w:hint="default"/>
                <w:color w:val="auto"/>
                <w:kern w:val="0"/>
                <w:szCs w:val="21"/>
                <w:highlight w:val="none"/>
              </w:rPr>
            </w:pPr>
          </w:p>
        </w:tc>
      </w:tr>
      <w:tr w14:paraId="46278C5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800" w:type="dxa"/>
            <w:tcMar>
              <w:left w:w="28" w:type="dxa"/>
              <w:right w:w="28" w:type="dxa"/>
            </w:tcMar>
            <w:vAlign w:val="center"/>
          </w:tcPr>
          <w:p w14:paraId="4F487CFA">
            <w:pPr>
              <w:adjustRightInd w:val="0"/>
              <w:snapToGrid w:val="0"/>
              <w:jc w:val="center"/>
              <w:rPr>
                <w:color w:val="auto"/>
                <w:kern w:val="0"/>
                <w:szCs w:val="21"/>
                <w:highlight w:val="none"/>
              </w:rPr>
            </w:pPr>
            <w:r>
              <w:rPr>
                <w:color w:val="auto"/>
                <w:kern w:val="0"/>
                <w:szCs w:val="21"/>
                <w:highlight w:val="none"/>
              </w:rPr>
              <w:t>污染</w:t>
            </w:r>
          </w:p>
          <w:p w14:paraId="2AEF528C">
            <w:pPr>
              <w:adjustRightInd w:val="0"/>
              <w:snapToGrid w:val="0"/>
              <w:jc w:val="center"/>
              <w:rPr>
                <w:color w:val="auto"/>
                <w:kern w:val="0"/>
                <w:szCs w:val="21"/>
                <w:highlight w:val="none"/>
              </w:rPr>
            </w:pPr>
            <w:r>
              <w:rPr>
                <w:color w:val="auto"/>
                <w:kern w:val="0"/>
                <w:szCs w:val="21"/>
                <w:highlight w:val="none"/>
              </w:rPr>
              <w:t>物排</w:t>
            </w:r>
          </w:p>
          <w:p w14:paraId="3A3E8287">
            <w:pPr>
              <w:adjustRightInd w:val="0"/>
              <w:snapToGrid w:val="0"/>
              <w:jc w:val="center"/>
              <w:rPr>
                <w:color w:val="auto"/>
                <w:kern w:val="0"/>
                <w:szCs w:val="21"/>
                <w:highlight w:val="none"/>
              </w:rPr>
            </w:pPr>
            <w:r>
              <w:rPr>
                <w:color w:val="auto"/>
                <w:kern w:val="0"/>
                <w:szCs w:val="21"/>
                <w:highlight w:val="none"/>
              </w:rPr>
              <w:t>放控</w:t>
            </w:r>
          </w:p>
          <w:p w14:paraId="0B223B54">
            <w:pPr>
              <w:adjustRightInd w:val="0"/>
              <w:snapToGrid w:val="0"/>
              <w:jc w:val="center"/>
              <w:rPr>
                <w:color w:val="auto"/>
                <w:kern w:val="0"/>
                <w:szCs w:val="21"/>
                <w:highlight w:val="none"/>
              </w:rPr>
            </w:pPr>
            <w:r>
              <w:rPr>
                <w:color w:val="auto"/>
                <w:kern w:val="0"/>
                <w:szCs w:val="21"/>
                <w:highlight w:val="none"/>
              </w:rPr>
              <w:t>制标</w:t>
            </w:r>
          </w:p>
          <w:p w14:paraId="3B4AC787">
            <w:pPr>
              <w:adjustRightInd w:val="0"/>
              <w:snapToGrid w:val="0"/>
              <w:jc w:val="center"/>
              <w:rPr>
                <w:color w:val="auto"/>
                <w:kern w:val="0"/>
                <w:szCs w:val="21"/>
                <w:highlight w:val="none"/>
              </w:rPr>
            </w:pPr>
            <w:r>
              <w:rPr>
                <w:color w:val="auto"/>
                <w:kern w:val="0"/>
                <w:szCs w:val="21"/>
                <w:highlight w:val="none"/>
              </w:rPr>
              <w:t>准</w:t>
            </w:r>
          </w:p>
        </w:tc>
        <w:tc>
          <w:tcPr>
            <w:tcW w:w="8190" w:type="dxa"/>
            <w:vAlign w:val="center"/>
          </w:tcPr>
          <w:p w14:paraId="1859B49D">
            <w:pPr>
              <w:adjustRightInd w:val="0"/>
              <w:snapToGrid w:val="0"/>
              <w:spacing w:line="360" w:lineRule="auto"/>
              <w:rPr>
                <w:b/>
                <w:color w:val="auto"/>
                <w:sz w:val="24"/>
                <w:szCs w:val="32"/>
                <w:highlight w:val="none"/>
              </w:rPr>
            </w:pPr>
            <w:bookmarkStart w:id="36" w:name="_Hlk137821131"/>
            <w:r>
              <w:rPr>
                <w:rFonts w:hint="default"/>
                <w:b/>
                <w:color w:val="auto"/>
                <w:sz w:val="24"/>
                <w:szCs w:val="32"/>
                <w:highlight w:val="none"/>
              </w:rPr>
              <w:t xml:space="preserve">3.3 </w:t>
            </w:r>
            <w:r>
              <w:rPr>
                <w:rFonts w:hint="default"/>
                <w:b/>
                <w:color w:val="auto"/>
                <w:sz w:val="24"/>
                <w:szCs w:val="32"/>
                <w:highlight w:val="none"/>
                <w:lang w:val="en-US" w:eastAsia="zh-CN"/>
              </w:rPr>
              <w:t xml:space="preserve"> </w:t>
            </w:r>
            <w:r>
              <w:rPr>
                <w:rFonts w:hint="default"/>
                <w:b/>
                <w:color w:val="auto"/>
                <w:sz w:val="24"/>
                <w:szCs w:val="32"/>
                <w:highlight w:val="none"/>
              </w:rPr>
              <w:t>污染物排放控制标准</w:t>
            </w:r>
          </w:p>
          <w:p w14:paraId="70D30EF7">
            <w:pPr>
              <w:adjustRightInd w:val="0"/>
              <w:snapToGrid w:val="0"/>
              <w:spacing w:line="360" w:lineRule="auto"/>
              <w:rPr>
                <w:color w:val="auto"/>
                <w:sz w:val="22"/>
                <w:szCs w:val="28"/>
                <w:highlight w:val="none"/>
              </w:rPr>
            </w:pPr>
            <w:r>
              <w:rPr>
                <w:b/>
                <w:color w:val="auto"/>
                <w:sz w:val="22"/>
                <w:szCs w:val="28"/>
                <w:highlight w:val="none"/>
              </w:rPr>
              <w:t>3</w:t>
            </w:r>
            <w:r>
              <w:rPr>
                <w:rFonts w:hint="default"/>
                <w:b/>
                <w:color w:val="auto"/>
                <w:sz w:val="22"/>
                <w:szCs w:val="28"/>
                <w:highlight w:val="none"/>
              </w:rPr>
              <w:t>.3.1</w:t>
            </w:r>
            <w:r>
              <w:rPr>
                <w:rFonts w:hint="default"/>
                <w:b/>
                <w:color w:val="auto"/>
                <w:sz w:val="22"/>
                <w:szCs w:val="28"/>
                <w:highlight w:val="none"/>
                <w:lang w:val="en-US" w:eastAsia="zh-CN"/>
              </w:rPr>
              <w:t xml:space="preserve">  </w:t>
            </w:r>
            <w:r>
              <w:rPr>
                <w:b/>
                <w:color w:val="auto"/>
                <w:sz w:val="22"/>
                <w:szCs w:val="28"/>
                <w:highlight w:val="none"/>
              </w:rPr>
              <w:t>废气</w:t>
            </w:r>
          </w:p>
          <w:p w14:paraId="3937BCC5">
            <w:pPr>
              <w:spacing w:line="360" w:lineRule="auto"/>
              <w:ind w:firstLine="420" w:firstLineChars="200"/>
              <w:rPr>
                <w:rFonts w:hint="default"/>
                <w:color w:val="auto"/>
                <w:szCs w:val="21"/>
                <w:highlight w:val="none"/>
                <w:lang w:val="en-US"/>
              </w:rPr>
            </w:pPr>
            <w:r>
              <w:rPr>
                <w:rFonts w:hint="default"/>
                <w:color w:val="auto"/>
                <w:szCs w:val="21"/>
                <w:highlight w:val="none"/>
              </w:rPr>
              <w:t>本项目中颗粒物、非甲烷总烃执行《大气污染物综合排放标准》</w:t>
            </w:r>
            <w:r>
              <w:rPr>
                <w:rFonts w:hint="eastAsia"/>
                <w:color w:val="auto"/>
                <w:szCs w:val="21"/>
                <w:highlight w:val="none"/>
                <w:lang w:val="en-US" w:eastAsia="zh-CN"/>
              </w:rPr>
              <w:t>(</w:t>
            </w:r>
            <w:r>
              <w:rPr>
                <w:rFonts w:hint="default"/>
                <w:color w:val="auto"/>
                <w:szCs w:val="21"/>
                <w:highlight w:val="none"/>
              </w:rPr>
              <w:t>GB 16297-1996</w:t>
            </w:r>
            <w:r>
              <w:rPr>
                <w:rFonts w:hint="eastAsia"/>
                <w:color w:val="auto"/>
                <w:szCs w:val="21"/>
                <w:highlight w:val="none"/>
                <w:lang w:val="en-US" w:eastAsia="zh-CN"/>
              </w:rPr>
              <w:t>)</w:t>
            </w:r>
            <w:r>
              <w:rPr>
                <w:rFonts w:hint="default"/>
                <w:color w:val="auto"/>
                <w:szCs w:val="21"/>
                <w:highlight w:val="none"/>
              </w:rPr>
              <w:t>中表2的二级标准排放限值。臭气浓度执行《恶臭污染物排放标准》</w:t>
            </w:r>
            <w:r>
              <w:rPr>
                <w:rFonts w:hint="eastAsia"/>
                <w:color w:val="auto"/>
                <w:szCs w:val="21"/>
                <w:highlight w:val="none"/>
                <w:lang w:val="en-US" w:eastAsia="zh-CN"/>
              </w:rPr>
              <w:t>(</w:t>
            </w:r>
            <w:r>
              <w:rPr>
                <w:rFonts w:hint="default"/>
                <w:color w:val="auto"/>
                <w:szCs w:val="21"/>
                <w:highlight w:val="none"/>
              </w:rPr>
              <w:t>GB 14554-93</w:t>
            </w:r>
            <w:r>
              <w:rPr>
                <w:rFonts w:hint="eastAsia"/>
                <w:color w:val="auto"/>
                <w:szCs w:val="21"/>
                <w:highlight w:val="none"/>
                <w:lang w:val="en-US" w:eastAsia="zh-CN"/>
              </w:rPr>
              <w:t>)</w:t>
            </w:r>
            <w:r>
              <w:rPr>
                <w:rFonts w:hint="default"/>
                <w:color w:val="auto"/>
                <w:szCs w:val="21"/>
                <w:highlight w:val="none"/>
              </w:rPr>
              <w:t>中表1的二级-新改扩建厂界标准值，以及表2的排放标准值。具体标准值</w:t>
            </w:r>
            <w:r>
              <w:rPr>
                <w:rFonts w:hint="default"/>
                <w:color w:val="auto"/>
                <w:szCs w:val="21"/>
                <w:highlight w:val="none"/>
                <w:lang w:val="en-US" w:eastAsia="zh-CN"/>
              </w:rPr>
              <w:t>见表3-</w:t>
            </w:r>
            <w:r>
              <w:rPr>
                <w:rFonts w:hint="eastAsia" w:cs="Times New Roman"/>
                <w:color w:val="auto"/>
                <w:szCs w:val="21"/>
                <w:highlight w:val="none"/>
                <w:lang w:val="en-US" w:eastAsia="zh-CN"/>
              </w:rPr>
              <w:t>7</w:t>
            </w:r>
            <w:r>
              <w:rPr>
                <w:rFonts w:hint="default"/>
                <w:color w:val="auto"/>
                <w:szCs w:val="21"/>
                <w:highlight w:val="none"/>
                <w:lang w:val="en-US" w:eastAsia="zh-CN"/>
              </w:rPr>
              <w:t>。</w:t>
            </w:r>
          </w:p>
          <w:p w14:paraId="79553C92">
            <w:pPr>
              <w:pStyle w:val="14"/>
              <w:widowControl/>
              <w:numPr>
                <w:ilvl w:val="0"/>
                <w:numId w:val="4"/>
              </w:numPr>
              <w:tabs>
                <w:tab w:val="left" w:pos="4515"/>
                <w:tab w:val="left" w:pos="5883"/>
                <w:tab w:val="left" w:pos="8718"/>
              </w:tabs>
              <w:adjustRightInd w:val="0"/>
              <w:snapToGrid w:val="0"/>
              <w:spacing w:line="360" w:lineRule="auto"/>
              <w:jc w:val="center"/>
              <w:rPr>
                <w:rFonts w:ascii="Times New Roman" w:hAnsi="Times New Roman" w:cs="Times New Roman"/>
                <w:color w:val="auto"/>
                <w:highlight w:val="none"/>
              </w:rPr>
            </w:pPr>
            <w:r>
              <w:rPr>
                <w:rFonts w:hint="default" w:ascii="Times New Roman" w:hAnsi="Times New Roman" w:cs="Times New Roman"/>
                <w:b/>
                <w:color w:val="auto"/>
                <w:highlight w:val="none"/>
              </w:rPr>
              <w:t>本项目废气排放标准</w:t>
            </w:r>
          </w:p>
          <w:tbl>
            <w:tblPr>
              <w:tblStyle w:val="25"/>
              <w:tblW w:w="4998"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660"/>
              <w:gridCol w:w="1522"/>
              <w:gridCol w:w="975"/>
              <w:gridCol w:w="1208"/>
              <w:gridCol w:w="1282"/>
              <w:gridCol w:w="1314"/>
              <w:gridCol w:w="1190"/>
            </w:tblGrid>
            <w:tr w14:paraId="40DBCCC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 w:hRule="atLeast"/>
                <w:tblHeader/>
                <w:jc w:val="center"/>
              </w:trPr>
              <w:tc>
                <w:tcPr>
                  <w:tcW w:w="405" w:type="pct"/>
                  <w:vMerge w:val="restart"/>
                  <w:tcBorders>
                    <w:tl2br w:val="nil"/>
                    <w:tr2bl w:val="nil"/>
                  </w:tcBorders>
                  <w:vAlign w:val="center"/>
                </w:tcPr>
                <w:p w14:paraId="39DB1068">
                  <w:pPr>
                    <w:keepNext/>
                    <w:snapToGrid w:val="0"/>
                    <w:jc w:val="center"/>
                    <w:rPr>
                      <w:bCs/>
                      <w:color w:val="auto"/>
                      <w:sz w:val="18"/>
                      <w:szCs w:val="18"/>
                      <w:highlight w:val="none"/>
                    </w:rPr>
                  </w:pPr>
                  <w:r>
                    <w:rPr>
                      <w:rFonts w:hint="default"/>
                      <w:bCs/>
                      <w:color w:val="auto"/>
                      <w:sz w:val="18"/>
                      <w:szCs w:val="18"/>
                      <w:highlight w:val="none"/>
                    </w:rPr>
                    <w:t>污染物</w:t>
                  </w:r>
                </w:p>
              </w:tc>
              <w:tc>
                <w:tcPr>
                  <w:tcW w:w="2272" w:type="pct"/>
                  <w:gridSpan w:val="3"/>
                  <w:tcBorders>
                    <w:tl2br w:val="nil"/>
                    <w:tr2bl w:val="nil"/>
                  </w:tcBorders>
                  <w:vAlign w:val="center"/>
                </w:tcPr>
                <w:p w14:paraId="41D387EF">
                  <w:pPr>
                    <w:keepNext/>
                    <w:snapToGrid w:val="0"/>
                    <w:jc w:val="center"/>
                    <w:rPr>
                      <w:bCs/>
                      <w:color w:val="auto"/>
                      <w:sz w:val="18"/>
                      <w:szCs w:val="18"/>
                      <w:highlight w:val="none"/>
                    </w:rPr>
                  </w:pPr>
                  <w:r>
                    <w:rPr>
                      <w:bCs/>
                      <w:color w:val="auto"/>
                      <w:sz w:val="18"/>
                      <w:szCs w:val="18"/>
                      <w:highlight w:val="none"/>
                    </w:rPr>
                    <w:t>有组织排放标准</w:t>
                  </w:r>
                </w:p>
              </w:tc>
              <w:tc>
                <w:tcPr>
                  <w:tcW w:w="1592" w:type="pct"/>
                  <w:gridSpan w:val="2"/>
                  <w:tcBorders>
                    <w:tl2br w:val="nil"/>
                    <w:tr2bl w:val="nil"/>
                  </w:tcBorders>
                  <w:vAlign w:val="center"/>
                </w:tcPr>
                <w:p w14:paraId="6B9A82FD">
                  <w:pPr>
                    <w:keepNext/>
                    <w:snapToGrid w:val="0"/>
                    <w:jc w:val="center"/>
                    <w:rPr>
                      <w:bCs/>
                      <w:color w:val="auto"/>
                      <w:sz w:val="18"/>
                      <w:szCs w:val="18"/>
                      <w:highlight w:val="none"/>
                    </w:rPr>
                  </w:pPr>
                  <w:r>
                    <w:rPr>
                      <w:bCs/>
                      <w:color w:val="auto"/>
                      <w:sz w:val="18"/>
                      <w:szCs w:val="18"/>
                      <w:highlight w:val="none"/>
                    </w:rPr>
                    <w:t>无组织排放监控浓度限值</w:t>
                  </w:r>
                </w:p>
              </w:tc>
              <w:tc>
                <w:tcPr>
                  <w:tcW w:w="729" w:type="pct"/>
                  <w:vMerge w:val="restart"/>
                  <w:tcBorders>
                    <w:tl2br w:val="nil"/>
                    <w:tr2bl w:val="nil"/>
                  </w:tcBorders>
                  <w:vAlign w:val="center"/>
                </w:tcPr>
                <w:p w14:paraId="0D3E5814">
                  <w:pPr>
                    <w:keepNext/>
                    <w:snapToGrid w:val="0"/>
                    <w:jc w:val="center"/>
                    <w:rPr>
                      <w:rFonts w:hint="default" w:eastAsia="宋体"/>
                      <w:bCs/>
                      <w:color w:val="auto"/>
                      <w:sz w:val="18"/>
                      <w:szCs w:val="18"/>
                      <w:highlight w:val="none"/>
                      <w:lang w:val="en-US" w:eastAsia="zh-CN"/>
                    </w:rPr>
                  </w:pPr>
                  <w:r>
                    <w:rPr>
                      <w:rFonts w:hint="default"/>
                      <w:bCs/>
                      <w:color w:val="auto"/>
                      <w:sz w:val="18"/>
                      <w:szCs w:val="18"/>
                      <w:highlight w:val="none"/>
                      <w:lang w:val="en-US" w:eastAsia="zh-CN"/>
                    </w:rPr>
                    <w:t>执行标准</w:t>
                  </w:r>
                </w:p>
              </w:tc>
            </w:tr>
            <w:tr w14:paraId="679E343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 w:hRule="atLeast"/>
                <w:tblHeader/>
                <w:jc w:val="center"/>
              </w:trPr>
              <w:tc>
                <w:tcPr>
                  <w:tcW w:w="405" w:type="pct"/>
                  <w:vMerge w:val="continue"/>
                  <w:tcBorders>
                    <w:tl2br w:val="nil"/>
                    <w:tr2bl w:val="nil"/>
                  </w:tcBorders>
                  <w:vAlign w:val="center"/>
                </w:tcPr>
                <w:p w14:paraId="2DC948E9">
                  <w:pPr>
                    <w:keepNext/>
                    <w:snapToGrid w:val="0"/>
                    <w:jc w:val="center"/>
                    <w:rPr>
                      <w:bCs/>
                      <w:color w:val="auto"/>
                      <w:sz w:val="18"/>
                      <w:szCs w:val="18"/>
                      <w:highlight w:val="none"/>
                    </w:rPr>
                  </w:pPr>
                </w:p>
              </w:tc>
              <w:tc>
                <w:tcPr>
                  <w:tcW w:w="933" w:type="pct"/>
                  <w:tcBorders>
                    <w:tl2br w:val="nil"/>
                    <w:tr2bl w:val="nil"/>
                  </w:tcBorders>
                  <w:vAlign w:val="center"/>
                </w:tcPr>
                <w:p w14:paraId="0A66286E">
                  <w:pPr>
                    <w:keepNext/>
                    <w:snapToGrid w:val="0"/>
                    <w:jc w:val="center"/>
                    <w:rPr>
                      <w:bCs/>
                      <w:color w:val="auto"/>
                      <w:sz w:val="18"/>
                      <w:szCs w:val="18"/>
                      <w:highlight w:val="none"/>
                    </w:rPr>
                  </w:pPr>
                  <w:r>
                    <w:rPr>
                      <w:bCs/>
                      <w:color w:val="auto"/>
                      <w:sz w:val="18"/>
                      <w:szCs w:val="18"/>
                      <w:highlight w:val="none"/>
                    </w:rPr>
                    <w:t>最高允许排放浓度（mg/m³）</w:t>
                  </w:r>
                </w:p>
              </w:tc>
              <w:tc>
                <w:tcPr>
                  <w:tcW w:w="598" w:type="pct"/>
                  <w:tcBorders>
                    <w:tl2br w:val="nil"/>
                    <w:tr2bl w:val="nil"/>
                  </w:tcBorders>
                  <w:vAlign w:val="center"/>
                </w:tcPr>
                <w:p w14:paraId="59A0F38C">
                  <w:pPr>
                    <w:keepNext/>
                    <w:snapToGrid w:val="0"/>
                    <w:jc w:val="center"/>
                    <w:rPr>
                      <w:bCs/>
                      <w:color w:val="auto"/>
                      <w:sz w:val="18"/>
                      <w:szCs w:val="18"/>
                      <w:highlight w:val="none"/>
                    </w:rPr>
                  </w:pPr>
                  <w:r>
                    <w:rPr>
                      <w:bCs/>
                      <w:color w:val="auto"/>
                      <w:sz w:val="18"/>
                      <w:szCs w:val="18"/>
                      <w:highlight w:val="none"/>
                    </w:rPr>
                    <w:t>排气筒高度（m）</w:t>
                  </w:r>
                </w:p>
              </w:tc>
              <w:tc>
                <w:tcPr>
                  <w:tcW w:w="740" w:type="pct"/>
                  <w:tcBorders>
                    <w:tl2br w:val="nil"/>
                    <w:tr2bl w:val="nil"/>
                  </w:tcBorders>
                  <w:vAlign w:val="center"/>
                </w:tcPr>
                <w:p w14:paraId="3E63DC7E">
                  <w:pPr>
                    <w:keepNext/>
                    <w:snapToGrid w:val="0"/>
                    <w:jc w:val="center"/>
                    <w:rPr>
                      <w:bCs/>
                      <w:color w:val="auto"/>
                      <w:sz w:val="18"/>
                      <w:szCs w:val="18"/>
                      <w:highlight w:val="none"/>
                    </w:rPr>
                  </w:pPr>
                  <w:r>
                    <w:rPr>
                      <w:bCs/>
                      <w:color w:val="auto"/>
                      <w:sz w:val="18"/>
                      <w:szCs w:val="18"/>
                      <w:highlight w:val="none"/>
                    </w:rPr>
                    <w:t>最高允许排放速率（kg/h）</w:t>
                  </w:r>
                </w:p>
              </w:tc>
              <w:tc>
                <w:tcPr>
                  <w:tcW w:w="786" w:type="pct"/>
                  <w:tcBorders>
                    <w:tl2br w:val="nil"/>
                    <w:tr2bl w:val="nil"/>
                  </w:tcBorders>
                  <w:vAlign w:val="center"/>
                </w:tcPr>
                <w:p w14:paraId="7D78A09F">
                  <w:pPr>
                    <w:keepNext/>
                    <w:snapToGrid w:val="0"/>
                    <w:jc w:val="center"/>
                    <w:rPr>
                      <w:bCs/>
                      <w:color w:val="auto"/>
                      <w:sz w:val="18"/>
                      <w:szCs w:val="18"/>
                      <w:highlight w:val="none"/>
                    </w:rPr>
                  </w:pPr>
                  <w:r>
                    <w:rPr>
                      <w:bCs/>
                      <w:color w:val="auto"/>
                      <w:sz w:val="18"/>
                      <w:szCs w:val="18"/>
                      <w:highlight w:val="none"/>
                    </w:rPr>
                    <w:t>监控点</w:t>
                  </w:r>
                </w:p>
              </w:tc>
              <w:tc>
                <w:tcPr>
                  <w:tcW w:w="805" w:type="pct"/>
                  <w:tcBorders>
                    <w:tl2br w:val="nil"/>
                    <w:tr2bl w:val="nil"/>
                  </w:tcBorders>
                  <w:vAlign w:val="center"/>
                </w:tcPr>
                <w:p w14:paraId="71145040">
                  <w:pPr>
                    <w:keepNext/>
                    <w:snapToGrid w:val="0"/>
                    <w:jc w:val="center"/>
                    <w:rPr>
                      <w:bCs/>
                      <w:color w:val="auto"/>
                      <w:sz w:val="18"/>
                      <w:szCs w:val="18"/>
                      <w:highlight w:val="none"/>
                    </w:rPr>
                  </w:pPr>
                  <w:r>
                    <w:rPr>
                      <w:bCs/>
                      <w:color w:val="auto"/>
                      <w:sz w:val="18"/>
                      <w:szCs w:val="18"/>
                      <w:highlight w:val="none"/>
                    </w:rPr>
                    <w:t>浓度（mg/m³）</w:t>
                  </w:r>
                </w:p>
              </w:tc>
              <w:tc>
                <w:tcPr>
                  <w:tcW w:w="729" w:type="pct"/>
                  <w:vMerge w:val="continue"/>
                  <w:tcBorders>
                    <w:tl2br w:val="nil"/>
                    <w:tr2bl w:val="nil"/>
                  </w:tcBorders>
                  <w:vAlign w:val="center"/>
                </w:tcPr>
                <w:p w14:paraId="59D2584F">
                  <w:pPr>
                    <w:keepNext/>
                    <w:snapToGrid w:val="0"/>
                    <w:jc w:val="center"/>
                    <w:rPr>
                      <w:bCs/>
                      <w:color w:val="auto"/>
                      <w:sz w:val="18"/>
                      <w:szCs w:val="18"/>
                      <w:highlight w:val="none"/>
                    </w:rPr>
                  </w:pPr>
                </w:p>
              </w:tc>
            </w:tr>
            <w:tr w14:paraId="066BA7C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 w:hRule="atLeast"/>
                <w:jc w:val="center"/>
              </w:trPr>
              <w:tc>
                <w:tcPr>
                  <w:tcW w:w="405" w:type="pct"/>
                  <w:tcBorders>
                    <w:tl2br w:val="nil"/>
                    <w:tr2bl w:val="nil"/>
                  </w:tcBorders>
                  <w:vAlign w:val="center"/>
                </w:tcPr>
                <w:p w14:paraId="41690A0B">
                  <w:pPr>
                    <w:keepNext/>
                    <w:snapToGrid w:val="0"/>
                    <w:jc w:val="center"/>
                    <w:rPr>
                      <w:color w:val="auto"/>
                      <w:sz w:val="18"/>
                      <w:szCs w:val="18"/>
                      <w:highlight w:val="none"/>
                    </w:rPr>
                  </w:pPr>
                  <w:r>
                    <w:rPr>
                      <w:rFonts w:hint="default"/>
                      <w:color w:val="auto"/>
                      <w:sz w:val="18"/>
                      <w:szCs w:val="18"/>
                      <w:highlight w:val="none"/>
                    </w:rPr>
                    <w:t>颗粒物</w:t>
                  </w:r>
                </w:p>
              </w:tc>
              <w:tc>
                <w:tcPr>
                  <w:tcW w:w="933" w:type="pct"/>
                  <w:tcBorders>
                    <w:tl2br w:val="nil"/>
                    <w:tr2bl w:val="nil"/>
                  </w:tcBorders>
                  <w:vAlign w:val="center"/>
                </w:tcPr>
                <w:p w14:paraId="39EB1967">
                  <w:pPr>
                    <w:keepNext/>
                    <w:snapToGrid w:val="0"/>
                    <w:jc w:val="center"/>
                    <w:rPr>
                      <w:color w:val="auto"/>
                      <w:sz w:val="18"/>
                      <w:szCs w:val="18"/>
                      <w:highlight w:val="none"/>
                    </w:rPr>
                  </w:pPr>
                  <w:r>
                    <w:rPr>
                      <w:color w:val="auto"/>
                      <w:sz w:val="18"/>
                      <w:szCs w:val="18"/>
                      <w:highlight w:val="none"/>
                    </w:rPr>
                    <w:t>120</w:t>
                  </w:r>
                </w:p>
                <w:p w14:paraId="50F6A0FF">
                  <w:pPr>
                    <w:keepNext/>
                    <w:snapToGrid w:val="0"/>
                    <w:jc w:val="center"/>
                    <w:rPr>
                      <w:color w:val="auto"/>
                      <w:sz w:val="18"/>
                      <w:szCs w:val="18"/>
                      <w:highlight w:val="none"/>
                    </w:rPr>
                  </w:pPr>
                  <w:r>
                    <w:rPr>
                      <w:color w:val="auto"/>
                      <w:sz w:val="18"/>
                      <w:szCs w:val="18"/>
                      <w:highlight w:val="none"/>
                    </w:rPr>
                    <w:t>（其他）</w:t>
                  </w:r>
                </w:p>
              </w:tc>
              <w:tc>
                <w:tcPr>
                  <w:tcW w:w="598" w:type="pct"/>
                  <w:tcBorders>
                    <w:tl2br w:val="nil"/>
                    <w:tr2bl w:val="nil"/>
                  </w:tcBorders>
                  <w:vAlign w:val="center"/>
                </w:tcPr>
                <w:p w14:paraId="01C5180C">
                  <w:pPr>
                    <w:keepNext/>
                    <w:snapToGrid w:val="0"/>
                    <w:jc w:val="center"/>
                    <w:rPr>
                      <w:rFonts w:hint="default" w:eastAsia="宋体"/>
                      <w:color w:val="auto"/>
                      <w:sz w:val="18"/>
                      <w:szCs w:val="18"/>
                      <w:highlight w:val="none"/>
                      <w:lang w:val="en-US" w:eastAsia="zh-CN"/>
                    </w:rPr>
                  </w:pPr>
                  <w:r>
                    <w:rPr>
                      <w:rFonts w:hint="default"/>
                      <w:color w:val="auto"/>
                      <w:sz w:val="18"/>
                      <w:szCs w:val="18"/>
                      <w:highlight w:val="none"/>
                      <w:lang w:val="en-US" w:eastAsia="zh-CN"/>
                    </w:rPr>
                    <w:t>50</w:t>
                  </w:r>
                </w:p>
              </w:tc>
              <w:tc>
                <w:tcPr>
                  <w:tcW w:w="740" w:type="pct"/>
                  <w:tcBorders>
                    <w:tl2br w:val="nil"/>
                    <w:tr2bl w:val="nil"/>
                  </w:tcBorders>
                  <w:vAlign w:val="center"/>
                </w:tcPr>
                <w:p w14:paraId="20BD4825">
                  <w:pPr>
                    <w:keepNext/>
                    <w:snapToGrid w:val="0"/>
                    <w:jc w:val="center"/>
                    <w:rPr>
                      <w:rFonts w:hint="default" w:eastAsia="宋体"/>
                      <w:color w:val="auto"/>
                      <w:sz w:val="18"/>
                      <w:szCs w:val="18"/>
                      <w:highlight w:val="none"/>
                      <w:lang w:val="en-US" w:eastAsia="zh-CN"/>
                    </w:rPr>
                  </w:pPr>
                  <w:r>
                    <w:rPr>
                      <w:rFonts w:hint="default"/>
                      <w:color w:val="auto"/>
                      <w:sz w:val="18"/>
                      <w:szCs w:val="18"/>
                      <w:highlight w:val="none"/>
                      <w:lang w:val="en-US" w:eastAsia="zh-CN"/>
                    </w:rPr>
                    <w:t>60</w:t>
                  </w:r>
                </w:p>
              </w:tc>
              <w:tc>
                <w:tcPr>
                  <w:tcW w:w="786" w:type="pct"/>
                  <w:tcBorders>
                    <w:tl2br w:val="nil"/>
                    <w:tr2bl w:val="nil"/>
                  </w:tcBorders>
                  <w:vAlign w:val="center"/>
                </w:tcPr>
                <w:p w14:paraId="474D96E7">
                  <w:pPr>
                    <w:keepNext/>
                    <w:snapToGrid w:val="0"/>
                    <w:jc w:val="center"/>
                    <w:rPr>
                      <w:color w:val="auto"/>
                      <w:sz w:val="18"/>
                      <w:szCs w:val="18"/>
                      <w:highlight w:val="none"/>
                    </w:rPr>
                  </w:pPr>
                  <w:r>
                    <w:rPr>
                      <w:color w:val="auto"/>
                      <w:sz w:val="18"/>
                      <w:szCs w:val="18"/>
                      <w:highlight w:val="none"/>
                    </w:rPr>
                    <w:t>周界外浓度最高点</w:t>
                  </w:r>
                </w:p>
              </w:tc>
              <w:tc>
                <w:tcPr>
                  <w:tcW w:w="805" w:type="pct"/>
                  <w:tcBorders>
                    <w:tl2br w:val="nil"/>
                    <w:tr2bl w:val="nil"/>
                  </w:tcBorders>
                  <w:vAlign w:val="center"/>
                </w:tcPr>
                <w:p w14:paraId="01D36CEF">
                  <w:pPr>
                    <w:keepNext/>
                    <w:snapToGrid w:val="0"/>
                    <w:jc w:val="center"/>
                    <w:rPr>
                      <w:color w:val="auto"/>
                      <w:sz w:val="18"/>
                      <w:szCs w:val="18"/>
                      <w:highlight w:val="none"/>
                    </w:rPr>
                  </w:pPr>
                  <w:r>
                    <w:rPr>
                      <w:color w:val="auto"/>
                      <w:sz w:val="18"/>
                      <w:szCs w:val="18"/>
                      <w:highlight w:val="none"/>
                    </w:rPr>
                    <w:t>1.0</w:t>
                  </w:r>
                </w:p>
              </w:tc>
              <w:tc>
                <w:tcPr>
                  <w:tcW w:w="729" w:type="pct"/>
                  <w:vMerge w:val="restart"/>
                  <w:tcBorders>
                    <w:tl2br w:val="nil"/>
                    <w:tr2bl w:val="nil"/>
                  </w:tcBorders>
                  <w:vAlign w:val="center"/>
                </w:tcPr>
                <w:p w14:paraId="124EC7A6">
                  <w:pPr>
                    <w:keepNext/>
                    <w:snapToGrid w:val="0"/>
                    <w:jc w:val="center"/>
                    <w:rPr>
                      <w:color w:val="auto"/>
                      <w:sz w:val="18"/>
                      <w:szCs w:val="18"/>
                      <w:highlight w:val="none"/>
                    </w:rPr>
                  </w:pPr>
                  <w:r>
                    <w:rPr>
                      <w:rFonts w:hint="default"/>
                      <w:color w:val="auto"/>
                      <w:sz w:val="18"/>
                      <w:szCs w:val="18"/>
                      <w:highlight w:val="none"/>
                    </w:rPr>
                    <w:t>GB 16297-1996</w:t>
                  </w:r>
                </w:p>
              </w:tc>
            </w:tr>
            <w:tr w14:paraId="229DD9E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 w:hRule="atLeast"/>
                <w:jc w:val="center"/>
              </w:trPr>
              <w:tc>
                <w:tcPr>
                  <w:tcW w:w="405" w:type="pct"/>
                  <w:tcBorders>
                    <w:tl2br w:val="nil"/>
                    <w:tr2bl w:val="nil"/>
                  </w:tcBorders>
                  <w:vAlign w:val="center"/>
                </w:tcPr>
                <w:p w14:paraId="786502C6">
                  <w:pPr>
                    <w:keepNext/>
                    <w:snapToGrid w:val="0"/>
                    <w:jc w:val="center"/>
                    <w:rPr>
                      <w:color w:val="auto"/>
                      <w:sz w:val="18"/>
                      <w:szCs w:val="18"/>
                      <w:highlight w:val="none"/>
                    </w:rPr>
                  </w:pPr>
                  <w:r>
                    <w:rPr>
                      <w:rFonts w:hint="default"/>
                      <w:color w:val="auto"/>
                      <w:sz w:val="18"/>
                      <w:szCs w:val="18"/>
                      <w:highlight w:val="none"/>
                    </w:rPr>
                    <w:t>非甲烷总烃</w:t>
                  </w:r>
                </w:p>
              </w:tc>
              <w:tc>
                <w:tcPr>
                  <w:tcW w:w="933" w:type="pct"/>
                  <w:tcBorders>
                    <w:tl2br w:val="nil"/>
                    <w:tr2bl w:val="nil"/>
                  </w:tcBorders>
                  <w:vAlign w:val="center"/>
                </w:tcPr>
                <w:p w14:paraId="70AC7305">
                  <w:pPr>
                    <w:keepNext/>
                    <w:snapToGrid w:val="0"/>
                    <w:jc w:val="center"/>
                    <w:rPr>
                      <w:color w:val="auto"/>
                      <w:sz w:val="18"/>
                      <w:szCs w:val="18"/>
                      <w:highlight w:val="none"/>
                    </w:rPr>
                  </w:pPr>
                  <w:r>
                    <w:rPr>
                      <w:color w:val="auto"/>
                      <w:sz w:val="18"/>
                      <w:szCs w:val="18"/>
                      <w:highlight w:val="none"/>
                    </w:rPr>
                    <w:t>120</w:t>
                  </w:r>
                </w:p>
                <w:p w14:paraId="680072CE">
                  <w:pPr>
                    <w:keepNext/>
                    <w:snapToGrid w:val="0"/>
                    <w:jc w:val="center"/>
                    <w:rPr>
                      <w:color w:val="auto"/>
                      <w:sz w:val="18"/>
                      <w:szCs w:val="18"/>
                      <w:highlight w:val="none"/>
                    </w:rPr>
                  </w:pPr>
                  <w:r>
                    <w:rPr>
                      <w:color w:val="auto"/>
                      <w:sz w:val="18"/>
                      <w:szCs w:val="18"/>
                      <w:highlight w:val="none"/>
                    </w:rPr>
                    <w:t>（使用溶剂汽油或其他混合烃类物质）</w:t>
                  </w:r>
                </w:p>
              </w:tc>
              <w:tc>
                <w:tcPr>
                  <w:tcW w:w="598" w:type="pct"/>
                  <w:tcBorders>
                    <w:tl2br w:val="nil"/>
                    <w:tr2bl w:val="nil"/>
                  </w:tcBorders>
                  <w:vAlign w:val="center"/>
                </w:tcPr>
                <w:p w14:paraId="3D5DE950">
                  <w:pPr>
                    <w:keepNext/>
                    <w:snapToGrid w:val="0"/>
                    <w:jc w:val="center"/>
                    <w:rPr>
                      <w:rFonts w:hint="default" w:eastAsia="宋体"/>
                      <w:color w:val="auto"/>
                      <w:sz w:val="18"/>
                      <w:szCs w:val="18"/>
                      <w:highlight w:val="none"/>
                      <w:lang w:val="en-US" w:eastAsia="zh-CN"/>
                    </w:rPr>
                  </w:pPr>
                  <w:r>
                    <w:rPr>
                      <w:rFonts w:hint="default"/>
                      <w:color w:val="auto"/>
                      <w:sz w:val="18"/>
                      <w:szCs w:val="18"/>
                      <w:highlight w:val="none"/>
                      <w:lang w:val="en-US" w:eastAsia="zh-CN"/>
                    </w:rPr>
                    <w:t>50</w:t>
                  </w:r>
                </w:p>
              </w:tc>
              <w:tc>
                <w:tcPr>
                  <w:tcW w:w="740" w:type="pct"/>
                  <w:tcBorders>
                    <w:tl2br w:val="nil"/>
                    <w:tr2bl w:val="nil"/>
                  </w:tcBorders>
                  <w:vAlign w:val="center"/>
                </w:tcPr>
                <w:p w14:paraId="60D17897">
                  <w:pPr>
                    <w:keepNext/>
                    <w:snapToGrid w:val="0"/>
                    <w:jc w:val="center"/>
                    <w:rPr>
                      <w:rFonts w:hint="default" w:eastAsia="宋体"/>
                      <w:color w:val="auto"/>
                      <w:sz w:val="18"/>
                      <w:szCs w:val="18"/>
                      <w:highlight w:val="none"/>
                      <w:lang w:val="en-US" w:eastAsia="zh-CN"/>
                    </w:rPr>
                  </w:pPr>
                  <w:r>
                    <w:rPr>
                      <w:rFonts w:hint="default"/>
                      <w:color w:val="auto"/>
                      <w:sz w:val="18"/>
                      <w:szCs w:val="18"/>
                      <w:highlight w:val="none"/>
                      <w:lang w:val="en-US" w:eastAsia="zh-CN"/>
                    </w:rPr>
                    <w:t>≈156.25</w:t>
                  </w:r>
                  <w:r>
                    <w:rPr>
                      <w:rFonts w:hint="eastAsia"/>
                      <w:color w:val="auto"/>
                      <w:sz w:val="18"/>
                      <w:szCs w:val="18"/>
                      <w:highlight w:val="none"/>
                      <w:vertAlign w:val="superscript"/>
                      <w:lang w:val="en-US" w:eastAsia="zh-CN"/>
                    </w:rPr>
                    <w:t>②</w:t>
                  </w:r>
                </w:p>
              </w:tc>
              <w:tc>
                <w:tcPr>
                  <w:tcW w:w="786" w:type="pct"/>
                  <w:tcBorders>
                    <w:tl2br w:val="nil"/>
                    <w:tr2bl w:val="nil"/>
                  </w:tcBorders>
                  <w:vAlign w:val="center"/>
                </w:tcPr>
                <w:p w14:paraId="4316F7F5">
                  <w:pPr>
                    <w:keepNext/>
                    <w:snapToGrid w:val="0"/>
                    <w:jc w:val="center"/>
                    <w:rPr>
                      <w:color w:val="auto"/>
                      <w:sz w:val="18"/>
                      <w:szCs w:val="18"/>
                      <w:highlight w:val="none"/>
                    </w:rPr>
                  </w:pPr>
                  <w:r>
                    <w:rPr>
                      <w:color w:val="auto"/>
                      <w:sz w:val="18"/>
                      <w:szCs w:val="18"/>
                      <w:highlight w:val="none"/>
                    </w:rPr>
                    <w:t>周界外浓度最高点</w:t>
                  </w:r>
                </w:p>
              </w:tc>
              <w:tc>
                <w:tcPr>
                  <w:tcW w:w="805" w:type="pct"/>
                  <w:tcBorders>
                    <w:tl2br w:val="nil"/>
                    <w:tr2bl w:val="nil"/>
                  </w:tcBorders>
                  <w:vAlign w:val="center"/>
                </w:tcPr>
                <w:p w14:paraId="30FB6505">
                  <w:pPr>
                    <w:keepNext/>
                    <w:snapToGrid w:val="0"/>
                    <w:jc w:val="center"/>
                    <w:rPr>
                      <w:color w:val="auto"/>
                      <w:sz w:val="18"/>
                      <w:szCs w:val="18"/>
                      <w:highlight w:val="none"/>
                    </w:rPr>
                  </w:pPr>
                  <w:r>
                    <w:rPr>
                      <w:color w:val="auto"/>
                      <w:sz w:val="18"/>
                      <w:szCs w:val="18"/>
                      <w:highlight w:val="none"/>
                    </w:rPr>
                    <w:t>4.0</w:t>
                  </w:r>
                </w:p>
              </w:tc>
              <w:tc>
                <w:tcPr>
                  <w:tcW w:w="729" w:type="pct"/>
                  <w:vMerge w:val="continue"/>
                  <w:tcBorders>
                    <w:tl2br w:val="nil"/>
                    <w:tr2bl w:val="nil"/>
                  </w:tcBorders>
                  <w:vAlign w:val="center"/>
                </w:tcPr>
                <w:p w14:paraId="55BDC99E">
                  <w:pPr>
                    <w:keepNext/>
                    <w:snapToGrid w:val="0"/>
                    <w:jc w:val="center"/>
                    <w:rPr>
                      <w:color w:val="auto"/>
                      <w:sz w:val="18"/>
                      <w:szCs w:val="18"/>
                      <w:highlight w:val="none"/>
                    </w:rPr>
                  </w:pPr>
                </w:p>
              </w:tc>
            </w:tr>
            <w:tr w14:paraId="7017242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 w:hRule="atLeast"/>
                <w:jc w:val="center"/>
              </w:trPr>
              <w:tc>
                <w:tcPr>
                  <w:tcW w:w="405" w:type="pct"/>
                  <w:tcBorders>
                    <w:tl2br w:val="nil"/>
                    <w:tr2bl w:val="nil"/>
                  </w:tcBorders>
                  <w:vAlign w:val="center"/>
                </w:tcPr>
                <w:p w14:paraId="79AF6CBA">
                  <w:pPr>
                    <w:keepNext/>
                    <w:snapToGrid w:val="0"/>
                    <w:jc w:val="center"/>
                    <w:rPr>
                      <w:rFonts w:hint="default" w:eastAsia="宋体"/>
                      <w:color w:val="auto"/>
                      <w:sz w:val="18"/>
                      <w:szCs w:val="18"/>
                      <w:highlight w:val="none"/>
                      <w:lang w:val="en-US" w:eastAsia="zh-CN"/>
                    </w:rPr>
                  </w:pPr>
                  <w:r>
                    <w:rPr>
                      <w:rFonts w:hint="default"/>
                      <w:color w:val="auto"/>
                      <w:sz w:val="18"/>
                      <w:szCs w:val="18"/>
                      <w:highlight w:val="none"/>
                      <w:lang w:val="en-US" w:eastAsia="zh-CN"/>
                    </w:rPr>
                    <w:t>臭气浓度</w:t>
                  </w:r>
                </w:p>
              </w:tc>
              <w:tc>
                <w:tcPr>
                  <w:tcW w:w="933" w:type="pct"/>
                  <w:tcBorders>
                    <w:tl2br w:val="nil"/>
                    <w:tr2bl w:val="nil"/>
                  </w:tcBorders>
                  <w:vAlign w:val="center"/>
                </w:tcPr>
                <w:p w14:paraId="1BCBC8AC">
                  <w:pPr>
                    <w:keepNext/>
                    <w:snapToGrid w:val="0"/>
                    <w:jc w:val="center"/>
                    <w:rPr>
                      <w:rFonts w:hint="default" w:eastAsia="宋体"/>
                      <w:color w:val="auto"/>
                      <w:sz w:val="18"/>
                      <w:szCs w:val="18"/>
                      <w:highlight w:val="none"/>
                      <w:lang w:val="en-US" w:eastAsia="zh-CN"/>
                    </w:rPr>
                  </w:pPr>
                  <w:r>
                    <w:rPr>
                      <w:rFonts w:hint="default"/>
                      <w:color w:val="auto"/>
                      <w:sz w:val="18"/>
                      <w:szCs w:val="18"/>
                      <w:highlight w:val="none"/>
                      <w:lang w:val="en-US" w:eastAsia="zh-CN"/>
                    </w:rPr>
                    <w:t>/</w:t>
                  </w:r>
                </w:p>
              </w:tc>
              <w:tc>
                <w:tcPr>
                  <w:tcW w:w="598" w:type="pct"/>
                  <w:tcBorders>
                    <w:tl2br w:val="nil"/>
                    <w:tr2bl w:val="nil"/>
                  </w:tcBorders>
                  <w:vAlign w:val="center"/>
                </w:tcPr>
                <w:p w14:paraId="6D4EAE69">
                  <w:pPr>
                    <w:keepNext/>
                    <w:snapToGrid w:val="0"/>
                    <w:jc w:val="center"/>
                    <w:rPr>
                      <w:rFonts w:hint="default" w:eastAsia="宋体"/>
                      <w:color w:val="auto"/>
                      <w:sz w:val="18"/>
                      <w:szCs w:val="18"/>
                      <w:highlight w:val="none"/>
                      <w:lang w:val="en-US" w:eastAsia="zh-CN"/>
                    </w:rPr>
                  </w:pPr>
                  <w:r>
                    <w:rPr>
                      <w:rFonts w:hint="default"/>
                      <w:color w:val="auto"/>
                      <w:sz w:val="18"/>
                      <w:szCs w:val="18"/>
                      <w:highlight w:val="none"/>
                      <w:lang w:val="en-US" w:eastAsia="zh-CN"/>
                    </w:rPr>
                    <w:t>50</w:t>
                  </w:r>
                </w:p>
              </w:tc>
              <w:tc>
                <w:tcPr>
                  <w:tcW w:w="740" w:type="pct"/>
                  <w:tcBorders>
                    <w:tl2br w:val="nil"/>
                    <w:tr2bl w:val="nil"/>
                  </w:tcBorders>
                  <w:shd w:val="clear" w:color="auto" w:fill="auto"/>
                  <w:vAlign w:val="center"/>
                </w:tcPr>
                <w:p w14:paraId="319C2D3F">
                  <w:pPr>
                    <w:keepNext/>
                    <w:snapToGrid w:val="0"/>
                    <w:jc w:val="center"/>
                    <w:rPr>
                      <w:rFonts w:ascii="Times New Roman" w:hAnsi="Times New Roman" w:eastAsia="宋体" w:cs="Times New Roman"/>
                      <w:color w:val="auto"/>
                      <w:kern w:val="2"/>
                      <w:sz w:val="18"/>
                      <w:szCs w:val="18"/>
                      <w:highlight w:val="none"/>
                      <w:lang w:val="en-US" w:eastAsia="zh-CN" w:bidi="ar-SA"/>
                    </w:rPr>
                  </w:pPr>
                  <w:r>
                    <w:rPr>
                      <w:rFonts w:hint="default"/>
                      <w:color w:val="auto"/>
                      <w:sz w:val="18"/>
                      <w:szCs w:val="18"/>
                      <w:highlight w:val="none"/>
                      <w:lang w:val="en-US" w:eastAsia="zh-CN"/>
                    </w:rPr>
                    <w:t>40000</w:t>
                  </w:r>
                  <w:r>
                    <w:rPr>
                      <w:rFonts w:hint="default"/>
                      <w:color w:val="auto"/>
                      <w:sz w:val="18"/>
                      <w:szCs w:val="18"/>
                      <w:highlight w:val="none"/>
                    </w:rPr>
                    <w:t>（无量纲）</w:t>
                  </w:r>
                </w:p>
              </w:tc>
              <w:tc>
                <w:tcPr>
                  <w:tcW w:w="786" w:type="pct"/>
                  <w:tcBorders>
                    <w:tl2br w:val="nil"/>
                    <w:tr2bl w:val="nil"/>
                  </w:tcBorders>
                  <w:shd w:val="clear" w:color="auto" w:fill="auto"/>
                  <w:vAlign w:val="center"/>
                </w:tcPr>
                <w:p w14:paraId="0782DB14">
                  <w:pPr>
                    <w:keepNext/>
                    <w:snapToGrid w:val="0"/>
                    <w:jc w:val="center"/>
                    <w:rPr>
                      <w:rFonts w:hint="default" w:ascii="Times New Roman" w:hAnsi="Times New Roman" w:eastAsia="宋体" w:cs="Times New Roman"/>
                      <w:color w:val="auto"/>
                      <w:kern w:val="2"/>
                      <w:sz w:val="18"/>
                      <w:szCs w:val="18"/>
                      <w:highlight w:val="none"/>
                      <w:lang w:val="en-US" w:eastAsia="zh-CN" w:bidi="ar-SA"/>
                    </w:rPr>
                  </w:pPr>
                  <w:r>
                    <w:rPr>
                      <w:rFonts w:hint="default"/>
                      <w:color w:val="auto"/>
                      <w:sz w:val="18"/>
                      <w:szCs w:val="18"/>
                      <w:highlight w:val="none"/>
                    </w:rPr>
                    <w:t>厂界下风向侧或臭气方位边界线上</w:t>
                  </w:r>
                </w:p>
              </w:tc>
              <w:tc>
                <w:tcPr>
                  <w:tcW w:w="805" w:type="pct"/>
                  <w:tcBorders>
                    <w:tl2br w:val="nil"/>
                    <w:tr2bl w:val="nil"/>
                  </w:tcBorders>
                  <w:shd w:val="clear" w:color="auto" w:fill="auto"/>
                  <w:vAlign w:val="center"/>
                </w:tcPr>
                <w:p w14:paraId="7A28A450">
                  <w:pPr>
                    <w:keepNext/>
                    <w:snapToGrid w:val="0"/>
                    <w:jc w:val="center"/>
                    <w:rPr>
                      <w:color w:val="auto"/>
                      <w:sz w:val="18"/>
                      <w:szCs w:val="18"/>
                      <w:highlight w:val="none"/>
                    </w:rPr>
                  </w:pPr>
                  <w:r>
                    <w:rPr>
                      <w:rFonts w:hint="default"/>
                      <w:color w:val="auto"/>
                      <w:sz w:val="18"/>
                      <w:szCs w:val="18"/>
                      <w:highlight w:val="none"/>
                    </w:rPr>
                    <w:t>20</w:t>
                  </w:r>
                </w:p>
                <w:p w14:paraId="08B223B3">
                  <w:pPr>
                    <w:keepNext/>
                    <w:snapToGrid w:val="0"/>
                    <w:jc w:val="center"/>
                    <w:rPr>
                      <w:rFonts w:ascii="Times New Roman" w:hAnsi="Times New Roman" w:eastAsia="宋体" w:cs="Times New Roman"/>
                      <w:color w:val="auto"/>
                      <w:kern w:val="2"/>
                      <w:sz w:val="18"/>
                      <w:szCs w:val="18"/>
                      <w:highlight w:val="none"/>
                      <w:lang w:val="en-US" w:eastAsia="zh-CN" w:bidi="ar-SA"/>
                    </w:rPr>
                  </w:pPr>
                  <w:r>
                    <w:rPr>
                      <w:rFonts w:hint="default"/>
                      <w:color w:val="auto"/>
                      <w:sz w:val="18"/>
                      <w:szCs w:val="18"/>
                      <w:highlight w:val="none"/>
                    </w:rPr>
                    <w:t>（无量纲）</w:t>
                  </w:r>
                </w:p>
              </w:tc>
              <w:tc>
                <w:tcPr>
                  <w:tcW w:w="729" w:type="pct"/>
                  <w:tcBorders>
                    <w:tl2br w:val="nil"/>
                    <w:tr2bl w:val="nil"/>
                  </w:tcBorders>
                  <w:vAlign w:val="center"/>
                </w:tcPr>
                <w:p w14:paraId="349CB358">
                  <w:pPr>
                    <w:keepNext/>
                    <w:snapToGrid w:val="0"/>
                    <w:jc w:val="center"/>
                    <w:rPr>
                      <w:color w:val="auto"/>
                      <w:sz w:val="18"/>
                      <w:szCs w:val="18"/>
                      <w:highlight w:val="none"/>
                    </w:rPr>
                  </w:pPr>
                  <w:r>
                    <w:rPr>
                      <w:rFonts w:hint="default"/>
                      <w:color w:val="auto"/>
                      <w:sz w:val="18"/>
                      <w:szCs w:val="18"/>
                      <w:highlight w:val="none"/>
                    </w:rPr>
                    <w:t>GB 14554-93</w:t>
                  </w:r>
                </w:p>
              </w:tc>
            </w:tr>
          </w:tbl>
          <w:p w14:paraId="6D901B19">
            <w:pPr>
              <w:adjustRightInd w:val="0"/>
              <w:snapToGrid w:val="0"/>
              <w:rPr>
                <w:rFonts w:hint="default"/>
                <w:color w:val="auto"/>
                <w:sz w:val="18"/>
                <w:highlight w:val="none"/>
                <w:lang w:val="en-US" w:eastAsia="zh-CN"/>
              </w:rPr>
            </w:pPr>
            <w:r>
              <w:rPr>
                <w:rFonts w:hint="default"/>
                <w:b/>
                <w:bCs/>
                <w:color w:val="auto"/>
                <w:sz w:val="18"/>
                <w:szCs w:val="21"/>
                <w:highlight w:val="none"/>
                <w:lang w:bidi="ar"/>
              </w:rPr>
              <w:t>注：</w:t>
            </w:r>
            <w:r>
              <w:rPr>
                <w:rFonts w:hint="default"/>
                <w:color w:val="auto"/>
                <w:sz w:val="18"/>
                <w:szCs w:val="21"/>
                <w:highlight w:val="none"/>
                <w:lang w:bidi="ar"/>
              </w:rPr>
              <w:t>①</w:t>
            </w:r>
            <w:r>
              <w:rPr>
                <w:rFonts w:hint="eastAsia"/>
                <w:b/>
                <w:bCs/>
                <w:color w:val="auto"/>
                <w:sz w:val="18"/>
                <w:szCs w:val="21"/>
                <w:highlight w:val="none"/>
                <w:lang w:eastAsia="zh-CN" w:bidi="ar"/>
              </w:rPr>
              <w:t>、</w:t>
            </w:r>
            <w:r>
              <w:rPr>
                <w:rFonts w:hint="default"/>
                <w:color w:val="auto"/>
                <w:sz w:val="18"/>
                <w:highlight w:val="none"/>
                <w:lang w:val="en-US" w:eastAsia="zh-CN"/>
              </w:rPr>
              <w:t>②项目排气筒高度为50 m，《大气污染物综合排放标准》（GB 16297-1996）中表2对应污染物表列排气筒最高高度为40 m，按照附录B外推法计算最高允许排放速率。</w:t>
            </w:r>
          </w:p>
          <w:p w14:paraId="5FCB5F08">
            <w:pPr>
              <w:adjustRightInd w:val="0"/>
              <w:snapToGrid w:val="0"/>
              <w:rPr>
                <w:rFonts w:hint="default"/>
                <w:color w:val="auto"/>
                <w:sz w:val="18"/>
                <w:highlight w:val="none"/>
                <w:lang w:val="en-US" w:eastAsia="zh-CN"/>
              </w:rPr>
            </w:pPr>
          </w:p>
          <w:p w14:paraId="1EF4AA3C">
            <w:pPr>
              <w:spacing w:line="360" w:lineRule="auto"/>
              <w:rPr>
                <w:b/>
                <w:bCs/>
                <w:color w:val="auto"/>
                <w:sz w:val="22"/>
                <w:szCs w:val="22"/>
                <w:highlight w:val="none"/>
              </w:rPr>
            </w:pPr>
            <w:r>
              <w:rPr>
                <w:rFonts w:hint="default"/>
                <w:b/>
                <w:bCs/>
                <w:color w:val="auto"/>
                <w:sz w:val="22"/>
                <w:szCs w:val="22"/>
                <w:highlight w:val="none"/>
              </w:rPr>
              <w:t>3.3.2 废水</w:t>
            </w:r>
          </w:p>
          <w:p w14:paraId="6710A28B">
            <w:pPr>
              <w:spacing w:line="360" w:lineRule="auto"/>
              <w:ind w:firstLine="420" w:firstLineChars="200"/>
              <w:rPr>
                <w:color w:val="auto"/>
                <w:szCs w:val="21"/>
                <w:highlight w:val="none"/>
              </w:rPr>
            </w:pPr>
            <w:r>
              <w:rPr>
                <w:color w:val="auto"/>
                <w:szCs w:val="21"/>
                <w:highlight w:val="none"/>
              </w:rPr>
              <w:t>本项目</w:t>
            </w:r>
            <w:r>
              <w:rPr>
                <w:rFonts w:hint="default"/>
                <w:color w:val="auto"/>
                <w:szCs w:val="21"/>
                <w:highlight w:val="none"/>
              </w:rPr>
              <w:t>生产废水包括清洗废水和纯水制备废水，经预处理后纳管；</w:t>
            </w:r>
            <w:r>
              <w:rPr>
                <w:color w:val="auto"/>
                <w:szCs w:val="21"/>
                <w:highlight w:val="none"/>
              </w:rPr>
              <w:t>生活污水经化粪池预处理后纳管排入良渚污水处理厂，处理达标后排入良渚港。其中，纳管废水的pH、SS、BOD</w:t>
            </w:r>
            <w:r>
              <w:rPr>
                <w:color w:val="auto"/>
                <w:szCs w:val="21"/>
                <w:highlight w:val="none"/>
                <w:vertAlign w:val="subscript"/>
              </w:rPr>
              <w:t>5</w:t>
            </w:r>
            <w:r>
              <w:rPr>
                <w:color w:val="auto"/>
                <w:szCs w:val="21"/>
                <w:highlight w:val="none"/>
              </w:rPr>
              <w:t>、COD</w:t>
            </w:r>
            <w:r>
              <w:rPr>
                <w:color w:val="auto"/>
                <w:szCs w:val="21"/>
                <w:highlight w:val="none"/>
                <w:vertAlign w:val="subscript"/>
              </w:rPr>
              <w:t>Cr</w:t>
            </w:r>
            <w:r>
              <w:rPr>
                <w:color w:val="auto"/>
                <w:szCs w:val="21"/>
                <w:highlight w:val="none"/>
              </w:rPr>
              <w:t>等污染物需要满足《污水综合排放标准》（GB 8978-1996）中表4的三级标准排放浓度限值，氨氮、总磷</w:t>
            </w:r>
            <w:r>
              <w:rPr>
                <w:rFonts w:hint="eastAsia"/>
                <w:color w:val="auto"/>
                <w:szCs w:val="21"/>
                <w:highlight w:val="none"/>
                <w:lang w:eastAsia="zh-CN"/>
              </w:rPr>
              <w:t>、</w:t>
            </w:r>
            <w:r>
              <w:rPr>
                <w:rFonts w:hint="eastAsia"/>
                <w:color w:val="auto"/>
                <w:szCs w:val="21"/>
                <w:highlight w:val="none"/>
                <w:lang w:val="en-US" w:eastAsia="zh-CN"/>
              </w:rPr>
              <w:t>总氮</w:t>
            </w:r>
            <w:r>
              <w:rPr>
                <w:color w:val="auto"/>
                <w:szCs w:val="21"/>
                <w:highlight w:val="none"/>
              </w:rPr>
              <w:t>等污染物需要满足《工业企业废水氮、磷污染物间接排放</w:t>
            </w:r>
            <w:r>
              <w:rPr>
                <w:rFonts w:hint="eastAsia"/>
                <w:color w:val="auto"/>
                <w:szCs w:val="21"/>
                <w:highlight w:val="none"/>
                <w:lang w:val="en-US" w:eastAsia="zh-CN"/>
              </w:rPr>
              <w:t>标准</w:t>
            </w:r>
            <w:r>
              <w:rPr>
                <w:color w:val="auto"/>
                <w:szCs w:val="21"/>
                <w:highlight w:val="none"/>
              </w:rPr>
              <w:t>》（DB 33/ 887-20</w:t>
            </w:r>
            <w:r>
              <w:rPr>
                <w:rFonts w:hint="eastAsia"/>
                <w:color w:val="auto"/>
                <w:szCs w:val="21"/>
                <w:highlight w:val="none"/>
                <w:lang w:val="en-US" w:eastAsia="zh-CN"/>
              </w:rPr>
              <w:t>25</w:t>
            </w:r>
            <w:r>
              <w:rPr>
                <w:color w:val="auto"/>
                <w:szCs w:val="21"/>
                <w:highlight w:val="none"/>
              </w:rPr>
              <w:t>）中表1的间接排放限值。</w:t>
            </w:r>
          </w:p>
          <w:p w14:paraId="47CB8CFE">
            <w:pPr>
              <w:spacing w:line="360" w:lineRule="auto"/>
              <w:ind w:firstLine="420" w:firstLineChars="200"/>
              <w:rPr>
                <w:color w:val="auto"/>
                <w:szCs w:val="21"/>
                <w:highlight w:val="none"/>
              </w:rPr>
            </w:pPr>
            <w:r>
              <w:rPr>
                <w:color w:val="auto"/>
                <w:szCs w:val="21"/>
                <w:highlight w:val="none"/>
              </w:rPr>
              <w:t>良渚污水处理厂出水中，pH、SS、BOD</w:t>
            </w:r>
            <w:r>
              <w:rPr>
                <w:color w:val="auto"/>
                <w:szCs w:val="21"/>
                <w:highlight w:val="none"/>
                <w:vertAlign w:val="subscript"/>
              </w:rPr>
              <w:t>5</w:t>
            </w:r>
            <w:r>
              <w:rPr>
                <w:color w:val="auto"/>
                <w:szCs w:val="21"/>
                <w:highlight w:val="none"/>
              </w:rPr>
              <w:t>等污染物执行《城镇污水处理厂污染物排放标准》（GB 18918-2002）中表1的一级A标准排放浓度限值，COD</w:t>
            </w:r>
            <w:r>
              <w:rPr>
                <w:color w:val="auto"/>
                <w:szCs w:val="21"/>
                <w:highlight w:val="none"/>
                <w:vertAlign w:val="subscript"/>
              </w:rPr>
              <w:t>Cr</w:t>
            </w:r>
            <w:r>
              <w:rPr>
                <w:color w:val="auto"/>
                <w:szCs w:val="21"/>
                <w:highlight w:val="none"/>
              </w:rPr>
              <w:t>、氨氮、总磷、总氮等污染物执行《城镇污水处理厂主要水污染物排放标准》（DB 33/ 2169-2018）中表1的排放限值。具体标准值见</w:t>
            </w:r>
            <w:r>
              <w:rPr>
                <w:rFonts w:hint="default"/>
                <w:color w:val="auto"/>
                <w:szCs w:val="21"/>
                <w:highlight w:val="none"/>
                <w:lang w:val="en-US" w:eastAsia="zh-CN"/>
              </w:rPr>
              <w:t>表3-</w:t>
            </w:r>
            <w:r>
              <w:rPr>
                <w:rFonts w:hint="eastAsia" w:cs="Times New Roman"/>
                <w:color w:val="auto"/>
                <w:szCs w:val="21"/>
                <w:highlight w:val="none"/>
                <w:lang w:val="en-US" w:eastAsia="zh-CN"/>
              </w:rPr>
              <w:t>8</w:t>
            </w:r>
            <w:r>
              <w:rPr>
                <w:rFonts w:hint="default"/>
                <w:color w:val="auto"/>
                <w:szCs w:val="21"/>
                <w:highlight w:val="none"/>
                <w:lang w:val="en-US" w:eastAsia="zh-CN"/>
              </w:rPr>
              <w:t>。</w:t>
            </w:r>
          </w:p>
          <w:p w14:paraId="1C6A6421">
            <w:pPr>
              <w:pStyle w:val="14"/>
              <w:widowControl/>
              <w:numPr>
                <w:ilvl w:val="0"/>
                <w:numId w:val="4"/>
              </w:numPr>
              <w:tabs>
                <w:tab w:val="left" w:pos="4515"/>
                <w:tab w:val="left" w:pos="5883"/>
                <w:tab w:val="left" w:pos="8718"/>
              </w:tabs>
              <w:adjustRightInd w:val="0"/>
              <w:snapToGrid w:val="0"/>
              <w:spacing w:line="360" w:lineRule="auto"/>
              <w:jc w:val="center"/>
              <w:rPr>
                <w:rFonts w:hint="default" w:ascii="Times New Roman" w:hAnsi="Times New Roman" w:eastAsia="黑体" w:cs="Times New Roman"/>
                <w:b w:val="0"/>
                <w:bCs/>
                <w:color w:val="auto"/>
                <w:highlight w:val="none"/>
              </w:rPr>
            </w:pPr>
            <w:r>
              <w:rPr>
                <w:rFonts w:hint="default" w:ascii="Times New Roman" w:hAnsi="Times New Roman" w:eastAsia="黑体" w:cs="Times New Roman"/>
                <w:b w:val="0"/>
                <w:bCs/>
                <w:color w:val="auto"/>
                <w:highlight w:val="none"/>
              </w:rPr>
              <w:t>本项目废水排放标准</w:t>
            </w:r>
          </w:p>
          <w:tbl>
            <w:tblPr>
              <w:tblStyle w:val="25"/>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796"/>
              <w:gridCol w:w="396"/>
              <w:gridCol w:w="884"/>
              <w:gridCol w:w="2544"/>
              <w:gridCol w:w="542"/>
              <w:gridCol w:w="965"/>
              <w:gridCol w:w="2027"/>
            </w:tblGrid>
            <w:tr w14:paraId="58F7B92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blHeader/>
                <w:jc w:val="center"/>
              </w:trPr>
              <w:tc>
                <w:tcPr>
                  <w:tcW w:w="488" w:type="pct"/>
                  <w:tcBorders>
                    <w:tl2br w:val="nil"/>
                    <w:tr2bl w:val="nil"/>
                  </w:tcBorders>
                  <w:vAlign w:val="center"/>
                </w:tcPr>
                <w:p w14:paraId="36AF45D3">
                  <w:pPr>
                    <w:snapToGrid w:val="0"/>
                    <w:jc w:val="center"/>
                    <w:rPr>
                      <w:b w:val="0"/>
                      <w:bCs/>
                      <w:color w:val="auto"/>
                      <w:sz w:val="18"/>
                      <w:szCs w:val="18"/>
                      <w:highlight w:val="none"/>
                    </w:rPr>
                  </w:pPr>
                  <w:r>
                    <w:rPr>
                      <w:b w:val="0"/>
                      <w:bCs/>
                      <w:color w:val="auto"/>
                      <w:sz w:val="18"/>
                      <w:szCs w:val="18"/>
                      <w:highlight w:val="none"/>
                    </w:rPr>
                    <w:t>污染物</w:t>
                  </w:r>
                </w:p>
              </w:tc>
              <w:tc>
                <w:tcPr>
                  <w:tcW w:w="242" w:type="pct"/>
                  <w:tcBorders>
                    <w:tl2br w:val="nil"/>
                    <w:tr2bl w:val="nil"/>
                  </w:tcBorders>
                  <w:vAlign w:val="center"/>
                </w:tcPr>
                <w:p w14:paraId="08667042">
                  <w:pPr>
                    <w:snapToGrid w:val="0"/>
                    <w:jc w:val="center"/>
                    <w:rPr>
                      <w:b w:val="0"/>
                      <w:bCs/>
                      <w:color w:val="auto"/>
                      <w:sz w:val="18"/>
                      <w:szCs w:val="18"/>
                      <w:highlight w:val="none"/>
                    </w:rPr>
                  </w:pPr>
                  <w:r>
                    <w:rPr>
                      <w:b w:val="0"/>
                      <w:bCs/>
                      <w:color w:val="auto"/>
                      <w:sz w:val="18"/>
                      <w:szCs w:val="18"/>
                      <w:highlight w:val="none"/>
                    </w:rPr>
                    <w:t>去向</w:t>
                  </w:r>
                </w:p>
              </w:tc>
              <w:tc>
                <w:tcPr>
                  <w:tcW w:w="542" w:type="pct"/>
                  <w:tcBorders>
                    <w:tl2br w:val="nil"/>
                    <w:tr2bl w:val="nil"/>
                  </w:tcBorders>
                  <w:vAlign w:val="center"/>
                </w:tcPr>
                <w:p w14:paraId="28AB54C6">
                  <w:pPr>
                    <w:snapToGrid w:val="0"/>
                    <w:jc w:val="center"/>
                    <w:rPr>
                      <w:rFonts w:eastAsiaTheme="minorEastAsia"/>
                      <w:b w:val="0"/>
                      <w:bCs/>
                      <w:color w:val="auto"/>
                      <w:sz w:val="18"/>
                      <w:szCs w:val="18"/>
                      <w:highlight w:val="none"/>
                    </w:rPr>
                  </w:pPr>
                  <w:r>
                    <w:rPr>
                      <w:b w:val="0"/>
                      <w:bCs/>
                      <w:color w:val="auto"/>
                      <w:sz w:val="18"/>
                      <w:szCs w:val="18"/>
                      <w:highlight w:val="none"/>
                    </w:rPr>
                    <w:t>浓度限值mg/L</w:t>
                  </w:r>
                </w:p>
              </w:tc>
              <w:tc>
                <w:tcPr>
                  <w:tcW w:w="1559" w:type="pct"/>
                  <w:tcBorders>
                    <w:tl2br w:val="nil"/>
                    <w:tr2bl w:val="nil"/>
                  </w:tcBorders>
                  <w:vAlign w:val="center"/>
                </w:tcPr>
                <w:p w14:paraId="7CAF083A">
                  <w:pPr>
                    <w:snapToGrid w:val="0"/>
                    <w:jc w:val="center"/>
                    <w:rPr>
                      <w:b w:val="0"/>
                      <w:bCs/>
                      <w:color w:val="auto"/>
                      <w:sz w:val="18"/>
                      <w:szCs w:val="18"/>
                      <w:highlight w:val="none"/>
                    </w:rPr>
                  </w:pPr>
                  <w:r>
                    <w:rPr>
                      <w:b w:val="0"/>
                      <w:bCs/>
                      <w:color w:val="auto"/>
                      <w:sz w:val="18"/>
                      <w:szCs w:val="18"/>
                      <w:highlight w:val="none"/>
                    </w:rPr>
                    <w:t>执行标准</w:t>
                  </w:r>
                </w:p>
              </w:tc>
              <w:tc>
                <w:tcPr>
                  <w:tcW w:w="332" w:type="pct"/>
                  <w:tcBorders>
                    <w:tl2br w:val="nil"/>
                    <w:tr2bl w:val="nil"/>
                  </w:tcBorders>
                  <w:vAlign w:val="center"/>
                </w:tcPr>
                <w:p w14:paraId="655E27AC">
                  <w:pPr>
                    <w:snapToGrid w:val="0"/>
                    <w:jc w:val="center"/>
                    <w:rPr>
                      <w:b w:val="0"/>
                      <w:bCs/>
                      <w:color w:val="auto"/>
                      <w:sz w:val="18"/>
                      <w:szCs w:val="18"/>
                      <w:highlight w:val="none"/>
                    </w:rPr>
                  </w:pPr>
                  <w:r>
                    <w:rPr>
                      <w:b w:val="0"/>
                      <w:bCs/>
                      <w:color w:val="auto"/>
                      <w:sz w:val="18"/>
                      <w:szCs w:val="18"/>
                      <w:highlight w:val="none"/>
                    </w:rPr>
                    <w:t>去向</w:t>
                  </w:r>
                </w:p>
              </w:tc>
              <w:tc>
                <w:tcPr>
                  <w:tcW w:w="591" w:type="pct"/>
                  <w:tcBorders>
                    <w:tl2br w:val="nil"/>
                    <w:tr2bl w:val="nil"/>
                  </w:tcBorders>
                  <w:vAlign w:val="center"/>
                </w:tcPr>
                <w:p w14:paraId="2919962B">
                  <w:pPr>
                    <w:snapToGrid w:val="0"/>
                    <w:jc w:val="center"/>
                    <w:rPr>
                      <w:b w:val="0"/>
                      <w:bCs/>
                      <w:color w:val="auto"/>
                      <w:sz w:val="18"/>
                      <w:szCs w:val="18"/>
                      <w:highlight w:val="none"/>
                    </w:rPr>
                  </w:pPr>
                  <w:r>
                    <w:rPr>
                      <w:b w:val="0"/>
                      <w:bCs/>
                      <w:color w:val="auto"/>
                      <w:sz w:val="18"/>
                      <w:szCs w:val="18"/>
                      <w:highlight w:val="none"/>
                    </w:rPr>
                    <w:t>浓度限值</w:t>
                  </w:r>
                </w:p>
                <w:p w14:paraId="60BAF6C8">
                  <w:pPr>
                    <w:snapToGrid w:val="0"/>
                    <w:jc w:val="center"/>
                    <w:rPr>
                      <w:rFonts w:eastAsiaTheme="minorEastAsia"/>
                      <w:b w:val="0"/>
                      <w:bCs/>
                      <w:color w:val="auto"/>
                      <w:sz w:val="18"/>
                      <w:szCs w:val="18"/>
                      <w:highlight w:val="none"/>
                    </w:rPr>
                  </w:pPr>
                  <w:r>
                    <w:rPr>
                      <w:b w:val="0"/>
                      <w:bCs/>
                      <w:color w:val="auto"/>
                      <w:sz w:val="18"/>
                      <w:szCs w:val="18"/>
                      <w:highlight w:val="none"/>
                    </w:rPr>
                    <w:t>mg/L</w:t>
                  </w:r>
                </w:p>
              </w:tc>
              <w:tc>
                <w:tcPr>
                  <w:tcW w:w="1242" w:type="pct"/>
                  <w:tcBorders>
                    <w:tl2br w:val="nil"/>
                    <w:tr2bl w:val="nil"/>
                  </w:tcBorders>
                  <w:vAlign w:val="center"/>
                </w:tcPr>
                <w:p w14:paraId="1FCF747E">
                  <w:pPr>
                    <w:snapToGrid w:val="0"/>
                    <w:jc w:val="center"/>
                    <w:rPr>
                      <w:b w:val="0"/>
                      <w:bCs/>
                      <w:color w:val="auto"/>
                      <w:sz w:val="18"/>
                      <w:szCs w:val="18"/>
                      <w:highlight w:val="none"/>
                    </w:rPr>
                  </w:pPr>
                  <w:r>
                    <w:rPr>
                      <w:b w:val="0"/>
                      <w:bCs/>
                      <w:color w:val="auto"/>
                      <w:sz w:val="18"/>
                      <w:szCs w:val="18"/>
                      <w:highlight w:val="none"/>
                    </w:rPr>
                    <w:t>执行标准</w:t>
                  </w:r>
                </w:p>
              </w:tc>
            </w:tr>
            <w:tr w14:paraId="665E658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blHeader/>
                <w:jc w:val="center"/>
              </w:trPr>
              <w:tc>
                <w:tcPr>
                  <w:tcW w:w="488" w:type="pct"/>
                  <w:tcBorders>
                    <w:tl2br w:val="nil"/>
                    <w:tr2bl w:val="nil"/>
                  </w:tcBorders>
                  <w:vAlign w:val="center"/>
                </w:tcPr>
                <w:p w14:paraId="35C76FC6">
                  <w:pPr>
                    <w:snapToGrid w:val="0"/>
                    <w:jc w:val="center"/>
                    <w:rPr>
                      <w:b w:val="0"/>
                      <w:bCs/>
                      <w:color w:val="auto"/>
                      <w:sz w:val="18"/>
                      <w:szCs w:val="18"/>
                      <w:highlight w:val="none"/>
                    </w:rPr>
                  </w:pPr>
                  <w:r>
                    <w:rPr>
                      <w:b w:val="0"/>
                      <w:bCs/>
                      <w:color w:val="auto"/>
                      <w:sz w:val="18"/>
                      <w:szCs w:val="18"/>
                      <w:highlight w:val="none"/>
                    </w:rPr>
                    <w:t>pH</w:t>
                  </w:r>
                </w:p>
              </w:tc>
              <w:tc>
                <w:tcPr>
                  <w:tcW w:w="242" w:type="pct"/>
                  <w:vMerge w:val="restart"/>
                  <w:tcBorders>
                    <w:tl2br w:val="nil"/>
                    <w:tr2bl w:val="nil"/>
                  </w:tcBorders>
                  <w:vAlign w:val="center"/>
                </w:tcPr>
                <w:p w14:paraId="0126906E">
                  <w:pPr>
                    <w:snapToGrid w:val="0"/>
                    <w:jc w:val="center"/>
                    <w:rPr>
                      <w:b w:val="0"/>
                      <w:bCs/>
                      <w:color w:val="auto"/>
                      <w:sz w:val="18"/>
                      <w:szCs w:val="18"/>
                      <w:highlight w:val="none"/>
                    </w:rPr>
                  </w:pPr>
                  <w:r>
                    <w:rPr>
                      <w:b w:val="0"/>
                      <w:bCs/>
                      <w:color w:val="auto"/>
                      <w:sz w:val="18"/>
                      <w:szCs w:val="18"/>
                      <w:highlight w:val="none"/>
                    </w:rPr>
                    <w:t>纳管</w:t>
                  </w:r>
                </w:p>
              </w:tc>
              <w:tc>
                <w:tcPr>
                  <w:tcW w:w="542" w:type="pct"/>
                  <w:tcBorders>
                    <w:tl2br w:val="nil"/>
                    <w:tr2bl w:val="nil"/>
                  </w:tcBorders>
                  <w:vAlign w:val="center"/>
                </w:tcPr>
                <w:p w14:paraId="21163651">
                  <w:pPr>
                    <w:snapToGrid w:val="0"/>
                    <w:jc w:val="center"/>
                    <w:rPr>
                      <w:b w:val="0"/>
                      <w:bCs/>
                      <w:color w:val="auto"/>
                      <w:sz w:val="18"/>
                      <w:szCs w:val="18"/>
                      <w:highlight w:val="none"/>
                    </w:rPr>
                  </w:pPr>
                  <w:r>
                    <w:rPr>
                      <w:b w:val="0"/>
                      <w:bCs/>
                      <w:color w:val="auto"/>
                      <w:sz w:val="18"/>
                      <w:szCs w:val="18"/>
                      <w:highlight w:val="none"/>
                    </w:rPr>
                    <w:t>6~9</w:t>
                  </w:r>
                </w:p>
              </w:tc>
              <w:tc>
                <w:tcPr>
                  <w:tcW w:w="1559" w:type="pct"/>
                  <w:vMerge w:val="restart"/>
                  <w:tcBorders>
                    <w:tl2br w:val="nil"/>
                    <w:tr2bl w:val="nil"/>
                  </w:tcBorders>
                  <w:vAlign w:val="center"/>
                </w:tcPr>
                <w:p w14:paraId="3D972A12">
                  <w:pPr>
                    <w:snapToGrid w:val="0"/>
                    <w:jc w:val="center"/>
                    <w:rPr>
                      <w:b w:val="0"/>
                      <w:bCs/>
                      <w:color w:val="auto"/>
                      <w:sz w:val="18"/>
                      <w:szCs w:val="18"/>
                      <w:highlight w:val="none"/>
                    </w:rPr>
                  </w:pPr>
                  <w:r>
                    <w:rPr>
                      <w:b w:val="0"/>
                      <w:bCs/>
                      <w:color w:val="auto"/>
                      <w:sz w:val="18"/>
                      <w:szCs w:val="18"/>
                      <w:highlight w:val="none"/>
                    </w:rPr>
                    <w:t>GB 8978-1996</w:t>
                  </w:r>
                </w:p>
              </w:tc>
              <w:tc>
                <w:tcPr>
                  <w:tcW w:w="332" w:type="pct"/>
                  <w:vMerge w:val="restart"/>
                  <w:tcBorders>
                    <w:tl2br w:val="nil"/>
                    <w:tr2bl w:val="nil"/>
                  </w:tcBorders>
                  <w:vAlign w:val="center"/>
                </w:tcPr>
                <w:p w14:paraId="39F000F0">
                  <w:pPr>
                    <w:snapToGrid w:val="0"/>
                    <w:jc w:val="center"/>
                    <w:rPr>
                      <w:rFonts w:hint="eastAsia" w:eastAsia="宋体"/>
                      <w:b w:val="0"/>
                      <w:bCs/>
                      <w:color w:val="auto"/>
                      <w:sz w:val="18"/>
                      <w:szCs w:val="18"/>
                      <w:highlight w:val="none"/>
                      <w:lang w:val="en-US" w:eastAsia="zh-CN"/>
                    </w:rPr>
                  </w:pPr>
                  <w:r>
                    <w:rPr>
                      <w:b w:val="0"/>
                      <w:bCs/>
                      <w:color w:val="auto"/>
                      <w:sz w:val="18"/>
                      <w:szCs w:val="18"/>
                      <w:highlight w:val="none"/>
                    </w:rPr>
                    <w:t>排放</w:t>
                  </w:r>
                  <w:r>
                    <w:rPr>
                      <w:rFonts w:hint="eastAsia"/>
                      <w:b w:val="0"/>
                      <w:bCs/>
                      <w:color w:val="auto"/>
                      <w:sz w:val="18"/>
                      <w:szCs w:val="18"/>
                      <w:highlight w:val="none"/>
                      <w:lang w:val="en-US" w:eastAsia="zh-CN"/>
                    </w:rPr>
                    <w:t>环境</w:t>
                  </w:r>
                </w:p>
              </w:tc>
              <w:tc>
                <w:tcPr>
                  <w:tcW w:w="591" w:type="pct"/>
                  <w:tcBorders>
                    <w:tl2br w:val="nil"/>
                    <w:tr2bl w:val="nil"/>
                  </w:tcBorders>
                  <w:vAlign w:val="center"/>
                </w:tcPr>
                <w:p w14:paraId="22AC3418">
                  <w:pPr>
                    <w:snapToGrid w:val="0"/>
                    <w:jc w:val="center"/>
                    <w:rPr>
                      <w:b w:val="0"/>
                      <w:bCs/>
                      <w:color w:val="auto"/>
                      <w:sz w:val="18"/>
                      <w:szCs w:val="18"/>
                      <w:highlight w:val="none"/>
                    </w:rPr>
                  </w:pPr>
                  <w:r>
                    <w:rPr>
                      <w:b w:val="0"/>
                      <w:bCs/>
                      <w:color w:val="auto"/>
                      <w:sz w:val="18"/>
                      <w:szCs w:val="18"/>
                      <w:highlight w:val="none"/>
                    </w:rPr>
                    <w:t>6~9</w:t>
                  </w:r>
                </w:p>
              </w:tc>
              <w:tc>
                <w:tcPr>
                  <w:tcW w:w="1242" w:type="pct"/>
                  <w:vMerge w:val="restart"/>
                  <w:tcBorders>
                    <w:tl2br w:val="nil"/>
                    <w:tr2bl w:val="nil"/>
                  </w:tcBorders>
                  <w:vAlign w:val="center"/>
                </w:tcPr>
                <w:p w14:paraId="1C363903">
                  <w:pPr>
                    <w:snapToGrid w:val="0"/>
                    <w:jc w:val="center"/>
                    <w:rPr>
                      <w:b w:val="0"/>
                      <w:bCs/>
                      <w:color w:val="auto"/>
                      <w:sz w:val="18"/>
                      <w:szCs w:val="18"/>
                      <w:highlight w:val="none"/>
                    </w:rPr>
                  </w:pPr>
                  <w:r>
                    <w:rPr>
                      <w:b w:val="0"/>
                      <w:bCs/>
                      <w:color w:val="auto"/>
                      <w:sz w:val="18"/>
                      <w:szCs w:val="18"/>
                      <w:highlight w:val="none"/>
                    </w:rPr>
                    <w:t>GB 18918-2002</w:t>
                  </w:r>
                </w:p>
              </w:tc>
            </w:tr>
            <w:tr w14:paraId="2E13C20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blHeader/>
                <w:jc w:val="center"/>
              </w:trPr>
              <w:tc>
                <w:tcPr>
                  <w:tcW w:w="488" w:type="pct"/>
                  <w:tcBorders>
                    <w:tl2br w:val="nil"/>
                    <w:tr2bl w:val="nil"/>
                  </w:tcBorders>
                  <w:vAlign w:val="center"/>
                </w:tcPr>
                <w:p w14:paraId="691D66FE">
                  <w:pPr>
                    <w:snapToGrid w:val="0"/>
                    <w:jc w:val="center"/>
                    <w:rPr>
                      <w:b w:val="0"/>
                      <w:bCs/>
                      <w:color w:val="auto"/>
                      <w:sz w:val="18"/>
                      <w:szCs w:val="18"/>
                      <w:highlight w:val="none"/>
                    </w:rPr>
                  </w:pPr>
                  <w:r>
                    <w:rPr>
                      <w:b w:val="0"/>
                      <w:bCs/>
                      <w:color w:val="auto"/>
                      <w:sz w:val="18"/>
                      <w:szCs w:val="18"/>
                      <w:highlight w:val="none"/>
                    </w:rPr>
                    <w:t>SS</w:t>
                  </w:r>
                </w:p>
              </w:tc>
              <w:tc>
                <w:tcPr>
                  <w:tcW w:w="242" w:type="pct"/>
                  <w:vMerge w:val="continue"/>
                  <w:tcBorders>
                    <w:tl2br w:val="nil"/>
                    <w:tr2bl w:val="nil"/>
                  </w:tcBorders>
                  <w:vAlign w:val="center"/>
                </w:tcPr>
                <w:p w14:paraId="037624A8">
                  <w:pPr>
                    <w:snapToGrid w:val="0"/>
                    <w:jc w:val="center"/>
                    <w:rPr>
                      <w:b w:val="0"/>
                      <w:bCs/>
                      <w:color w:val="auto"/>
                      <w:sz w:val="18"/>
                      <w:szCs w:val="18"/>
                      <w:highlight w:val="none"/>
                    </w:rPr>
                  </w:pPr>
                </w:p>
              </w:tc>
              <w:tc>
                <w:tcPr>
                  <w:tcW w:w="542" w:type="pct"/>
                  <w:tcBorders>
                    <w:tl2br w:val="nil"/>
                    <w:tr2bl w:val="nil"/>
                  </w:tcBorders>
                  <w:vAlign w:val="center"/>
                </w:tcPr>
                <w:p w14:paraId="3F770888">
                  <w:pPr>
                    <w:snapToGrid w:val="0"/>
                    <w:jc w:val="center"/>
                    <w:rPr>
                      <w:b w:val="0"/>
                      <w:bCs/>
                      <w:color w:val="auto"/>
                      <w:sz w:val="18"/>
                      <w:szCs w:val="18"/>
                      <w:highlight w:val="none"/>
                    </w:rPr>
                  </w:pPr>
                  <w:r>
                    <w:rPr>
                      <w:b w:val="0"/>
                      <w:bCs/>
                      <w:color w:val="auto"/>
                      <w:sz w:val="18"/>
                      <w:szCs w:val="18"/>
                      <w:highlight w:val="none"/>
                    </w:rPr>
                    <w:t>400</w:t>
                  </w:r>
                </w:p>
              </w:tc>
              <w:tc>
                <w:tcPr>
                  <w:tcW w:w="1559" w:type="pct"/>
                  <w:vMerge w:val="continue"/>
                  <w:tcBorders>
                    <w:tl2br w:val="nil"/>
                    <w:tr2bl w:val="nil"/>
                  </w:tcBorders>
                  <w:vAlign w:val="center"/>
                </w:tcPr>
                <w:p w14:paraId="05DB575B">
                  <w:pPr>
                    <w:snapToGrid w:val="0"/>
                    <w:jc w:val="center"/>
                    <w:rPr>
                      <w:b w:val="0"/>
                      <w:bCs/>
                      <w:color w:val="auto"/>
                      <w:sz w:val="18"/>
                      <w:szCs w:val="18"/>
                      <w:highlight w:val="none"/>
                    </w:rPr>
                  </w:pPr>
                </w:p>
              </w:tc>
              <w:tc>
                <w:tcPr>
                  <w:tcW w:w="332" w:type="pct"/>
                  <w:vMerge w:val="continue"/>
                  <w:tcBorders>
                    <w:tl2br w:val="nil"/>
                    <w:tr2bl w:val="nil"/>
                  </w:tcBorders>
                  <w:vAlign w:val="center"/>
                </w:tcPr>
                <w:p w14:paraId="67FBE0FE">
                  <w:pPr>
                    <w:snapToGrid w:val="0"/>
                    <w:jc w:val="center"/>
                    <w:rPr>
                      <w:b w:val="0"/>
                      <w:bCs/>
                      <w:color w:val="auto"/>
                      <w:sz w:val="18"/>
                      <w:szCs w:val="18"/>
                      <w:highlight w:val="none"/>
                    </w:rPr>
                  </w:pPr>
                </w:p>
              </w:tc>
              <w:tc>
                <w:tcPr>
                  <w:tcW w:w="591" w:type="pct"/>
                  <w:tcBorders>
                    <w:tl2br w:val="nil"/>
                    <w:tr2bl w:val="nil"/>
                  </w:tcBorders>
                  <w:vAlign w:val="center"/>
                </w:tcPr>
                <w:p w14:paraId="61033CF8">
                  <w:pPr>
                    <w:snapToGrid w:val="0"/>
                    <w:jc w:val="center"/>
                    <w:rPr>
                      <w:b w:val="0"/>
                      <w:bCs/>
                      <w:color w:val="auto"/>
                      <w:sz w:val="18"/>
                      <w:szCs w:val="18"/>
                      <w:highlight w:val="none"/>
                    </w:rPr>
                  </w:pPr>
                  <w:r>
                    <w:rPr>
                      <w:b w:val="0"/>
                      <w:bCs/>
                      <w:color w:val="auto"/>
                      <w:sz w:val="18"/>
                      <w:szCs w:val="18"/>
                      <w:highlight w:val="none"/>
                    </w:rPr>
                    <w:t>10</w:t>
                  </w:r>
                </w:p>
              </w:tc>
              <w:tc>
                <w:tcPr>
                  <w:tcW w:w="1242" w:type="pct"/>
                  <w:vMerge w:val="continue"/>
                  <w:tcBorders>
                    <w:tl2br w:val="nil"/>
                    <w:tr2bl w:val="nil"/>
                  </w:tcBorders>
                  <w:vAlign w:val="center"/>
                </w:tcPr>
                <w:p w14:paraId="1E3612DC">
                  <w:pPr>
                    <w:snapToGrid w:val="0"/>
                    <w:jc w:val="center"/>
                    <w:rPr>
                      <w:b w:val="0"/>
                      <w:bCs/>
                      <w:color w:val="auto"/>
                      <w:sz w:val="18"/>
                      <w:szCs w:val="18"/>
                      <w:highlight w:val="none"/>
                    </w:rPr>
                  </w:pPr>
                </w:p>
              </w:tc>
            </w:tr>
            <w:tr w14:paraId="0AADADB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84" w:hRule="atLeast"/>
                <w:tblHeader/>
                <w:jc w:val="center"/>
              </w:trPr>
              <w:tc>
                <w:tcPr>
                  <w:tcW w:w="488" w:type="pct"/>
                  <w:tcBorders>
                    <w:tl2br w:val="nil"/>
                    <w:tr2bl w:val="nil"/>
                  </w:tcBorders>
                  <w:vAlign w:val="center"/>
                </w:tcPr>
                <w:p w14:paraId="194DECC5">
                  <w:pPr>
                    <w:snapToGrid w:val="0"/>
                    <w:jc w:val="center"/>
                    <w:rPr>
                      <w:b w:val="0"/>
                      <w:bCs/>
                      <w:color w:val="auto"/>
                      <w:sz w:val="18"/>
                      <w:szCs w:val="18"/>
                      <w:highlight w:val="none"/>
                      <w:vertAlign w:val="subscript"/>
                    </w:rPr>
                  </w:pPr>
                  <w:r>
                    <w:rPr>
                      <w:b w:val="0"/>
                      <w:bCs/>
                      <w:color w:val="auto"/>
                      <w:sz w:val="18"/>
                      <w:szCs w:val="18"/>
                      <w:highlight w:val="none"/>
                    </w:rPr>
                    <w:t>BOD</w:t>
                  </w:r>
                  <w:r>
                    <w:rPr>
                      <w:b w:val="0"/>
                      <w:bCs/>
                      <w:color w:val="auto"/>
                      <w:sz w:val="18"/>
                      <w:szCs w:val="18"/>
                      <w:highlight w:val="none"/>
                      <w:vertAlign w:val="subscript"/>
                    </w:rPr>
                    <w:t>5</w:t>
                  </w:r>
                </w:p>
              </w:tc>
              <w:tc>
                <w:tcPr>
                  <w:tcW w:w="242" w:type="pct"/>
                  <w:vMerge w:val="continue"/>
                  <w:tcBorders>
                    <w:tl2br w:val="nil"/>
                    <w:tr2bl w:val="nil"/>
                  </w:tcBorders>
                  <w:vAlign w:val="center"/>
                </w:tcPr>
                <w:p w14:paraId="01F0B55F">
                  <w:pPr>
                    <w:snapToGrid w:val="0"/>
                    <w:jc w:val="center"/>
                    <w:rPr>
                      <w:b w:val="0"/>
                      <w:bCs/>
                      <w:color w:val="auto"/>
                      <w:sz w:val="18"/>
                      <w:szCs w:val="18"/>
                      <w:highlight w:val="none"/>
                    </w:rPr>
                  </w:pPr>
                </w:p>
              </w:tc>
              <w:tc>
                <w:tcPr>
                  <w:tcW w:w="542" w:type="pct"/>
                  <w:tcBorders>
                    <w:tl2br w:val="nil"/>
                    <w:tr2bl w:val="nil"/>
                  </w:tcBorders>
                  <w:vAlign w:val="center"/>
                </w:tcPr>
                <w:p w14:paraId="1DC249A4">
                  <w:pPr>
                    <w:snapToGrid w:val="0"/>
                    <w:jc w:val="center"/>
                    <w:rPr>
                      <w:b w:val="0"/>
                      <w:bCs/>
                      <w:color w:val="auto"/>
                      <w:sz w:val="18"/>
                      <w:szCs w:val="18"/>
                      <w:highlight w:val="none"/>
                    </w:rPr>
                  </w:pPr>
                  <w:r>
                    <w:rPr>
                      <w:b w:val="0"/>
                      <w:bCs/>
                      <w:color w:val="auto"/>
                      <w:sz w:val="18"/>
                      <w:szCs w:val="18"/>
                      <w:highlight w:val="none"/>
                    </w:rPr>
                    <w:t>300</w:t>
                  </w:r>
                </w:p>
              </w:tc>
              <w:tc>
                <w:tcPr>
                  <w:tcW w:w="1559" w:type="pct"/>
                  <w:vMerge w:val="continue"/>
                  <w:tcBorders>
                    <w:tl2br w:val="nil"/>
                    <w:tr2bl w:val="nil"/>
                  </w:tcBorders>
                  <w:vAlign w:val="center"/>
                </w:tcPr>
                <w:p w14:paraId="71DF8E1E">
                  <w:pPr>
                    <w:snapToGrid w:val="0"/>
                    <w:jc w:val="center"/>
                    <w:rPr>
                      <w:b w:val="0"/>
                      <w:bCs/>
                      <w:color w:val="auto"/>
                      <w:sz w:val="18"/>
                      <w:szCs w:val="18"/>
                      <w:highlight w:val="none"/>
                    </w:rPr>
                  </w:pPr>
                </w:p>
              </w:tc>
              <w:tc>
                <w:tcPr>
                  <w:tcW w:w="332" w:type="pct"/>
                  <w:vMerge w:val="continue"/>
                  <w:tcBorders>
                    <w:tl2br w:val="nil"/>
                    <w:tr2bl w:val="nil"/>
                  </w:tcBorders>
                  <w:vAlign w:val="center"/>
                </w:tcPr>
                <w:p w14:paraId="260C2081">
                  <w:pPr>
                    <w:snapToGrid w:val="0"/>
                    <w:jc w:val="center"/>
                    <w:rPr>
                      <w:b w:val="0"/>
                      <w:bCs/>
                      <w:color w:val="auto"/>
                      <w:sz w:val="18"/>
                      <w:szCs w:val="18"/>
                      <w:highlight w:val="none"/>
                    </w:rPr>
                  </w:pPr>
                </w:p>
              </w:tc>
              <w:tc>
                <w:tcPr>
                  <w:tcW w:w="591" w:type="pct"/>
                  <w:tcBorders>
                    <w:tl2br w:val="nil"/>
                    <w:tr2bl w:val="nil"/>
                  </w:tcBorders>
                  <w:vAlign w:val="center"/>
                </w:tcPr>
                <w:p w14:paraId="508252B1">
                  <w:pPr>
                    <w:snapToGrid w:val="0"/>
                    <w:jc w:val="center"/>
                    <w:rPr>
                      <w:b w:val="0"/>
                      <w:bCs/>
                      <w:color w:val="auto"/>
                      <w:sz w:val="18"/>
                      <w:szCs w:val="18"/>
                      <w:highlight w:val="none"/>
                    </w:rPr>
                  </w:pPr>
                  <w:r>
                    <w:rPr>
                      <w:b w:val="0"/>
                      <w:bCs/>
                      <w:color w:val="auto"/>
                      <w:sz w:val="18"/>
                      <w:szCs w:val="18"/>
                      <w:highlight w:val="none"/>
                    </w:rPr>
                    <w:t>10</w:t>
                  </w:r>
                </w:p>
              </w:tc>
              <w:tc>
                <w:tcPr>
                  <w:tcW w:w="1242" w:type="pct"/>
                  <w:vMerge w:val="continue"/>
                  <w:tcBorders>
                    <w:tl2br w:val="nil"/>
                    <w:tr2bl w:val="nil"/>
                  </w:tcBorders>
                  <w:vAlign w:val="center"/>
                </w:tcPr>
                <w:p w14:paraId="2EC10065">
                  <w:pPr>
                    <w:snapToGrid w:val="0"/>
                    <w:jc w:val="center"/>
                    <w:rPr>
                      <w:b w:val="0"/>
                      <w:bCs/>
                      <w:color w:val="auto"/>
                      <w:sz w:val="18"/>
                      <w:szCs w:val="18"/>
                      <w:highlight w:val="none"/>
                    </w:rPr>
                  </w:pPr>
                </w:p>
              </w:tc>
            </w:tr>
            <w:tr w14:paraId="1775ED8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blHeader/>
                <w:jc w:val="center"/>
              </w:trPr>
              <w:tc>
                <w:tcPr>
                  <w:tcW w:w="488" w:type="pct"/>
                  <w:tcBorders>
                    <w:tl2br w:val="nil"/>
                    <w:tr2bl w:val="nil"/>
                  </w:tcBorders>
                  <w:vAlign w:val="center"/>
                </w:tcPr>
                <w:p w14:paraId="4066C01F">
                  <w:pPr>
                    <w:snapToGrid w:val="0"/>
                    <w:jc w:val="center"/>
                    <w:rPr>
                      <w:b w:val="0"/>
                      <w:bCs/>
                      <w:color w:val="auto"/>
                      <w:sz w:val="18"/>
                      <w:szCs w:val="18"/>
                      <w:highlight w:val="none"/>
                      <w:vertAlign w:val="subscript"/>
                    </w:rPr>
                  </w:pPr>
                  <w:r>
                    <w:rPr>
                      <w:b w:val="0"/>
                      <w:bCs/>
                      <w:color w:val="auto"/>
                      <w:sz w:val="18"/>
                      <w:szCs w:val="18"/>
                      <w:highlight w:val="none"/>
                    </w:rPr>
                    <w:t>COD</w:t>
                  </w:r>
                  <w:r>
                    <w:rPr>
                      <w:b w:val="0"/>
                      <w:bCs/>
                      <w:color w:val="auto"/>
                      <w:sz w:val="18"/>
                      <w:szCs w:val="18"/>
                      <w:highlight w:val="none"/>
                      <w:vertAlign w:val="subscript"/>
                    </w:rPr>
                    <w:t>Cr</w:t>
                  </w:r>
                </w:p>
              </w:tc>
              <w:tc>
                <w:tcPr>
                  <w:tcW w:w="242" w:type="pct"/>
                  <w:vMerge w:val="continue"/>
                  <w:tcBorders>
                    <w:tl2br w:val="nil"/>
                    <w:tr2bl w:val="nil"/>
                  </w:tcBorders>
                  <w:vAlign w:val="center"/>
                </w:tcPr>
                <w:p w14:paraId="70116176">
                  <w:pPr>
                    <w:snapToGrid w:val="0"/>
                    <w:jc w:val="center"/>
                    <w:rPr>
                      <w:b w:val="0"/>
                      <w:bCs/>
                      <w:color w:val="auto"/>
                      <w:sz w:val="18"/>
                      <w:szCs w:val="18"/>
                      <w:highlight w:val="none"/>
                    </w:rPr>
                  </w:pPr>
                </w:p>
              </w:tc>
              <w:tc>
                <w:tcPr>
                  <w:tcW w:w="542" w:type="pct"/>
                  <w:tcBorders>
                    <w:tl2br w:val="nil"/>
                    <w:tr2bl w:val="nil"/>
                  </w:tcBorders>
                  <w:vAlign w:val="center"/>
                </w:tcPr>
                <w:p w14:paraId="65DC2053">
                  <w:pPr>
                    <w:snapToGrid w:val="0"/>
                    <w:jc w:val="center"/>
                    <w:rPr>
                      <w:b w:val="0"/>
                      <w:bCs/>
                      <w:color w:val="auto"/>
                      <w:sz w:val="18"/>
                      <w:szCs w:val="18"/>
                      <w:highlight w:val="none"/>
                    </w:rPr>
                  </w:pPr>
                  <w:r>
                    <w:rPr>
                      <w:b w:val="0"/>
                      <w:bCs/>
                      <w:color w:val="auto"/>
                      <w:sz w:val="18"/>
                      <w:szCs w:val="18"/>
                      <w:highlight w:val="none"/>
                    </w:rPr>
                    <w:t>500</w:t>
                  </w:r>
                </w:p>
              </w:tc>
              <w:tc>
                <w:tcPr>
                  <w:tcW w:w="1559" w:type="pct"/>
                  <w:vMerge w:val="continue"/>
                  <w:tcBorders>
                    <w:tl2br w:val="nil"/>
                    <w:tr2bl w:val="nil"/>
                  </w:tcBorders>
                  <w:vAlign w:val="center"/>
                </w:tcPr>
                <w:p w14:paraId="4B3236C0">
                  <w:pPr>
                    <w:snapToGrid w:val="0"/>
                    <w:jc w:val="center"/>
                    <w:rPr>
                      <w:b w:val="0"/>
                      <w:bCs/>
                      <w:color w:val="auto"/>
                      <w:sz w:val="18"/>
                      <w:szCs w:val="18"/>
                      <w:highlight w:val="none"/>
                    </w:rPr>
                  </w:pPr>
                </w:p>
              </w:tc>
              <w:tc>
                <w:tcPr>
                  <w:tcW w:w="332" w:type="pct"/>
                  <w:vMerge w:val="continue"/>
                  <w:tcBorders>
                    <w:tl2br w:val="nil"/>
                    <w:tr2bl w:val="nil"/>
                  </w:tcBorders>
                  <w:vAlign w:val="center"/>
                </w:tcPr>
                <w:p w14:paraId="06FDCFB5">
                  <w:pPr>
                    <w:snapToGrid w:val="0"/>
                    <w:jc w:val="center"/>
                    <w:rPr>
                      <w:b w:val="0"/>
                      <w:bCs/>
                      <w:color w:val="auto"/>
                      <w:sz w:val="18"/>
                      <w:szCs w:val="18"/>
                      <w:highlight w:val="none"/>
                    </w:rPr>
                  </w:pPr>
                </w:p>
              </w:tc>
              <w:tc>
                <w:tcPr>
                  <w:tcW w:w="591" w:type="pct"/>
                  <w:tcBorders>
                    <w:tl2br w:val="nil"/>
                    <w:tr2bl w:val="nil"/>
                  </w:tcBorders>
                  <w:vAlign w:val="center"/>
                </w:tcPr>
                <w:p w14:paraId="7C1EE389">
                  <w:pPr>
                    <w:snapToGrid w:val="0"/>
                    <w:jc w:val="center"/>
                    <w:rPr>
                      <w:b w:val="0"/>
                      <w:bCs/>
                      <w:color w:val="auto"/>
                      <w:sz w:val="18"/>
                      <w:szCs w:val="18"/>
                      <w:highlight w:val="none"/>
                    </w:rPr>
                  </w:pPr>
                  <w:r>
                    <w:rPr>
                      <w:b w:val="0"/>
                      <w:bCs/>
                      <w:color w:val="auto"/>
                      <w:sz w:val="18"/>
                      <w:szCs w:val="18"/>
                      <w:highlight w:val="none"/>
                    </w:rPr>
                    <w:t>40</w:t>
                  </w:r>
                </w:p>
              </w:tc>
              <w:tc>
                <w:tcPr>
                  <w:tcW w:w="1242" w:type="pct"/>
                  <w:vMerge w:val="restart"/>
                  <w:tcBorders>
                    <w:tl2br w:val="nil"/>
                    <w:tr2bl w:val="nil"/>
                  </w:tcBorders>
                  <w:vAlign w:val="center"/>
                </w:tcPr>
                <w:p w14:paraId="77024E35">
                  <w:pPr>
                    <w:snapToGrid w:val="0"/>
                    <w:jc w:val="center"/>
                    <w:rPr>
                      <w:b w:val="0"/>
                      <w:bCs/>
                      <w:color w:val="auto"/>
                      <w:sz w:val="18"/>
                      <w:szCs w:val="18"/>
                      <w:highlight w:val="none"/>
                    </w:rPr>
                  </w:pPr>
                  <w:r>
                    <w:rPr>
                      <w:b w:val="0"/>
                      <w:bCs/>
                      <w:color w:val="auto"/>
                      <w:sz w:val="18"/>
                      <w:szCs w:val="18"/>
                      <w:highlight w:val="none"/>
                    </w:rPr>
                    <w:t>DB 33/ 2169-2018</w:t>
                  </w:r>
                </w:p>
              </w:tc>
            </w:tr>
            <w:tr w14:paraId="46F0C85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blHeader/>
                <w:jc w:val="center"/>
              </w:trPr>
              <w:tc>
                <w:tcPr>
                  <w:tcW w:w="488" w:type="pct"/>
                  <w:tcBorders>
                    <w:tl2br w:val="nil"/>
                    <w:tr2bl w:val="nil"/>
                  </w:tcBorders>
                  <w:vAlign w:val="center"/>
                </w:tcPr>
                <w:p w14:paraId="5EB91F41">
                  <w:pPr>
                    <w:snapToGrid w:val="0"/>
                    <w:jc w:val="center"/>
                    <w:rPr>
                      <w:b w:val="0"/>
                      <w:bCs/>
                      <w:color w:val="auto"/>
                      <w:sz w:val="18"/>
                      <w:szCs w:val="18"/>
                      <w:highlight w:val="none"/>
                    </w:rPr>
                  </w:pPr>
                  <w:r>
                    <w:rPr>
                      <w:b w:val="0"/>
                      <w:bCs/>
                      <w:color w:val="auto"/>
                      <w:sz w:val="18"/>
                      <w:szCs w:val="18"/>
                      <w:highlight w:val="none"/>
                    </w:rPr>
                    <w:t>氨氮</w:t>
                  </w:r>
                </w:p>
              </w:tc>
              <w:tc>
                <w:tcPr>
                  <w:tcW w:w="242" w:type="pct"/>
                  <w:vMerge w:val="continue"/>
                  <w:tcBorders>
                    <w:tl2br w:val="nil"/>
                    <w:tr2bl w:val="nil"/>
                  </w:tcBorders>
                  <w:vAlign w:val="center"/>
                </w:tcPr>
                <w:p w14:paraId="5489823B">
                  <w:pPr>
                    <w:snapToGrid w:val="0"/>
                    <w:jc w:val="center"/>
                    <w:rPr>
                      <w:b w:val="0"/>
                      <w:bCs/>
                      <w:color w:val="auto"/>
                      <w:sz w:val="18"/>
                      <w:szCs w:val="18"/>
                      <w:highlight w:val="none"/>
                    </w:rPr>
                  </w:pPr>
                </w:p>
              </w:tc>
              <w:tc>
                <w:tcPr>
                  <w:tcW w:w="542" w:type="pct"/>
                  <w:tcBorders>
                    <w:tl2br w:val="nil"/>
                    <w:tr2bl w:val="nil"/>
                  </w:tcBorders>
                  <w:vAlign w:val="center"/>
                </w:tcPr>
                <w:p w14:paraId="0BF5D39C">
                  <w:pPr>
                    <w:snapToGrid w:val="0"/>
                    <w:jc w:val="center"/>
                    <w:rPr>
                      <w:b w:val="0"/>
                      <w:bCs/>
                      <w:color w:val="auto"/>
                      <w:sz w:val="18"/>
                      <w:szCs w:val="18"/>
                      <w:highlight w:val="none"/>
                    </w:rPr>
                  </w:pPr>
                  <w:r>
                    <w:rPr>
                      <w:b w:val="0"/>
                      <w:bCs/>
                      <w:color w:val="auto"/>
                      <w:sz w:val="18"/>
                      <w:szCs w:val="18"/>
                      <w:highlight w:val="none"/>
                    </w:rPr>
                    <w:t>35</w:t>
                  </w:r>
                </w:p>
              </w:tc>
              <w:tc>
                <w:tcPr>
                  <w:tcW w:w="1559" w:type="pct"/>
                  <w:vMerge w:val="restart"/>
                  <w:tcBorders>
                    <w:tl2br w:val="nil"/>
                    <w:tr2bl w:val="nil"/>
                  </w:tcBorders>
                  <w:vAlign w:val="center"/>
                </w:tcPr>
                <w:p w14:paraId="6BC02FCD">
                  <w:pPr>
                    <w:snapToGrid w:val="0"/>
                    <w:jc w:val="center"/>
                    <w:rPr>
                      <w:b w:val="0"/>
                      <w:bCs/>
                      <w:color w:val="auto"/>
                      <w:sz w:val="18"/>
                      <w:szCs w:val="18"/>
                      <w:highlight w:val="none"/>
                    </w:rPr>
                  </w:pPr>
                  <w:r>
                    <w:rPr>
                      <w:b w:val="0"/>
                      <w:bCs/>
                      <w:color w:val="auto"/>
                      <w:sz w:val="18"/>
                      <w:szCs w:val="18"/>
                      <w:highlight w:val="none"/>
                    </w:rPr>
                    <w:t>DB 33/ 887-20</w:t>
                  </w:r>
                  <w:r>
                    <w:rPr>
                      <w:rFonts w:hint="eastAsia"/>
                      <w:b w:val="0"/>
                      <w:bCs/>
                      <w:color w:val="auto"/>
                      <w:sz w:val="18"/>
                      <w:szCs w:val="18"/>
                      <w:highlight w:val="none"/>
                      <w:lang w:val="en-US" w:eastAsia="zh-CN"/>
                    </w:rPr>
                    <w:t>25</w:t>
                  </w:r>
                </w:p>
              </w:tc>
              <w:tc>
                <w:tcPr>
                  <w:tcW w:w="332" w:type="pct"/>
                  <w:vMerge w:val="continue"/>
                  <w:tcBorders>
                    <w:tl2br w:val="nil"/>
                    <w:tr2bl w:val="nil"/>
                  </w:tcBorders>
                  <w:vAlign w:val="center"/>
                </w:tcPr>
                <w:p w14:paraId="45A905BD">
                  <w:pPr>
                    <w:snapToGrid w:val="0"/>
                    <w:jc w:val="center"/>
                    <w:rPr>
                      <w:b w:val="0"/>
                      <w:bCs/>
                      <w:color w:val="auto"/>
                      <w:sz w:val="18"/>
                      <w:szCs w:val="18"/>
                      <w:highlight w:val="none"/>
                    </w:rPr>
                  </w:pPr>
                </w:p>
              </w:tc>
              <w:tc>
                <w:tcPr>
                  <w:tcW w:w="591" w:type="pct"/>
                  <w:tcBorders>
                    <w:tl2br w:val="nil"/>
                    <w:tr2bl w:val="nil"/>
                  </w:tcBorders>
                  <w:vAlign w:val="center"/>
                </w:tcPr>
                <w:p w14:paraId="03ED2337">
                  <w:pPr>
                    <w:snapToGrid w:val="0"/>
                    <w:jc w:val="center"/>
                    <w:rPr>
                      <w:b w:val="0"/>
                      <w:bCs/>
                      <w:color w:val="auto"/>
                      <w:sz w:val="18"/>
                      <w:szCs w:val="18"/>
                      <w:highlight w:val="none"/>
                    </w:rPr>
                  </w:pPr>
                  <w:r>
                    <w:rPr>
                      <w:b w:val="0"/>
                      <w:bCs/>
                      <w:color w:val="auto"/>
                      <w:sz w:val="18"/>
                      <w:szCs w:val="18"/>
                      <w:highlight w:val="none"/>
                    </w:rPr>
                    <w:t>2(4)</w:t>
                  </w:r>
                  <w:r>
                    <w:rPr>
                      <w:rFonts w:hint="default"/>
                      <w:b w:val="0"/>
                      <w:bCs/>
                      <w:color w:val="auto"/>
                      <w:sz w:val="18"/>
                      <w:szCs w:val="18"/>
                      <w:highlight w:val="none"/>
                      <w:vertAlign w:val="superscript"/>
                    </w:rPr>
                    <w:t>①</w:t>
                  </w:r>
                </w:p>
              </w:tc>
              <w:tc>
                <w:tcPr>
                  <w:tcW w:w="1242" w:type="pct"/>
                  <w:vMerge w:val="continue"/>
                  <w:tcBorders>
                    <w:tl2br w:val="nil"/>
                    <w:tr2bl w:val="nil"/>
                  </w:tcBorders>
                  <w:vAlign w:val="center"/>
                </w:tcPr>
                <w:p w14:paraId="1A3628DB">
                  <w:pPr>
                    <w:snapToGrid w:val="0"/>
                    <w:jc w:val="left"/>
                    <w:rPr>
                      <w:b w:val="0"/>
                      <w:bCs/>
                      <w:color w:val="auto"/>
                      <w:sz w:val="18"/>
                      <w:szCs w:val="18"/>
                      <w:highlight w:val="none"/>
                    </w:rPr>
                  </w:pPr>
                </w:p>
              </w:tc>
            </w:tr>
            <w:tr w14:paraId="6670B2A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blHeader/>
                <w:jc w:val="center"/>
              </w:trPr>
              <w:tc>
                <w:tcPr>
                  <w:tcW w:w="488" w:type="pct"/>
                  <w:tcBorders>
                    <w:tl2br w:val="nil"/>
                    <w:tr2bl w:val="nil"/>
                  </w:tcBorders>
                  <w:vAlign w:val="center"/>
                </w:tcPr>
                <w:p w14:paraId="0AC4AF57">
                  <w:pPr>
                    <w:snapToGrid w:val="0"/>
                    <w:jc w:val="center"/>
                    <w:rPr>
                      <w:b w:val="0"/>
                      <w:bCs/>
                      <w:color w:val="auto"/>
                      <w:sz w:val="18"/>
                      <w:szCs w:val="18"/>
                      <w:highlight w:val="none"/>
                    </w:rPr>
                  </w:pPr>
                  <w:r>
                    <w:rPr>
                      <w:b w:val="0"/>
                      <w:bCs/>
                      <w:color w:val="auto"/>
                      <w:sz w:val="18"/>
                      <w:szCs w:val="18"/>
                      <w:highlight w:val="none"/>
                    </w:rPr>
                    <w:t>总磷</w:t>
                  </w:r>
                </w:p>
              </w:tc>
              <w:tc>
                <w:tcPr>
                  <w:tcW w:w="242" w:type="pct"/>
                  <w:vMerge w:val="continue"/>
                  <w:tcBorders>
                    <w:tl2br w:val="nil"/>
                    <w:tr2bl w:val="nil"/>
                  </w:tcBorders>
                  <w:vAlign w:val="center"/>
                </w:tcPr>
                <w:p w14:paraId="0C407A1F">
                  <w:pPr>
                    <w:snapToGrid w:val="0"/>
                    <w:jc w:val="center"/>
                    <w:rPr>
                      <w:b w:val="0"/>
                      <w:bCs/>
                      <w:color w:val="auto"/>
                      <w:sz w:val="18"/>
                      <w:szCs w:val="18"/>
                      <w:highlight w:val="none"/>
                    </w:rPr>
                  </w:pPr>
                </w:p>
              </w:tc>
              <w:tc>
                <w:tcPr>
                  <w:tcW w:w="542" w:type="pct"/>
                  <w:tcBorders>
                    <w:tl2br w:val="nil"/>
                    <w:tr2bl w:val="nil"/>
                  </w:tcBorders>
                  <w:vAlign w:val="center"/>
                </w:tcPr>
                <w:p w14:paraId="71B1FEC6">
                  <w:pPr>
                    <w:snapToGrid w:val="0"/>
                    <w:jc w:val="center"/>
                    <w:rPr>
                      <w:b w:val="0"/>
                      <w:bCs/>
                      <w:color w:val="auto"/>
                      <w:sz w:val="18"/>
                      <w:szCs w:val="18"/>
                      <w:highlight w:val="none"/>
                    </w:rPr>
                  </w:pPr>
                  <w:r>
                    <w:rPr>
                      <w:b w:val="0"/>
                      <w:bCs/>
                      <w:color w:val="auto"/>
                      <w:sz w:val="18"/>
                      <w:szCs w:val="18"/>
                      <w:highlight w:val="none"/>
                    </w:rPr>
                    <w:t>8</w:t>
                  </w:r>
                </w:p>
              </w:tc>
              <w:tc>
                <w:tcPr>
                  <w:tcW w:w="1559" w:type="pct"/>
                  <w:vMerge w:val="continue"/>
                  <w:tcBorders>
                    <w:tl2br w:val="nil"/>
                    <w:tr2bl w:val="nil"/>
                  </w:tcBorders>
                  <w:vAlign w:val="center"/>
                </w:tcPr>
                <w:p w14:paraId="0AF6B874">
                  <w:pPr>
                    <w:snapToGrid w:val="0"/>
                    <w:jc w:val="center"/>
                    <w:rPr>
                      <w:b w:val="0"/>
                      <w:bCs/>
                      <w:color w:val="auto"/>
                      <w:sz w:val="18"/>
                      <w:szCs w:val="18"/>
                      <w:highlight w:val="none"/>
                    </w:rPr>
                  </w:pPr>
                </w:p>
              </w:tc>
              <w:tc>
                <w:tcPr>
                  <w:tcW w:w="332" w:type="pct"/>
                  <w:vMerge w:val="continue"/>
                  <w:tcBorders>
                    <w:tl2br w:val="nil"/>
                    <w:tr2bl w:val="nil"/>
                  </w:tcBorders>
                  <w:vAlign w:val="center"/>
                </w:tcPr>
                <w:p w14:paraId="4B0B13D8">
                  <w:pPr>
                    <w:snapToGrid w:val="0"/>
                    <w:jc w:val="center"/>
                    <w:rPr>
                      <w:b w:val="0"/>
                      <w:bCs/>
                      <w:color w:val="auto"/>
                      <w:sz w:val="18"/>
                      <w:szCs w:val="18"/>
                      <w:highlight w:val="none"/>
                    </w:rPr>
                  </w:pPr>
                </w:p>
              </w:tc>
              <w:tc>
                <w:tcPr>
                  <w:tcW w:w="591" w:type="pct"/>
                  <w:tcBorders>
                    <w:tl2br w:val="nil"/>
                    <w:tr2bl w:val="nil"/>
                  </w:tcBorders>
                  <w:vAlign w:val="center"/>
                </w:tcPr>
                <w:p w14:paraId="073211ED">
                  <w:pPr>
                    <w:snapToGrid w:val="0"/>
                    <w:jc w:val="center"/>
                    <w:rPr>
                      <w:b w:val="0"/>
                      <w:bCs/>
                      <w:color w:val="auto"/>
                      <w:sz w:val="18"/>
                      <w:szCs w:val="18"/>
                      <w:highlight w:val="none"/>
                    </w:rPr>
                  </w:pPr>
                  <w:r>
                    <w:rPr>
                      <w:b w:val="0"/>
                      <w:bCs/>
                      <w:color w:val="auto"/>
                      <w:sz w:val="18"/>
                      <w:szCs w:val="18"/>
                      <w:highlight w:val="none"/>
                    </w:rPr>
                    <w:t>0.3</w:t>
                  </w:r>
                </w:p>
              </w:tc>
              <w:tc>
                <w:tcPr>
                  <w:tcW w:w="1242" w:type="pct"/>
                  <w:vMerge w:val="continue"/>
                  <w:tcBorders>
                    <w:tl2br w:val="nil"/>
                    <w:tr2bl w:val="nil"/>
                  </w:tcBorders>
                  <w:vAlign w:val="center"/>
                </w:tcPr>
                <w:p w14:paraId="3CDC57E5">
                  <w:pPr>
                    <w:snapToGrid w:val="0"/>
                    <w:jc w:val="left"/>
                    <w:rPr>
                      <w:b w:val="0"/>
                      <w:bCs/>
                      <w:color w:val="auto"/>
                      <w:sz w:val="18"/>
                      <w:szCs w:val="18"/>
                      <w:highlight w:val="none"/>
                    </w:rPr>
                  </w:pPr>
                </w:p>
              </w:tc>
            </w:tr>
            <w:tr w14:paraId="012EAAA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blHeader/>
                <w:jc w:val="center"/>
              </w:trPr>
              <w:tc>
                <w:tcPr>
                  <w:tcW w:w="488" w:type="pct"/>
                  <w:tcBorders>
                    <w:tl2br w:val="nil"/>
                    <w:tr2bl w:val="nil"/>
                  </w:tcBorders>
                  <w:vAlign w:val="center"/>
                </w:tcPr>
                <w:p w14:paraId="0A20B0C9">
                  <w:pPr>
                    <w:snapToGrid w:val="0"/>
                    <w:jc w:val="center"/>
                    <w:rPr>
                      <w:b w:val="0"/>
                      <w:bCs/>
                      <w:color w:val="auto"/>
                      <w:sz w:val="18"/>
                      <w:szCs w:val="18"/>
                      <w:highlight w:val="none"/>
                    </w:rPr>
                  </w:pPr>
                  <w:r>
                    <w:rPr>
                      <w:b w:val="0"/>
                      <w:bCs/>
                      <w:color w:val="auto"/>
                      <w:sz w:val="18"/>
                      <w:szCs w:val="18"/>
                      <w:highlight w:val="none"/>
                    </w:rPr>
                    <w:t>总氮</w:t>
                  </w:r>
                </w:p>
              </w:tc>
              <w:tc>
                <w:tcPr>
                  <w:tcW w:w="242" w:type="pct"/>
                  <w:vMerge w:val="continue"/>
                  <w:tcBorders>
                    <w:tl2br w:val="nil"/>
                    <w:tr2bl w:val="nil"/>
                  </w:tcBorders>
                  <w:vAlign w:val="center"/>
                </w:tcPr>
                <w:p w14:paraId="7115CC3B">
                  <w:pPr>
                    <w:snapToGrid w:val="0"/>
                    <w:jc w:val="center"/>
                    <w:rPr>
                      <w:b w:val="0"/>
                      <w:bCs/>
                      <w:color w:val="auto"/>
                      <w:sz w:val="18"/>
                      <w:szCs w:val="18"/>
                      <w:highlight w:val="none"/>
                    </w:rPr>
                  </w:pPr>
                </w:p>
              </w:tc>
              <w:tc>
                <w:tcPr>
                  <w:tcW w:w="542" w:type="pct"/>
                  <w:tcBorders>
                    <w:tl2br w:val="nil"/>
                    <w:tr2bl w:val="nil"/>
                  </w:tcBorders>
                  <w:vAlign w:val="center"/>
                </w:tcPr>
                <w:p w14:paraId="5932C05C">
                  <w:pPr>
                    <w:snapToGrid w:val="0"/>
                    <w:jc w:val="center"/>
                    <w:rPr>
                      <w:b w:val="0"/>
                      <w:bCs/>
                      <w:color w:val="auto"/>
                      <w:sz w:val="18"/>
                      <w:szCs w:val="18"/>
                      <w:highlight w:val="none"/>
                    </w:rPr>
                  </w:pPr>
                  <w:r>
                    <w:rPr>
                      <w:rFonts w:hint="eastAsia"/>
                      <w:b w:val="0"/>
                      <w:bCs/>
                      <w:color w:val="auto"/>
                      <w:sz w:val="18"/>
                      <w:szCs w:val="18"/>
                      <w:highlight w:val="none"/>
                      <w:lang w:val="en-US" w:eastAsia="zh-CN"/>
                    </w:rPr>
                    <w:t>70</w:t>
                  </w:r>
                </w:p>
              </w:tc>
              <w:tc>
                <w:tcPr>
                  <w:tcW w:w="1559" w:type="pct"/>
                  <w:vMerge w:val="continue"/>
                  <w:tcBorders>
                    <w:tl2br w:val="nil"/>
                    <w:tr2bl w:val="nil"/>
                  </w:tcBorders>
                  <w:vAlign w:val="center"/>
                </w:tcPr>
                <w:p w14:paraId="4A03BC6D">
                  <w:pPr>
                    <w:snapToGrid w:val="0"/>
                    <w:jc w:val="center"/>
                    <w:rPr>
                      <w:b w:val="0"/>
                      <w:bCs/>
                      <w:color w:val="auto"/>
                      <w:sz w:val="18"/>
                      <w:szCs w:val="18"/>
                      <w:highlight w:val="none"/>
                    </w:rPr>
                  </w:pPr>
                </w:p>
              </w:tc>
              <w:tc>
                <w:tcPr>
                  <w:tcW w:w="332" w:type="pct"/>
                  <w:vMerge w:val="continue"/>
                  <w:tcBorders>
                    <w:tl2br w:val="nil"/>
                    <w:tr2bl w:val="nil"/>
                  </w:tcBorders>
                  <w:vAlign w:val="center"/>
                </w:tcPr>
                <w:p w14:paraId="136A7F47">
                  <w:pPr>
                    <w:snapToGrid w:val="0"/>
                    <w:jc w:val="center"/>
                    <w:rPr>
                      <w:b w:val="0"/>
                      <w:bCs/>
                      <w:color w:val="auto"/>
                      <w:sz w:val="18"/>
                      <w:szCs w:val="18"/>
                      <w:highlight w:val="none"/>
                    </w:rPr>
                  </w:pPr>
                </w:p>
              </w:tc>
              <w:tc>
                <w:tcPr>
                  <w:tcW w:w="591" w:type="pct"/>
                  <w:tcBorders>
                    <w:tl2br w:val="nil"/>
                    <w:tr2bl w:val="nil"/>
                  </w:tcBorders>
                  <w:vAlign w:val="center"/>
                </w:tcPr>
                <w:p w14:paraId="02E52A9E">
                  <w:pPr>
                    <w:snapToGrid w:val="0"/>
                    <w:jc w:val="center"/>
                    <w:rPr>
                      <w:b w:val="0"/>
                      <w:bCs/>
                      <w:color w:val="auto"/>
                      <w:sz w:val="18"/>
                      <w:szCs w:val="18"/>
                      <w:highlight w:val="none"/>
                    </w:rPr>
                  </w:pPr>
                  <w:r>
                    <w:rPr>
                      <w:b w:val="0"/>
                      <w:bCs/>
                      <w:color w:val="auto"/>
                      <w:sz w:val="18"/>
                      <w:szCs w:val="18"/>
                      <w:highlight w:val="none"/>
                    </w:rPr>
                    <w:t>12(15)</w:t>
                  </w:r>
                  <w:r>
                    <w:rPr>
                      <w:rFonts w:hint="default"/>
                      <w:b w:val="0"/>
                      <w:bCs/>
                      <w:color w:val="auto"/>
                      <w:sz w:val="18"/>
                      <w:szCs w:val="18"/>
                      <w:highlight w:val="none"/>
                      <w:vertAlign w:val="superscript"/>
                    </w:rPr>
                    <w:t>①</w:t>
                  </w:r>
                </w:p>
              </w:tc>
              <w:tc>
                <w:tcPr>
                  <w:tcW w:w="1242" w:type="pct"/>
                  <w:vMerge w:val="continue"/>
                  <w:tcBorders>
                    <w:tl2br w:val="nil"/>
                    <w:tr2bl w:val="nil"/>
                  </w:tcBorders>
                  <w:vAlign w:val="center"/>
                </w:tcPr>
                <w:p w14:paraId="573DFC1F">
                  <w:pPr>
                    <w:snapToGrid w:val="0"/>
                    <w:jc w:val="left"/>
                    <w:rPr>
                      <w:b w:val="0"/>
                      <w:bCs/>
                      <w:color w:val="auto"/>
                      <w:sz w:val="18"/>
                      <w:szCs w:val="18"/>
                      <w:highlight w:val="none"/>
                    </w:rPr>
                  </w:pPr>
                </w:p>
              </w:tc>
            </w:tr>
          </w:tbl>
          <w:p w14:paraId="11E6CC06">
            <w:pPr>
              <w:spacing w:line="360" w:lineRule="auto"/>
              <w:rPr>
                <w:color w:val="auto"/>
                <w:sz w:val="18"/>
                <w:szCs w:val="18"/>
                <w:highlight w:val="none"/>
              </w:rPr>
            </w:pPr>
            <w:r>
              <w:rPr>
                <w:b/>
                <w:bCs/>
                <w:color w:val="auto"/>
                <w:sz w:val="18"/>
                <w:szCs w:val="18"/>
                <w:highlight w:val="none"/>
              </w:rPr>
              <w:t>注：</w:t>
            </w:r>
            <w:r>
              <w:rPr>
                <w:color w:val="auto"/>
                <w:sz w:val="18"/>
                <w:szCs w:val="18"/>
                <w:highlight w:val="none"/>
              </w:rPr>
              <w:t>① 括号内数值为每年11月1日至次年3月31日执行。</w:t>
            </w:r>
          </w:p>
          <w:p w14:paraId="74049600">
            <w:pPr>
              <w:spacing w:line="360" w:lineRule="auto"/>
              <w:rPr>
                <w:color w:val="auto"/>
                <w:sz w:val="18"/>
                <w:szCs w:val="18"/>
                <w:highlight w:val="none"/>
              </w:rPr>
            </w:pPr>
          </w:p>
          <w:bookmarkEnd w:id="36"/>
          <w:p w14:paraId="48D51204">
            <w:pPr>
              <w:adjustRightInd w:val="0"/>
              <w:snapToGrid w:val="0"/>
              <w:spacing w:line="360" w:lineRule="auto"/>
              <w:rPr>
                <w:b/>
                <w:color w:val="auto"/>
                <w:sz w:val="22"/>
                <w:szCs w:val="28"/>
                <w:highlight w:val="none"/>
              </w:rPr>
            </w:pPr>
            <w:r>
              <w:rPr>
                <w:b/>
                <w:color w:val="auto"/>
                <w:sz w:val="22"/>
                <w:szCs w:val="28"/>
                <w:highlight w:val="none"/>
              </w:rPr>
              <w:t>3.</w:t>
            </w:r>
            <w:r>
              <w:rPr>
                <w:rFonts w:hint="default"/>
                <w:b/>
                <w:color w:val="auto"/>
                <w:sz w:val="22"/>
                <w:szCs w:val="28"/>
                <w:highlight w:val="none"/>
              </w:rPr>
              <w:t xml:space="preserve">3.3 </w:t>
            </w:r>
            <w:r>
              <w:rPr>
                <w:b/>
                <w:color w:val="auto"/>
                <w:sz w:val="22"/>
                <w:szCs w:val="28"/>
                <w:highlight w:val="none"/>
              </w:rPr>
              <w:t>噪声</w:t>
            </w:r>
          </w:p>
          <w:p w14:paraId="078ACC15">
            <w:pPr>
              <w:snapToGrid w:val="0"/>
              <w:spacing w:line="360" w:lineRule="auto"/>
              <w:ind w:firstLine="420" w:firstLineChars="200"/>
              <w:rPr>
                <w:rFonts w:hint="default" w:eastAsia="宋体"/>
                <w:color w:val="auto"/>
                <w:highlight w:val="none"/>
                <w:lang w:val="en-US" w:eastAsia="zh-CN"/>
              </w:rPr>
            </w:pPr>
            <w:r>
              <w:rPr>
                <w:color w:val="auto"/>
                <w:highlight w:val="none"/>
              </w:rPr>
              <w:t>项目营运期间，四周厂界噪声执行《工业企业厂界环境噪声排放标准》(GB</w:t>
            </w:r>
            <w:r>
              <w:rPr>
                <w:rFonts w:hint="eastAsia"/>
                <w:color w:val="auto"/>
                <w:highlight w:val="none"/>
                <w:lang w:val="en-US" w:eastAsia="zh-CN"/>
              </w:rPr>
              <w:t xml:space="preserve"> </w:t>
            </w:r>
            <w:r>
              <w:rPr>
                <w:color w:val="auto"/>
                <w:highlight w:val="none"/>
              </w:rPr>
              <w:t>12348-2008)中的3类标准，具体标准值见</w:t>
            </w:r>
            <w:r>
              <w:rPr>
                <w:rFonts w:hint="default"/>
                <w:color w:val="auto"/>
                <w:highlight w:val="none"/>
                <w:lang w:val="en-US" w:eastAsia="zh-CN"/>
              </w:rPr>
              <w:t>表3-</w:t>
            </w:r>
            <w:r>
              <w:rPr>
                <w:rFonts w:hint="eastAsia" w:cs="Times New Roman"/>
                <w:color w:val="auto"/>
                <w:highlight w:val="none"/>
                <w:lang w:val="en-US" w:eastAsia="zh-CN"/>
              </w:rPr>
              <w:t>9</w:t>
            </w:r>
            <w:r>
              <w:rPr>
                <w:rFonts w:hint="default"/>
                <w:color w:val="auto"/>
                <w:highlight w:val="none"/>
                <w:lang w:val="en-US" w:eastAsia="zh-CN"/>
              </w:rPr>
              <w:t>。</w:t>
            </w:r>
          </w:p>
          <w:p w14:paraId="7540D0C5">
            <w:pPr>
              <w:pStyle w:val="14"/>
              <w:widowControl/>
              <w:numPr>
                <w:ilvl w:val="0"/>
                <w:numId w:val="4"/>
              </w:numPr>
              <w:tabs>
                <w:tab w:val="left" w:pos="4515"/>
                <w:tab w:val="left" w:pos="5883"/>
                <w:tab w:val="left" w:pos="8718"/>
              </w:tabs>
              <w:adjustRightInd w:val="0"/>
              <w:snapToGrid w:val="0"/>
              <w:spacing w:line="360" w:lineRule="auto"/>
              <w:jc w:val="center"/>
              <w:rPr>
                <w:rFonts w:hint="default" w:ascii="Times New Roman" w:hAnsi="Times New Roman" w:eastAsia="黑体" w:cs="Times New Roman"/>
                <w:b w:val="0"/>
                <w:bCs/>
                <w:color w:val="auto"/>
                <w:highlight w:val="none"/>
              </w:rPr>
            </w:pPr>
            <w:r>
              <w:rPr>
                <w:rFonts w:hint="default" w:ascii="Times New Roman" w:hAnsi="Times New Roman" w:eastAsia="黑体" w:cs="Times New Roman"/>
                <w:b w:val="0"/>
                <w:bCs/>
                <w:color w:val="auto"/>
                <w:highlight w:val="none"/>
              </w:rPr>
              <w:t>本项目噪声排放标准</w:t>
            </w:r>
          </w:p>
          <w:tbl>
            <w:tblPr>
              <w:tblStyle w:val="24"/>
              <w:tblW w:w="4999"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57" w:type="dxa"/>
                <w:bottom w:w="0" w:type="dxa"/>
                <w:right w:w="57" w:type="dxa"/>
              </w:tblCellMar>
            </w:tblPr>
            <w:tblGrid>
              <w:gridCol w:w="2718"/>
              <w:gridCol w:w="2719"/>
              <w:gridCol w:w="2715"/>
            </w:tblGrid>
            <w:tr w14:paraId="2B3F6EB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23" w:hRule="atLeast"/>
                <w:jc w:val="center"/>
              </w:trPr>
              <w:tc>
                <w:tcPr>
                  <w:tcW w:w="1667" w:type="pct"/>
                  <w:vMerge w:val="restart"/>
                  <w:tcBorders>
                    <w:tl2br w:val="nil"/>
                    <w:tr2bl w:val="nil"/>
                  </w:tcBorders>
                  <w:vAlign w:val="center"/>
                </w:tcPr>
                <w:p w14:paraId="4708579B">
                  <w:pPr>
                    <w:adjustRightInd w:val="0"/>
                    <w:snapToGrid w:val="0"/>
                    <w:jc w:val="center"/>
                    <w:rPr>
                      <w:color w:val="auto"/>
                      <w:sz w:val="18"/>
                      <w:szCs w:val="18"/>
                      <w:highlight w:val="none"/>
                    </w:rPr>
                  </w:pPr>
                  <w:r>
                    <w:rPr>
                      <w:color w:val="auto"/>
                      <w:sz w:val="18"/>
                      <w:szCs w:val="18"/>
                      <w:highlight w:val="none"/>
                    </w:rPr>
                    <w:t>类别</w:t>
                  </w:r>
                </w:p>
              </w:tc>
              <w:tc>
                <w:tcPr>
                  <w:tcW w:w="3332" w:type="pct"/>
                  <w:gridSpan w:val="2"/>
                  <w:tcBorders>
                    <w:tl2br w:val="nil"/>
                    <w:tr2bl w:val="nil"/>
                  </w:tcBorders>
                  <w:vAlign w:val="center"/>
                </w:tcPr>
                <w:p w14:paraId="54739C7F">
                  <w:pPr>
                    <w:adjustRightInd w:val="0"/>
                    <w:snapToGrid w:val="0"/>
                    <w:jc w:val="center"/>
                    <w:rPr>
                      <w:color w:val="auto"/>
                      <w:sz w:val="18"/>
                      <w:szCs w:val="18"/>
                      <w:highlight w:val="none"/>
                    </w:rPr>
                  </w:pPr>
                  <w:r>
                    <w:rPr>
                      <w:color w:val="auto"/>
                      <w:sz w:val="18"/>
                      <w:szCs w:val="18"/>
                      <w:highlight w:val="none"/>
                    </w:rPr>
                    <w:t>等效声级L</w:t>
                  </w:r>
                  <w:r>
                    <w:rPr>
                      <w:color w:val="auto"/>
                      <w:sz w:val="18"/>
                      <w:szCs w:val="18"/>
                      <w:highlight w:val="none"/>
                      <w:vertAlign w:val="subscript"/>
                    </w:rPr>
                    <w:t>eq</w:t>
                  </w:r>
                  <w:r>
                    <w:rPr>
                      <w:color w:val="auto"/>
                      <w:sz w:val="18"/>
                      <w:szCs w:val="18"/>
                      <w:highlight w:val="none"/>
                    </w:rPr>
                    <w:t>/dB(A)</w:t>
                  </w:r>
                </w:p>
              </w:tc>
            </w:tr>
            <w:tr w14:paraId="74113C9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23" w:hRule="atLeast"/>
                <w:jc w:val="center"/>
              </w:trPr>
              <w:tc>
                <w:tcPr>
                  <w:tcW w:w="1667" w:type="pct"/>
                  <w:vMerge w:val="continue"/>
                  <w:tcBorders>
                    <w:tl2br w:val="nil"/>
                    <w:tr2bl w:val="nil"/>
                  </w:tcBorders>
                  <w:vAlign w:val="center"/>
                </w:tcPr>
                <w:p w14:paraId="2B70605A">
                  <w:pPr>
                    <w:adjustRightInd w:val="0"/>
                    <w:snapToGrid w:val="0"/>
                    <w:jc w:val="center"/>
                    <w:rPr>
                      <w:color w:val="auto"/>
                      <w:sz w:val="18"/>
                      <w:szCs w:val="18"/>
                      <w:highlight w:val="none"/>
                    </w:rPr>
                  </w:pPr>
                </w:p>
              </w:tc>
              <w:tc>
                <w:tcPr>
                  <w:tcW w:w="1667" w:type="pct"/>
                  <w:tcBorders>
                    <w:tl2br w:val="nil"/>
                    <w:tr2bl w:val="nil"/>
                  </w:tcBorders>
                  <w:vAlign w:val="center"/>
                </w:tcPr>
                <w:p w14:paraId="4DB29220">
                  <w:pPr>
                    <w:pStyle w:val="14"/>
                    <w:adjustRightInd w:val="0"/>
                    <w:snapToGrid w:val="0"/>
                    <w:jc w:val="center"/>
                    <w:rPr>
                      <w:rFonts w:ascii="Times New Roman" w:hAnsi="Times New Roman" w:cs="Times New Roman"/>
                      <w:color w:val="auto"/>
                      <w:kern w:val="0"/>
                      <w:sz w:val="18"/>
                      <w:szCs w:val="18"/>
                      <w:highlight w:val="none"/>
                    </w:rPr>
                  </w:pPr>
                  <w:r>
                    <w:rPr>
                      <w:rFonts w:ascii="Times New Roman" w:hAnsi="Times New Roman" w:cs="Times New Roman"/>
                      <w:color w:val="auto"/>
                      <w:kern w:val="0"/>
                      <w:sz w:val="18"/>
                      <w:szCs w:val="18"/>
                      <w:highlight w:val="none"/>
                    </w:rPr>
                    <w:t>昼间</w:t>
                  </w:r>
                </w:p>
              </w:tc>
              <w:tc>
                <w:tcPr>
                  <w:tcW w:w="1665" w:type="pct"/>
                  <w:tcBorders>
                    <w:tl2br w:val="nil"/>
                    <w:tr2bl w:val="nil"/>
                  </w:tcBorders>
                  <w:vAlign w:val="center"/>
                </w:tcPr>
                <w:p w14:paraId="490D437F">
                  <w:pPr>
                    <w:pStyle w:val="14"/>
                    <w:adjustRightInd w:val="0"/>
                    <w:snapToGrid w:val="0"/>
                    <w:ind w:left="360" w:hanging="360"/>
                    <w:jc w:val="center"/>
                    <w:rPr>
                      <w:rFonts w:ascii="Times New Roman" w:hAnsi="Times New Roman" w:cs="Times New Roman"/>
                      <w:color w:val="auto"/>
                      <w:kern w:val="0"/>
                      <w:sz w:val="18"/>
                      <w:szCs w:val="18"/>
                      <w:highlight w:val="none"/>
                    </w:rPr>
                  </w:pPr>
                  <w:r>
                    <w:rPr>
                      <w:rFonts w:ascii="Times New Roman" w:hAnsi="Times New Roman" w:cs="Times New Roman"/>
                      <w:color w:val="auto"/>
                      <w:kern w:val="0"/>
                      <w:sz w:val="18"/>
                      <w:szCs w:val="18"/>
                      <w:highlight w:val="none"/>
                    </w:rPr>
                    <w:t>夜间</w:t>
                  </w:r>
                </w:p>
              </w:tc>
            </w:tr>
            <w:tr w14:paraId="78CF2C8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23" w:hRule="atLeast"/>
                <w:jc w:val="center"/>
              </w:trPr>
              <w:tc>
                <w:tcPr>
                  <w:tcW w:w="1667" w:type="pct"/>
                  <w:tcBorders>
                    <w:tl2br w:val="nil"/>
                    <w:tr2bl w:val="nil"/>
                  </w:tcBorders>
                  <w:vAlign w:val="center"/>
                </w:tcPr>
                <w:p w14:paraId="6B13F856">
                  <w:pPr>
                    <w:adjustRightInd w:val="0"/>
                    <w:snapToGrid w:val="0"/>
                    <w:jc w:val="center"/>
                    <w:rPr>
                      <w:color w:val="auto"/>
                      <w:sz w:val="18"/>
                      <w:szCs w:val="18"/>
                      <w:highlight w:val="none"/>
                    </w:rPr>
                  </w:pPr>
                  <w:r>
                    <w:rPr>
                      <w:color w:val="auto"/>
                      <w:sz w:val="18"/>
                      <w:szCs w:val="18"/>
                      <w:highlight w:val="none"/>
                    </w:rPr>
                    <w:t>3类</w:t>
                  </w:r>
                </w:p>
              </w:tc>
              <w:tc>
                <w:tcPr>
                  <w:tcW w:w="1667" w:type="pct"/>
                  <w:tcBorders>
                    <w:tl2br w:val="nil"/>
                    <w:tr2bl w:val="nil"/>
                  </w:tcBorders>
                  <w:vAlign w:val="center"/>
                </w:tcPr>
                <w:p w14:paraId="525B6BC5">
                  <w:pPr>
                    <w:adjustRightInd w:val="0"/>
                    <w:snapToGrid w:val="0"/>
                    <w:jc w:val="center"/>
                    <w:rPr>
                      <w:color w:val="auto"/>
                      <w:sz w:val="18"/>
                      <w:szCs w:val="18"/>
                      <w:highlight w:val="none"/>
                    </w:rPr>
                  </w:pPr>
                  <w:r>
                    <w:rPr>
                      <w:color w:val="auto"/>
                      <w:sz w:val="18"/>
                      <w:szCs w:val="18"/>
                      <w:highlight w:val="none"/>
                    </w:rPr>
                    <w:t>65</w:t>
                  </w:r>
                </w:p>
              </w:tc>
              <w:tc>
                <w:tcPr>
                  <w:tcW w:w="1665" w:type="pct"/>
                  <w:tcBorders>
                    <w:tl2br w:val="nil"/>
                    <w:tr2bl w:val="nil"/>
                  </w:tcBorders>
                  <w:vAlign w:val="center"/>
                </w:tcPr>
                <w:p w14:paraId="3595EE69">
                  <w:pPr>
                    <w:adjustRightInd w:val="0"/>
                    <w:snapToGrid w:val="0"/>
                    <w:jc w:val="center"/>
                    <w:rPr>
                      <w:color w:val="auto"/>
                      <w:sz w:val="18"/>
                      <w:szCs w:val="18"/>
                      <w:highlight w:val="none"/>
                    </w:rPr>
                  </w:pPr>
                  <w:r>
                    <w:rPr>
                      <w:color w:val="auto"/>
                      <w:sz w:val="18"/>
                      <w:szCs w:val="18"/>
                      <w:highlight w:val="none"/>
                    </w:rPr>
                    <w:t>55</w:t>
                  </w:r>
                </w:p>
              </w:tc>
            </w:tr>
          </w:tbl>
          <w:p w14:paraId="74E1585E">
            <w:pPr>
              <w:adjustRightInd w:val="0"/>
              <w:snapToGrid w:val="0"/>
              <w:spacing w:line="360" w:lineRule="auto"/>
              <w:rPr>
                <w:b/>
                <w:color w:val="auto"/>
                <w:highlight w:val="none"/>
              </w:rPr>
            </w:pPr>
          </w:p>
          <w:p w14:paraId="687DB897">
            <w:pPr>
              <w:adjustRightInd w:val="0"/>
              <w:snapToGrid w:val="0"/>
              <w:spacing w:line="360" w:lineRule="auto"/>
              <w:rPr>
                <w:b/>
                <w:color w:val="auto"/>
                <w:sz w:val="22"/>
                <w:szCs w:val="28"/>
                <w:highlight w:val="none"/>
              </w:rPr>
            </w:pPr>
            <w:r>
              <w:rPr>
                <w:b/>
                <w:color w:val="auto"/>
                <w:sz w:val="22"/>
                <w:szCs w:val="28"/>
                <w:highlight w:val="none"/>
              </w:rPr>
              <w:t>3.</w:t>
            </w:r>
            <w:r>
              <w:rPr>
                <w:rFonts w:hint="default"/>
                <w:b/>
                <w:color w:val="auto"/>
                <w:sz w:val="22"/>
                <w:szCs w:val="28"/>
                <w:highlight w:val="none"/>
              </w:rPr>
              <w:t>3.4</w:t>
            </w:r>
            <w:r>
              <w:rPr>
                <w:b/>
                <w:color w:val="auto"/>
                <w:sz w:val="22"/>
                <w:szCs w:val="28"/>
                <w:highlight w:val="none"/>
              </w:rPr>
              <w:t>固体废物控制标准</w:t>
            </w:r>
          </w:p>
          <w:p w14:paraId="31CEAEE2">
            <w:pPr>
              <w:spacing w:line="360" w:lineRule="auto"/>
              <w:ind w:firstLine="420" w:firstLineChars="200"/>
              <w:rPr>
                <w:color w:val="auto"/>
                <w:highlight w:val="none"/>
              </w:rPr>
            </w:pPr>
            <w:r>
              <w:rPr>
                <w:rFonts w:hint="default"/>
                <w:color w:val="auto"/>
                <w:highlight w:val="none"/>
              </w:rPr>
              <w:t>本项目一般工业固体废物采用库房储存，根据《一般工业固体废物贮存和填埋污染控制标准》</w:t>
            </w:r>
            <w:r>
              <w:rPr>
                <w:rFonts w:hint="eastAsia"/>
                <w:color w:val="auto"/>
                <w:highlight w:val="none"/>
                <w:lang w:val="en-US" w:eastAsia="zh-CN"/>
              </w:rPr>
              <w:t>(</w:t>
            </w:r>
            <w:r>
              <w:rPr>
                <w:rFonts w:hint="default"/>
                <w:color w:val="auto"/>
                <w:highlight w:val="none"/>
              </w:rPr>
              <w:t>GB18599-2020</w:t>
            </w:r>
            <w:r>
              <w:rPr>
                <w:rFonts w:hint="eastAsia"/>
                <w:color w:val="auto"/>
                <w:highlight w:val="none"/>
                <w:lang w:val="en-US" w:eastAsia="zh-CN"/>
              </w:rPr>
              <w:t>)</w:t>
            </w:r>
            <w:r>
              <w:rPr>
                <w:rFonts w:hint="default"/>
                <w:color w:val="auto"/>
                <w:highlight w:val="none"/>
              </w:rPr>
              <w:t>中适用范围可知，采用库房、包装工具（罐、桶、包装袋等）贮存一般工业固体废物过程的污染控制，不适用该标准，其贮存场所应满足防渗漏、防雨淋、防扬尘等环境保护要求，企业应按照《环境保护图形标志-固体废物贮存(处置场)(含2023修改单)》</w:t>
            </w:r>
            <w:r>
              <w:rPr>
                <w:rFonts w:hint="eastAsia"/>
                <w:color w:val="auto"/>
                <w:highlight w:val="none"/>
                <w:lang w:val="en-US" w:eastAsia="zh-CN"/>
              </w:rPr>
              <w:t>(</w:t>
            </w:r>
            <w:r>
              <w:rPr>
                <w:rFonts w:hint="default"/>
                <w:color w:val="auto"/>
                <w:highlight w:val="none"/>
              </w:rPr>
              <w:t>GB</w:t>
            </w:r>
            <w:r>
              <w:rPr>
                <w:rFonts w:hint="eastAsia"/>
                <w:color w:val="auto"/>
                <w:highlight w:val="none"/>
                <w:lang w:val="en-US" w:eastAsia="zh-CN"/>
              </w:rPr>
              <w:t xml:space="preserve"> </w:t>
            </w:r>
            <w:r>
              <w:rPr>
                <w:rFonts w:hint="default"/>
                <w:color w:val="auto"/>
                <w:highlight w:val="none"/>
              </w:rPr>
              <w:t>15562</w:t>
            </w:r>
            <w:r>
              <w:rPr>
                <w:rFonts w:hint="default"/>
                <w:color w:val="auto"/>
                <w:highlight w:val="none"/>
                <w:lang w:val="en-US" w:eastAsia="zh-CN"/>
              </w:rPr>
              <w:t>.</w:t>
            </w:r>
            <w:r>
              <w:rPr>
                <w:rFonts w:hint="default"/>
                <w:color w:val="auto"/>
                <w:highlight w:val="none"/>
              </w:rPr>
              <w:t>2-1995</w:t>
            </w:r>
            <w:r>
              <w:rPr>
                <w:rFonts w:hint="eastAsia"/>
                <w:color w:val="auto"/>
                <w:highlight w:val="none"/>
                <w:lang w:val="en-US" w:eastAsia="zh-CN"/>
              </w:rPr>
              <w:t>)</w:t>
            </w:r>
            <w:r>
              <w:rPr>
                <w:rFonts w:hint="default"/>
                <w:color w:val="auto"/>
                <w:highlight w:val="none"/>
              </w:rPr>
              <w:t>的要求标注一般固废贮存场所；危险废物的贮存执行《危险废物贮存污染控制标准》（GB18</w:t>
            </w:r>
            <w:r>
              <w:rPr>
                <w:rFonts w:hint="default"/>
                <w:color w:val="auto"/>
                <w:highlight w:val="none"/>
                <w:lang w:val="en-US" w:eastAsia="zh-CN"/>
              </w:rPr>
              <w:t>597</w:t>
            </w:r>
            <w:r>
              <w:rPr>
                <w:rFonts w:hint="default"/>
                <w:color w:val="auto"/>
                <w:highlight w:val="none"/>
              </w:rPr>
              <w:t>-2023）和《危险废物识别标志设置技术规范》</w:t>
            </w:r>
            <w:r>
              <w:rPr>
                <w:rFonts w:hint="eastAsia"/>
                <w:color w:val="auto"/>
                <w:highlight w:val="none"/>
                <w:lang w:val="en-US" w:eastAsia="zh-CN"/>
              </w:rPr>
              <w:t>(</w:t>
            </w:r>
            <w:r>
              <w:rPr>
                <w:rFonts w:hint="default"/>
                <w:color w:val="auto"/>
                <w:highlight w:val="none"/>
              </w:rPr>
              <w:t>HJ</w:t>
            </w:r>
            <w:r>
              <w:rPr>
                <w:rFonts w:hint="eastAsia"/>
                <w:color w:val="auto"/>
                <w:highlight w:val="none"/>
                <w:lang w:val="en-US" w:eastAsia="zh-CN"/>
              </w:rPr>
              <w:t xml:space="preserve"> </w:t>
            </w:r>
            <w:r>
              <w:rPr>
                <w:rFonts w:hint="default"/>
                <w:color w:val="auto"/>
                <w:highlight w:val="none"/>
              </w:rPr>
              <w:t>1276-2022</w:t>
            </w:r>
            <w:r>
              <w:rPr>
                <w:rFonts w:hint="eastAsia"/>
                <w:color w:val="auto"/>
                <w:highlight w:val="none"/>
                <w:lang w:val="en-US" w:eastAsia="zh-CN"/>
              </w:rPr>
              <w:t>)</w:t>
            </w:r>
            <w:r>
              <w:rPr>
                <w:rFonts w:hint="default"/>
                <w:color w:val="auto"/>
                <w:highlight w:val="none"/>
              </w:rPr>
              <w:t>。</w:t>
            </w:r>
          </w:p>
        </w:tc>
      </w:tr>
      <w:tr w14:paraId="58D834F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330" w:hRule="atLeast"/>
          <w:jc w:val="center"/>
        </w:trPr>
        <w:tc>
          <w:tcPr>
            <w:tcW w:w="800" w:type="dxa"/>
            <w:vAlign w:val="center"/>
          </w:tcPr>
          <w:p w14:paraId="763F5006">
            <w:pPr>
              <w:adjustRightInd w:val="0"/>
              <w:snapToGrid w:val="0"/>
              <w:jc w:val="center"/>
              <w:rPr>
                <w:color w:val="auto"/>
                <w:kern w:val="0"/>
                <w:szCs w:val="21"/>
                <w:highlight w:val="none"/>
              </w:rPr>
            </w:pPr>
            <w:r>
              <w:rPr>
                <w:color w:val="auto"/>
                <w:kern w:val="0"/>
                <w:szCs w:val="21"/>
                <w:highlight w:val="none"/>
              </w:rPr>
              <w:t>总量</w:t>
            </w:r>
          </w:p>
          <w:p w14:paraId="75EDEA64">
            <w:pPr>
              <w:adjustRightInd w:val="0"/>
              <w:snapToGrid w:val="0"/>
              <w:jc w:val="center"/>
              <w:rPr>
                <w:color w:val="auto"/>
                <w:kern w:val="0"/>
                <w:szCs w:val="21"/>
                <w:highlight w:val="none"/>
              </w:rPr>
            </w:pPr>
            <w:r>
              <w:rPr>
                <w:color w:val="auto"/>
                <w:kern w:val="0"/>
                <w:szCs w:val="21"/>
                <w:highlight w:val="none"/>
              </w:rPr>
              <w:t>控制</w:t>
            </w:r>
          </w:p>
          <w:p w14:paraId="4345F40A">
            <w:pPr>
              <w:adjustRightInd w:val="0"/>
              <w:snapToGrid w:val="0"/>
              <w:jc w:val="center"/>
              <w:rPr>
                <w:color w:val="auto"/>
                <w:kern w:val="0"/>
                <w:szCs w:val="21"/>
                <w:highlight w:val="none"/>
              </w:rPr>
            </w:pPr>
            <w:r>
              <w:rPr>
                <w:color w:val="auto"/>
                <w:kern w:val="0"/>
                <w:szCs w:val="21"/>
                <w:highlight w:val="none"/>
              </w:rPr>
              <w:t>指标</w:t>
            </w:r>
          </w:p>
        </w:tc>
        <w:tc>
          <w:tcPr>
            <w:tcW w:w="8190" w:type="dxa"/>
            <w:vAlign w:val="center"/>
          </w:tcPr>
          <w:p w14:paraId="752322CC">
            <w:pPr>
              <w:adjustRightInd w:val="0"/>
              <w:snapToGrid w:val="0"/>
              <w:spacing w:line="360" w:lineRule="auto"/>
              <w:rPr>
                <w:b/>
                <w:color w:val="auto"/>
                <w:highlight w:val="none"/>
              </w:rPr>
            </w:pPr>
            <w:r>
              <w:rPr>
                <w:rFonts w:hint="default"/>
                <w:b/>
                <w:color w:val="auto"/>
                <w:highlight w:val="none"/>
              </w:rPr>
              <w:t>3.4 总量控制</w:t>
            </w:r>
          </w:p>
          <w:p w14:paraId="6DB00B42">
            <w:pPr>
              <w:adjustRightInd w:val="0"/>
              <w:snapToGrid w:val="0"/>
              <w:spacing w:line="360" w:lineRule="auto"/>
              <w:rPr>
                <w:b/>
                <w:color w:val="auto"/>
                <w:highlight w:val="none"/>
              </w:rPr>
            </w:pPr>
            <w:r>
              <w:rPr>
                <w:b/>
                <w:color w:val="auto"/>
                <w:highlight w:val="none"/>
              </w:rPr>
              <w:t>3</w:t>
            </w:r>
            <w:r>
              <w:rPr>
                <w:rFonts w:hint="default"/>
                <w:b/>
                <w:color w:val="auto"/>
                <w:highlight w:val="none"/>
              </w:rPr>
              <w:t xml:space="preserve">.4.1 </w:t>
            </w:r>
            <w:r>
              <w:rPr>
                <w:b/>
                <w:color w:val="auto"/>
                <w:highlight w:val="none"/>
              </w:rPr>
              <w:t>总量控制指标</w:t>
            </w:r>
          </w:p>
          <w:p w14:paraId="15ACC4D6">
            <w:pPr>
              <w:adjustRightInd w:val="0"/>
              <w:snapToGrid w:val="0"/>
              <w:spacing w:line="360" w:lineRule="auto"/>
              <w:ind w:firstLine="420" w:firstLineChars="200"/>
              <w:rPr>
                <w:color w:val="auto"/>
                <w:highlight w:val="none"/>
              </w:rPr>
            </w:pPr>
            <w:r>
              <w:rPr>
                <w:color w:val="auto"/>
                <w:highlight w:val="none"/>
              </w:rPr>
              <w:t>根据现行的环保管理要求，污染物排放总量控制仍是我国现阶段强有力的环保管理措施，主要总量控制指标为：二氧化硫（SO</w:t>
            </w:r>
            <w:r>
              <w:rPr>
                <w:color w:val="auto"/>
                <w:highlight w:val="none"/>
                <w:vertAlign w:val="subscript"/>
              </w:rPr>
              <w:t>2</w:t>
            </w:r>
            <w:r>
              <w:rPr>
                <w:color w:val="auto"/>
                <w:highlight w:val="none"/>
              </w:rPr>
              <w:t>）、化学需氧量（COD）、氨氮（NH</w:t>
            </w:r>
            <w:r>
              <w:rPr>
                <w:color w:val="auto"/>
                <w:highlight w:val="none"/>
                <w:vertAlign w:val="subscript"/>
              </w:rPr>
              <w:t>3</w:t>
            </w:r>
            <w:r>
              <w:rPr>
                <w:color w:val="auto"/>
                <w:highlight w:val="none"/>
              </w:rPr>
              <w:t>-N）和氮氧化物（NOx）及工业烟粉尘、重金属、挥发性有机物（VOCs）。</w:t>
            </w:r>
          </w:p>
          <w:p w14:paraId="200801E9">
            <w:pPr>
              <w:adjustRightInd w:val="0"/>
              <w:snapToGrid w:val="0"/>
              <w:spacing w:line="360" w:lineRule="auto"/>
              <w:ind w:firstLine="420" w:firstLineChars="200"/>
              <w:rPr>
                <w:color w:val="auto"/>
                <w:highlight w:val="none"/>
              </w:rPr>
            </w:pPr>
            <w:r>
              <w:rPr>
                <w:color w:val="auto"/>
                <w:highlight w:val="none"/>
              </w:rPr>
              <w:t>根据</w:t>
            </w:r>
            <w:r>
              <w:rPr>
                <w:rFonts w:hint="default"/>
                <w:color w:val="auto"/>
                <w:highlight w:val="none"/>
                <w:lang w:val="en-US" w:eastAsia="zh-CN"/>
              </w:rPr>
              <w:t>文件要求及</w:t>
            </w:r>
            <w:r>
              <w:rPr>
                <w:color w:val="auto"/>
                <w:highlight w:val="none"/>
              </w:rPr>
              <w:t>工程分析，本项目总量控制指标为化学需氧量、氨氮</w:t>
            </w:r>
            <w:r>
              <w:rPr>
                <w:rFonts w:hint="default"/>
                <w:color w:val="auto"/>
                <w:highlight w:val="none"/>
              </w:rPr>
              <w:t>、</w:t>
            </w:r>
            <w:r>
              <w:rPr>
                <w:rFonts w:hint="default"/>
                <w:color w:val="auto"/>
                <w:highlight w:val="none"/>
                <w:lang w:val="en-US" w:eastAsia="zh-CN"/>
              </w:rPr>
              <w:t>烟粉尘、</w:t>
            </w:r>
            <w:r>
              <w:rPr>
                <w:color w:val="auto"/>
                <w:highlight w:val="none"/>
              </w:rPr>
              <w:t>VOCs。</w:t>
            </w:r>
          </w:p>
          <w:p w14:paraId="236BA85E">
            <w:pPr>
              <w:adjustRightInd w:val="0"/>
              <w:snapToGrid w:val="0"/>
              <w:spacing w:line="360" w:lineRule="auto"/>
              <w:rPr>
                <w:b/>
                <w:color w:val="auto"/>
                <w:highlight w:val="none"/>
              </w:rPr>
            </w:pPr>
            <w:r>
              <w:rPr>
                <w:rFonts w:hint="default"/>
                <w:b/>
                <w:color w:val="auto"/>
                <w:highlight w:val="none"/>
              </w:rPr>
              <w:t>3.4.2</w:t>
            </w:r>
            <w:r>
              <w:rPr>
                <w:rFonts w:hint="default"/>
                <w:b/>
                <w:color w:val="auto"/>
                <w:highlight w:val="none"/>
                <w:lang w:val="en-US" w:eastAsia="zh-CN"/>
              </w:rPr>
              <w:t xml:space="preserve"> </w:t>
            </w:r>
            <w:r>
              <w:rPr>
                <w:rFonts w:hint="default"/>
                <w:b/>
                <w:color w:val="auto"/>
                <w:highlight w:val="none"/>
              </w:rPr>
              <w:t xml:space="preserve"> </w:t>
            </w:r>
            <w:r>
              <w:rPr>
                <w:b/>
                <w:color w:val="auto"/>
                <w:highlight w:val="none"/>
              </w:rPr>
              <w:t>总量平衡方案</w:t>
            </w:r>
          </w:p>
          <w:p w14:paraId="58AF7DCA">
            <w:pPr>
              <w:spacing w:line="360" w:lineRule="auto"/>
              <w:ind w:firstLine="420" w:firstLineChars="200"/>
              <w:rPr>
                <w:rFonts w:hint="default"/>
                <w:color w:val="auto"/>
                <w:highlight w:val="none"/>
              </w:rPr>
            </w:pPr>
            <w:r>
              <w:rPr>
                <w:rFonts w:hint="default"/>
                <w:bCs/>
                <w:color w:val="auto"/>
                <w:highlight w:val="none"/>
              </w:rPr>
              <w:t>根据《关于印发&lt;重点区域大气污染防治“十二五”规划&gt;的通知》(环发[2012]130号)，新建排放二氧化硫、氮氧化物、工业烟粉尘、挥发性有机物的项目实行污染物排放减量替代，实现增产减污；对于重点控制区和大气环境质量超标城市，新建项目实行区域内现役源2倍削减量替代。</w:t>
            </w:r>
            <w:r>
              <w:rPr>
                <w:rFonts w:hint="default"/>
                <w:color w:val="auto"/>
                <w:highlight w:val="none"/>
              </w:rPr>
              <w:t>根据《关于印发&lt;杭州市建设项目和排污权交易总量审核管理暂行规定&gt;的通知》(杭环发[2015]143号)，本项目属于研发项目，不需要进行总量调剂。因此本项目实施后，企业全厂污染物排放总量详见表</w:t>
            </w:r>
            <w:r>
              <w:rPr>
                <w:rFonts w:hint="default"/>
                <w:color w:val="auto"/>
                <w:highlight w:val="none"/>
                <w:lang w:val="en-US" w:eastAsia="zh-CN"/>
              </w:rPr>
              <w:t>3-</w:t>
            </w:r>
            <w:r>
              <w:rPr>
                <w:rFonts w:hint="eastAsia"/>
                <w:color w:val="auto"/>
                <w:highlight w:val="none"/>
                <w:lang w:val="en-US" w:eastAsia="zh-CN"/>
              </w:rPr>
              <w:t>10</w:t>
            </w:r>
            <w:r>
              <w:rPr>
                <w:rFonts w:hint="default"/>
                <w:color w:val="auto"/>
                <w:highlight w:val="none"/>
              </w:rPr>
              <w:t>。</w:t>
            </w:r>
          </w:p>
          <w:p w14:paraId="05C708A7">
            <w:pPr>
              <w:spacing w:line="360" w:lineRule="auto"/>
              <w:ind w:firstLine="420" w:firstLineChars="200"/>
              <w:rPr>
                <w:rFonts w:hint="default"/>
                <w:color w:val="auto"/>
                <w:highlight w:val="none"/>
              </w:rPr>
            </w:pPr>
          </w:p>
          <w:p w14:paraId="38AB1EF0">
            <w:pPr>
              <w:spacing w:line="360" w:lineRule="auto"/>
              <w:ind w:firstLine="420" w:firstLineChars="200"/>
              <w:rPr>
                <w:rFonts w:hint="default"/>
                <w:color w:val="auto"/>
                <w:highlight w:val="none"/>
              </w:rPr>
            </w:pPr>
          </w:p>
          <w:p w14:paraId="172DFAF7">
            <w:pPr>
              <w:spacing w:line="360" w:lineRule="auto"/>
              <w:ind w:firstLine="420" w:firstLineChars="200"/>
              <w:rPr>
                <w:rFonts w:hint="default"/>
                <w:color w:val="auto"/>
                <w:highlight w:val="none"/>
              </w:rPr>
            </w:pPr>
          </w:p>
          <w:p w14:paraId="7B683199">
            <w:pPr>
              <w:pStyle w:val="14"/>
              <w:widowControl/>
              <w:numPr>
                <w:ilvl w:val="0"/>
                <w:numId w:val="4"/>
              </w:numPr>
              <w:tabs>
                <w:tab w:val="left" w:pos="4515"/>
                <w:tab w:val="left" w:pos="5883"/>
                <w:tab w:val="left" w:pos="8718"/>
              </w:tabs>
              <w:adjustRightInd w:val="0"/>
              <w:snapToGrid w:val="0"/>
              <w:spacing w:line="360" w:lineRule="auto"/>
              <w:jc w:val="center"/>
              <w:rPr>
                <w:rFonts w:hint="default" w:ascii="Times New Roman" w:hAnsi="Times New Roman" w:eastAsia="黑体" w:cs="Times New Roman"/>
                <w:b w:val="0"/>
                <w:bCs/>
                <w:color w:val="auto"/>
                <w:highlight w:val="none"/>
                <w:lang w:val="zh-CN"/>
              </w:rPr>
            </w:pPr>
            <w:r>
              <w:rPr>
                <w:rFonts w:hint="default" w:ascii="Times New Roman" w:hAnsi="Times New Roman" w:eastAsia="黑体" w:cs="Times New Roman"/>
                <w:b w:val="0"/>
                <w:bCs/>
                <w:color w:val="auto"/>
                <w:highlight w:val="none"/>
                <w:lang w:val="zh-CN"/>
              </w:rPr>
              <w:t>项目实施后全厂污染物排放总量情况表  单位：</w:t>
            </w:r>
            <w:r>
              <w:rPr>
                <w:rFonts w:hint="eastAsia" w:ascii="Times New Roman" w:hAnsi="Times New Roman" w:eastAsia="黑体" w:cs="Times New Roman"/>
                <w:b w:val="0"/>
                <w:bCs/>
                <w:color w:val="auto"/>
                <w:highlight w:val="none"/>
                <w:lang w:val="en-US" w:eastAsia="zh-CN"/>
              </w:rPr>
              <w:t>t/a</w:t>
            </w:r>
          </w:p>
          <w:tbl>
            <w:tblPr>
              <w:tblStyle w:val="24"/>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28" w:type="dxa"/>
                <w:bottom w:w="0" w:type="dxa"/>
                <w:right w:w="28" w:type="dxa"/>
              </w:tblCellMar>
            </w:tblPr>
            <w:tblGrid>
              <w:gridCol w:w="832"/>
              <w:gridCol w:w="1289"/>
              <w:gridCol w:w="1715"/>
              <w:gridCol w:w="980"/>
              <w:gridCol w:w="1591"/>
              <w:gridCol w:w="1747"/>
            </w:tblGrid>
            <w:tr w14:paraId="5C2F414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28" w:hRule="atLeast"/>
                <w:tblHeader/>
                <w:jc w:val="center"/>
              </w:trPr>
              <w:tc>
                <w:tcPr>
                  <w:tcW w:w="510" w:type="pct"/>
                  <w:tcBorders>
                    <w:tl2br w:val="nil"/>
                    <w:tr2bl w:val="nil"/>
                  </w:tcBorders>
                  <w:vAlign w:val="center"/>
                </w:tcPr>
                <w:p w14:paraId="03A96CC0">
                  <w:pPr>
                    <w:jc w:val="center"/>
                    <w:rPr>
                      <w:color w:val="auto"/>
                      <w:sz w:val="18"/>
                      <w:szCs w:val="18"/>
                      <w:highlight w:val="none"/>
                    </w:rPr>
                  </w:pPr>
                  <w:r>
                    <w:rPr>
                      <w:color w:val="auto"/>
                      <w:sz w:val="18"/>
                      <w:szCs w:val="18"/>
                      <w:highlight w:val="none"/>
                    </w:rPr>
                    <w:t>类别</w:t>
                  </w:r>
                </w:p>
              </w:tc>
              <w:tc>
                <w:tcPr>
                  <w:tcW w:w="790" w:type="pct"/>
                  <w:tcBorders>
                    <w:tl2br w:val="nil"/>
                    <w:tr2bl w:val="nil"/>
                  </w:tcBorders>
                  <w:vAlign w:val="center"/>
                </w:tcPr>
                <w:p w14:paraId="172D702C">
                  <w:pPr>
                    <w:jc w:val="center"/>
                    <w:rPr>
                      <w:color w:val="auto"/>
                      <w:sz w:val="18"/>
                      <w:szCs w:val="18"/>
                      <w:highlight w:val="none"/>
                    </w:rPr>
                  </w:pPr>
                  <w:r>
                    <w:rPr>
                      <w:color w:val="auto"/>
                      <w:sz w:val="18"/>
                      <w:szCs w:val="18"/>
                      <w:highlight w:val="none"/>
                    </w:rPr>
                    <w:t>污染物</w:t>
                  </w:r>
                </w:p>
              </w:tc>
              <w:tc>
                <w:tcPr>
                  <w:tcW w:w="1051" w:type="pct"/>
                  <w:tcBorders>
                    <w:tl2br w:val="nil"/>
                    <w:tr2bl w:val="nil"/>
                  </w:tcBorders>
                  <w:vAlign w:val="center"/>
                </w:tcPr>
                <w:p w14:paraId="623D58BF">
                  <w:pPr>
                    <w:jc w:val="center"/>
                    <w:rPr>
                      <w:color w:val="auto"/>
                      <w:sz w:val="18"/>
                      <w:szCs w:val="18"/>
                      <w:highlight w:val="none"/>
                    </w:rPr>
                  </w:pPr>
                  <w:r>
                    <w:rPr>
                      <w:rFonts w:hint="default"/>
                      <w:color w:val="auto"/>
                      <w:sz w:val="18"/>
                      <w:szCs w:val="18"/>
                      <w:highlight w:val="none"/>
                    </w:rPr>
                    <w:t>本项目</w:t>
                  </w:r>
                  <w:r>
                    <w:rPr>
                      <w:rFonts w:hint="eastAsia"/>
                      <w:color w:val="auto"/>
                      <w:sz w:val="18"/>
                      <w:szCs w:val="18"/>
                      <w:highlight w:val="none"/>
                      <w:lang w:val="en-US" w:eastAsia="zh-CN"/>
                    </w:rPr>
                    <w:t>排放</w:t>
                  </w:r>
                  <w:r>
                    <w:rPr>
                      <w:rFonts w:hint="default"/>
                      <w:color w:val="auto"/>
                      <w:sz w:val="18"/>
                      <w:szCs w:val="18"/>
                      <w:highlight w:val="none"/>
                    </w:rPr>
                    <w:t>量</w:t>
                  </w:r>
                </w:p>
              </w:tc>
              <w:tc>
                <w:tcPr>
                  <w:tcW w:w="601" w:type="pct"/>
                  <w:tcBorders>
                    <w:tl2br w:val="nil"/>
                    <w:tr2bl w:val="nil"/>
                  </w:tcBorders>
                  <w:vAlign w:val="center"/>
                </w:tcPr>
                <w:p w14:paraId="1B392C9B">
                  <w:pPr>
                    <w:jc w:val="center"/>
                    <w:rPr>
                      <w:color w:val="auto"/>
                      <w:sz w:val="18"/>
                      <w:szCs w:val="18"/>
                      <w:highlight w:val="none"/>
                    </w:rPr>
                  </w:pPr>
                  <w:r>
                    <w:rPr>
                      <w:rFonts w:hint="eastAsia"/>
                      <w:color w:val="auto"/>
                      <w:sz w:val="18"/>
                      <w:szCs w:val="18"/>
                      <w:highlight w:val="none"/>
                      <w:lang w:val="en-US" w:eastAsia="zh-CN"/>
                    </w:rPr>
                    <w:t>现有项目审批量</w:t>
                  </w:r>
                </w:p>
              </w:tc>
              <w:tc>
                <w:tcPr>
                  <w:tcW w:w="975" w:type="pct"/>
                  <w:tcBorders>
                    <w:tl2br w:val="nil"/>
                    <w:tr2bl w:val="nil"/>
                  </w:tcBorders>
                  <w:vAlign w:val="center"/>
                </w:tcPr>
                <w:p w14:paraId="02240713">
                  <w:pPr>
                    <w:jc w:val="center"/>
                    <w:rPr>
                      <w:color w:val="auto"/>
                      <w:sz w:val="18"/>
                      <w:szCs w:val="18"/>
                      <w:highlight w:val="none"/>
                    </w:rPr>
                  </w:pPr>
                  <w:r>
                    <w:rPr>
                      <w:color w:val="auto"/>
                      <w:sz w:val="18"/>
                      <w:szCs w:val="18"/>
                      <w:highlight w:val="none"/>
                    </w:rPr>
                    <w:t>本项目建成后全厂排放量</w:t>
                  </w:r>
                </w:p>
              </w:tc>
              <w:tc>
                <w:tcPr>
                  <w:tcW w:w="1071" w:type="pct"/>
                  <w:tcBorders>
                    <w:tl2br w:val="nil"/>
                    <w:tr2bl w:val="nil"/>
                  </w:tcBorders>
                  <w:vAlign w:val="center"/>
                </w:tcPr>
                <w:p w14:paraId="5AA77E00">
                  <w:pPr>
                    <w:jc w:val="center"/>
                    <w:rPr>
                      <w:color w:val="auto"/>
                      <w:sz w:val="18"/>
                      <w:szCs w:val="18"/>
                      <w:highlight w:val="none"/>
                    </w:rPr>
                  </w:pPr>
                  <w:r>
                    <w:rPr>
                      <w:color w:val="auto"/>
                      <w:sz w:val="18"/>
                      <w:szCs w:val="18"/>
                      <w:highlight w:val="none"/>
                    </w:rPr>
                    <w:t>全厂总量控制建议值</w:t>
                  </w:r>
                </w:p>
              </w:tc>
            </w:tr>
            <w:tr w14:paraId="355AF4F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28" w:hRule="atLeast"/>
                <w:jc w:val="center"/>
              </w:trPr>
              <w:tc>
                <w:tcPr>
                  <w:tcW w:w="510" w:type="pct"/>
                  <w:vMerge w:val="restart"/>
                  <w:tcBorders>
                    <w:tl2br w:val="nil"/>
                    <w:tr2bl w:val="nil"/>
                  </w:tcBorders>
                  <w:vAlign w:val="center"/>
                </w:tcPr>
                <w:p w14:paraId="3A5CAF29">
                  <w:pPr>
                    <w:jc w:val="center"/>
                    <w:rPr>
                      <w:color w:val="auto"/>
                      <w:sz w:val="18"/>
                      <w:szCs w:val="18"/>
                      <w:highlight w:val="none"/>
                    </w:rPr>
                  </w:pPr>
                  <w:r>
                    <w:rPr>
                      <w:color w:val="auto"/>
                      <w:sz w:val="18"/>
                      <w:szCs w:val="18"/>
                      <w:highlight w:val="none"/>
                    </w:rPr>
                    <w:t>废水</w:t>
                  </w:r>
                </w:p>
              </w:tc>
              <w:tc>
                <w:tcPr>
                  <w:tcW w:w="790" w:type="pct"/>
                  <w:tcBorders>
                    <w:tl2br w:val="nil"/>
                    <w:tr2bl w:val="nil"/>
                  </w:tcBorders>
                  <w:vAlign w:val="center"/>
                </w:tcPr>
                <w:p w14:paraId="3BB676DC">
                  <w:pPr>
                    <w:jc w:val="center"/>
                    <w:rPr>
                      <w:rFonts w:hint="default" w:eastAsia="宋体"/>
                      <w:color w:val="auto"/>
                      <w:sz w:val="18"/>
                      <w:szCs w:val="18"/>
                      <w:highlight w:val="none"/>
                      <w:lang w:val="en-US" w:eastAsia="zh-CN"/>
                    </w:rPr>
                  </w:pPr>
                  <w:r>
                    <w:rPr>
                      <w:color w:val="auto"/>
                      <w:sz w:val="18"/>
                      <w:szCs w:val="18"/>
                      <w:highlight w:val="none"/>
                    </w:rPr>
                    <w:t>废水量</w:t>
                  </w:r>
                </w:p>
              </w:tc>
              <w:tc>
                <w:tcPr>
                  <w:tcW w:w="1051" w:type="pct"/>
                  <w:tcBorders>
                    <w:tl2br w:val="nil"/>
                    <w:tr2bl w:val="nil"/>
                  </w:tcBorders>
                  <w:vAlign w:val="center"/>
                </w:tcPr>
                <w:p w14:paraId="53CBC63D">
                  <w:pPr>
                    <w:widowControl/>
                    <w:jc w:val="center"/>
                    <w:rPr>
                      <w:rFonts w:hint="default" w:eastAsia="宋体"/>
                      <w:color w:val="auto"/>
                      <w:sz w:val="18"/>
                      <w:szCs w:val="18"/>
                      <w:highlight w:val="none"/>
                      <w:lang w:val="en-US" w:eastAsia="zh-CN"/>
                    </w:rPr>
                  </w:pPr>
                  <w:r>
                    <w:rPr>
                      <w:rFonts w:hint="eastAsia"/>
                      <w:color w:val="auto"/>
                      <w:kern w:val="0"/>
                      <w:sz w:val="18"/>
                      <w:szCs w:val="18"/>
                      <w:highlight w:val="none"/>
                      <w:lang w:val="en-US" w:eastAsia="zh-CN"/>
                    </w:rPr>
                    <w:t>199</w:t>
                  </w:r>
                </w:p>
              </w:tc>
              <w:tc>
                <w:tcPr>
                  <w:tcW w:w="601" w:type="pct"/>
                  <w:tcBorders>
                    <w:tl2br w:val="nil"/>
                    <w:tr2bl w:val="nil"/>
                  </w:tcBorders>
                  <w:vAlign w:val="center"/>
                </w:tcPr>
                <w:p w14:paraId="0BFAB914">
                  <w:pPr>
                    <w:widowControl/>
                    <w:jc w:val="center"/>
                    <w:rPr>
                      <w:color w:val="auto"/>
                      <w:kern w:val="0"/>
                      <w:sz w:val="18"/>
                      <w:szCs w:val="18"/>
                      <w:highlight w:val="none"/>
                    </w:rPr>
                  </w:pPr>
                  <w:r>
                    <w:rPr>
                      <w:color w:val="auto"/>
                      <w:kern w:val="0"/>
                      <w:sz w:val="18"/>
                      <w:szCs w:val="18"/>
                      <w:highlight w:val="none"/>
                    </w:rPr>
                    <w:t>0</w:t>
                  </w:r>
                </w:p>
              </w:tc>
              <w:tc>
                <w:tcPr>
                  <w:tcW w:w="975" w:type="pct"/>
                  <w:tcBorders>
                    <w:tl2br w:val="nil"/>
                    <w:tr2bl w:val="nil"/>
                  </w:tcBorders>
                  <w:vAlign w:val="center"/>
                </w:tcPr>
                <w:p w14:paraId="7948EB33">
                  <w:pPr>
                    <w:widowControl/>
                    <w:jc w:val="center"/>
                    <w:rPr>
                      <w:rFonts w:hint="default" w:eastAsia="宋体"/>
                      <w:color w:val="auto"/>
                      <w:kern w:val="0"/>
                      <w:sz w:val="18"/>
                      <w:szCs w:val="18"/>
                      <w:highlight w:val="none"/>
                      <w:lang w:val="en-US" w:eastAsia="zh-CN"/>
                    </w:rPr>
                  </w:pPr>
                  <w:r>
                    <w:rPr>
                      <w:rFonts w:hint="eastAsia"/>
                      <w:color w:val="auto"/>
                      <w:kern w:val="0"/>
                      <w:sz w:val="18"/>
                      <w:szCs w:val="18"/>
                      <w:highlight w:val="none"/>
                      <w:lang w:val="en-US" w:eastAsia="zh-CN"/>
                    </w:rPr>
                    <w:t>199</w:t>
                  </w:r>
                </w:p>
              </w:tc>
              <w:tc>
                <w:tcPr>
                  <w:tcW w:w="1071" w:type="pct"/>
                  <w:tcBorders>
                    <w:tl2br w:val="nil"/>
                    <w:tr2bl w:val="nil"/>
                  </w:tcBorders>
                  <w:vAlign w:val="center"/>
                </w:tcPr>
                <w:p w14:paraId="2E90D0E4">
                  <w:pPr>
                    <w:widowControl/>
                    <w:jc w:val="center"/>
                    <w:rPr>
                      <w:rFonts w:hint="default" w:eastAsia="宋体"/>
                      <w:color w:val="auto"/>
                      <w:kern w:val="0"/>
                      <w:sz w:val="18"/>
                      <w:szCs w:val="18"/>
                      <w:highlight w:val="none"/>
                      <w:lang w:val="en-US" w:eastAsia="zh-CN"/>
                    </w:rPr>
                  </w:pPr>
                  <w:r>
                    <w:rPr>
                      <w:rFonts w:hint="eastAsia"/>
                      <w:color w:val="auto"/>
                      <w:kern w:val="0"/>
                      <w:sz w:val="18"/>
                      <w:szCs w:val="18"/>
                      <w:highlight w:val="none"/>
                      <w:lang w:val="en-US" w:eastAsia="zh-CN"/>
                    </w:rPr>
                    <w:t>199</w:t>
                  </w:r>
                </w:p>
              </w:tc>
            </w:tr>
            <w:tr w14:paraId="404540E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28" w:hRule="atLeast"/>
                <w:jc w:val="center"/>
              </w:trPr>
              <w:tc>
                <w:tcPr>
                  <w:tcW w:w="510" w:type="pct"/>
                  <w:vMerge w:val="continue"/>
                  <w:tcBorders>
                    <w:tl2br w:val="nil"/>
                    <w:tr2bl w:val="nil"/>
                  </w:tcBorders>
                  <w:vAlign w:val="center"/>
                </w:tcPr>
                <w:p w14:paraId="4F182AA7">
                  <w:pPr>
                    <w:jc w:val="center"/>
                    <w:rPr>
                      <w:color w:val="auto"/>
                      <w:sz w:val="18"/>
                      <w:szCs w:val="18"/>
                      <w:highlight w:val="none"/>
                    </w:rPr>
                  </w:pPr>
                </w:p>
              </w:tc>
              <w:tc>
                <w:tcPr>
                  <w:tcW w:w="790" w:type="pct"/>
                  <w:tcBorders>
                    <w:tl2br w:val="nil"/>
                    <w:tr2bl w:val="nil"/>
                  </w:tcBorders>
                  <w:vAlign w:val="center"/>
                </w:tcPr>
                <w:p w14:paraId="521146CC">
                  <w:pPr>
                    <w:jc w:val="center"/>
                    <w:rPr>
                      <w:rFonts w:hint="default" w:eastAsia="宋体"/>
                      <w:color w:val="auto"/>
                      <w:sz w:val="18"/>
                      <w:szCs w:val="18"/>
                      <w:highlight w:val="none"/>
                      <w:lang w:val="en-US" w:eastAsia="zh-CN"/>
                    </w:rPr>
                  </w:pPr>
                  <w:r>
                    <w:rPr>
                      <w:color w:val="auto"/>
                      <w:sz w:val="18"/>
                      <w:szCs w:val="18"/>
                      <w:highlight w:val="none"/>
                    </w:rPr>
                    <w:t>COD</w:t>
                  </w:r>
                  <w:r>
                    <w:rPr>
                      <w:color w:val="auto"/>
                      <w:sz w:val="18"/>
                      <w:szCs w:val="18"/>
                      <w:highlight w:val="none"/>
                      <w:vertAlign w:val="subscript"/>
                    </w:rPr>
                    <w:t>Cr</w:t>
                  </w:r>
                  <w:r>
                    <w:rPr>
                      <w:rFonts w:hint="default"/>
                      <w:color w:val="auto"/>
                      <w:sz w:val="18"/>
                      <w:szCs w:val="18"/>
                      <w:highlight w:val="none"/>
                      <w:vertAlign w:val="subscript"/>
                      <w:lang w:val="en-US" w:eastAsia="zh-CN"/>
                    </w:rPr>
                    <w:t xml:space="preserve"> </w:t>
                  </w:r>
                </w:p>
              </w:tc>
              <w:tc>
                <w:tcPr>
                  <w:tcW w:w="1051" w:type="pct"/>
                  <w:tcBorders>
                    <w:tl2br w:val="nil"/>
                    <w:tr2bl w:val="nil"/>
                  </w:tcBorders>
                  <w:vAlign w:val="center"/>
                </w:tcPr>
                <w:p w14:paraId="6C7616DF">
                  <w:pPr>
                    <w:widowControl/>
                    <w:jc w:val="center"/>
                    <w:rPr>
                      <w:rFonts w:hint="default" w:eastAsia="宋体"/>
                      <w:color w:val="auto"/>
                      <w:sz w:val="18"/>
                      <w:szCs w:val="18"/>
                      <w:highlight w:val="none"/>
                      <w:lang w:val="en-US" w:eastAsia="zh-CN"/>
                    </w:rPr>
                  </w:pPr>
                  <w:r>
                    <w:rPr>
                      <w:rFonts w:hint="eastAsia"/>
                      <w:color w:val="auto"/>
                      <w:kern w:val="0"/>
                      <w:sz w:val="18"/>
                      <w:szCs w:val="18"/>
                      <w:highlight w:val="none"/>
                      <w:lang w:val="en-US" w:eastAsia="zh-CN"/>
                    </w:rPr>
                    <w:t>0.008</w:t>
                  </w:r>
                </w:p>
              </w:tc>
              <w:tc>
                <w:tcPr>
                  <w:tcW w:w="601" w:type="pct"/>
                  <w:tcBorders>
                    <w:tl2br w:val="nil"/>
                    <w:tr2bl w:val="nil"/>
                  </w:tcBorders>
                  <w:vAlign w:val="center"/>
                </w:tcPr>
                <w:p w14:paraId="01F7EFC3">
                  <w:pPr>
                    <w:widowControl/>
                    <w:jc w:val="center"/>
                    <w:rPr>
                      <w:rFonts w:hint="default" w:eastAsia="宋体"/>
                      <w:color w:val="auto"/>
                      <w:sz w:val="18"/>
                      <w:szCs w:val="18"/>
                      <w:highlight w:val="none"/>
                      <w:lang w:eastAsia="zh-CN"/>
                    </w:rPr>
                  </w:pPr>
                  <w:r>
                    <w:rPr>
                      <w:rFonts w:hint="default"/>
                      <w:color w:val="auto"/>
                      <w:kern w:val="0"/>
                      <w:sz w:val="18"/>
                      <w:szCs w:val="18"/>
                      <w:highlight w:val="none"/>
                      <w:lang w:val="en-US" w:eastAsia="zh-CN"/>
                    </w:rPr>
                    <w:t>0</w:t>
                  </w:r>
                </w:p>
              </w:tc>
              <w:tc>
                <w:tcPr>
                  <w:tcW w:w="975" w:type="pct"/>
                  <w:tcBorders>
                    <w:tl2br w:val="nil"/>
                    <w:tr2bl w:val="nil"/>
                  </w:tcBorders>
                  <w:vAlign w:val="center"/>
                </w:tcPr>
                <w:p w14:paraId="2DFD5442">
                  <w:pPr>
                    <w:widowControl/>
                    <w:jc w:val="center"/>
                    <w:rPr>
                      <w:rFonts w:hint="default"/>
                      <w:color w:val="auto"/>
                      <w:sz w:val="18"/>
                      <w:szCs w:val="18"/>
                      <w:highlight w:val="none"/>
                      <w:lang w:val="en-US"/>
                    </w:rPr>
                  </w:pPr>
                  <w:r>
                    <w:rPr>
                      <w:rFonts w:hint="eastAsia"/>
                      <w:color w:val="auto"/>
                      <w:kern w:val="0"/>
                      <w:sz w:val="18"/>
                      <w:szCs w:val="18"/>
                      <w:highlight w:val="none"/>
                      <w:lang w:val="en-US" w:eastAsia="zh-CN"/>
                    </w:rPr>
                    <w:t>0.008</w:t>
                  </w:r>
                </w:p>
              </w:tc>
              <w:tc>
                <w:tcPr>
                  <w:tcW w:w="1071" w:type="pct"/>
                  <w:tcBorders>
                    <w:tl2br w:val="nil"/>
                    <w:tr2bl w:val="nil"/>
                  </w:tcBorders>
                  <w:vAlign w:val="center"/>
                </w:tcPr>
                <w:p w14:paraId="2C84A584">
                  <w:pPr>
                    <w:widowControl/>
                    <w:jc w:val="center"/>
                    <w:rPr>
                      <w:rFonts w:hint="default"/>
                      <w:color w:val="auto"/>
                      <w:sz w:val="18"/>
                      <w:szCs w:val="18"/>
                      <w:highlight w:val="none"/>
                      <w:lang w:val="en-US"/>
                    </w:rPr>
                  </w:pPr>
                  <w:r>
                    <w:rPr>
                      <w:rFonts w:hint="eastAsia"/>
                      <w:color w:val="auto"/>
                      <w:kern w:val="0"/>
                      <w:sz w:val="18"/>
                      <w:szCs w:val="18"/>
                      <w:highlight w:val="none"/>
                      <w:lang w:val="en-US" w:eastAsia="zh-CN"/>
                    </w:rPr>
                    <w:t>0.008</w:t>
                  </w:r>
                </w:p>
              </w:tc>
            </w:tr>
            <w:tr w14:paraId="7241B7E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28" w:hRule="atLeast"/>
                <w:jc w:val="center"/>
              </w:trPr>
              <w:tc>
                <w:tcPr>
                  <w:tcW w:w="510" w:type="pct"/>
                  <w:vMerge w:val="continue"/>
                  <w:tcBorders>
                    <w:tl2br w:val="nil"/>
                    <w:tr2bl w:val="nil"/>
                  </w:tcBorders>
                  <w:vAlign w:val="center"/>
                </w:tcPr>
                <w:p w14:paraId="47A4599E">
                  <w:pPr>
                    <w:jc w:val="center"/>
                    <w:rPr>
                      <w:color w:val="auto"/>
                      <w:sz w:val="18"/>
                      <w:szCs w:val="18"/>
                      <w:highlight w:val="none"/>
                    </w:rPr>
                  </w:pPr>
                </w:p>
              </w:tc>
              <w:tc>
                <w:tcPr>
                  <w:tcW w:w="790" w:type="pct"/>
                  <w:tcBorders>
                    <w:tl2br w:val="nil"/>
                    <w:tr2bl w:val="nil"/>
                  </w:tcBorders>
                  <w:vAlign w:val="center"/>
                </w:tcPr>
                <w:p w14:paraId="3FDDC97E">
                  <w:pPr>
                    <w:jc w:val="center"/>
                    <w:rPr>
                      <w:color w:val="auto"/>
                      <w:sz w:val="18"/>
                      <w:szCs w:val="18"/>
                      <w:highlight w:val="none"/>
                    </w:rPr>
                  </w:pPr>
                  <w:r>
                    <w:rPr>
                      <w:color w:val="auto"/>
                      <w:sz w:val="18"/>
                      <w:szCs w:val="18"/>
                      <w:highlight w:val="none"/>
                    </w:rPr>
                    <w:t>NH</w:t>
                  </w:r>
                  <w:r>
                    <w:rPr>
                      <w:color w:val="auto"/>
                      <w:sz w:val="18"/>
                      <w:szCs w:val="18"/>
                      <w:highlight w:val="none"/>
                      <w:vertAlign w:val="subscript"/>
                    </w:rPr>
                    <w:t>3</w:t>
                  </w:r>
                  <w:r>
                    <w:rPr>
                      <w:color w:val="auto"/>
                      <w:sz w:val="18"/>
                      <w:szCs w:val="18"/>
                      <w:highlight w:val="none"/>
                    </w:rPr>
                    <w:t>-N</w:t>
                  </w:r>
                </w:p>
              </w:tc>
              <w:tc>
                <w:tcPr>
                  <w:tcW w:w="1051" w:type="pct"/>
                  <w:tcBorders>
                    <w:tl2br w:val="nil"/>
                    <w:tr2bl w:val="nil"/>
                  </w:tcBorders>
                  <w:vAlign w:val="center"/>
                </w:tcPr>
                <w:p w14:paraId="6E49ED65">
                  <w:pPr>
                    <w:widowControl/>
                    <w:jc w:val="center"/>
                    <w:rPr>
                      <w:rFonts w:hint="default" w:eastAsia="宋体"/>
                      <w:color w:val="auto"/>
                      <w:sz w:val="18"/>
                      <w:szCs w:val="18"/>
                      <w:highlight w:val="none"/>
                      <w:lang w:val="en-US" w:eastAsia="zh-CN"/>
                    </w:rPr>
                  </w:pPr>
                  <w:r>
                    <w:rPr>
                      <w:rFonts w:hint="eastAsia"/>
                      <w:color w:val="auto"/>
                      <w:kern w:val="0"/>
                      <w:sz w:val="18"/>
                      <w:szCs w:val="18"/>
                      <w:highlight w:val="none"/>
                      <w:lang w:val="en-US" w:eastAsia="zh-CN"/>
                    </w:rPr>
                    <w:t>0</w:t>
                  </w:r>
                </w:p>
              </w:tc>
              <w:tc>
                <w:tcPr>
                  <w:tcW w:w="601" w:type="pct"/>
                  <w:tcBorders>
                    <w:tl2br w:val="nil"/>
                    <w:tr2bl w:val="nil"/>
                  </w:tcBorders>
                  <w:vAlign w:val="center"/>
                </w:tcPr>
                <w:p w14:paraId="1707EC09">
                  <w:pPr>
                    <w:widowControl/>
                    <w:jc w:val="center"/>
                    <w:rPr>
                      <w:rFonts w:hint="default" w:eastAsia="宋体"/>
                      <w:color w:val="auto"/>
                      <w:sz w:val="18"/>
                      <w:szCs w:val="18"/>
                      <w:highlight w:val="none"/>
                      <w:lang w:eastAsia="zh-CN"/>
                    </w:rPr>
                  </w:pPr>
                  <w:r>
                    <w:rPr>
                      <w:rFonts w:hint="default"/>
                      <w:color w:val="auto"/>
                      <w:kern w:val="0"/>
                      <w:sz w:val="18"/>
                      <w:szCs w:val="18"/>
                      <w:highlight w:val="none"/>
                      <w:lang w:val="en-US" w:eastAsia="zh-CN"/>
                    </w:rPr>
                    <w:t>0</w:t>
                  </w:r>
                </w:p>
              </w:tc>
              <w:tc>
                <w:tcPr>
                  <w:tcW w:w="975" w:type="pct"/>
                  <w:tcBorders>
                    <w:tl2br w:val="nil"/>
                    <w:tr2bl w:val="nil"/>
                  </w:tcBorders>
                  <w:vAlign w:val="center"/>
                </w:tcPr>
                <w:p w14:paraId="3949F1B3">
                  <w:pPr>
                    <w:widowControl/>
                    <w:jc w:val="center"/>
                    <w:rPr>
                      <w:rFonts w:hint="default"/>
                      <w:color w:val="auto"/>
                      <w:sz w:val="18"/>
                      <w:szCs w:val="18"/>
                      <w:highlight w:val="none"/>
                      <w:lang w:val="en-US"/>
                    </w:rPr>
                  </w:pPr>
                  <w:r>
                    <w:rPr>
                      <w:rFonts w:hint="eastAsia"/>
                      <w:color w:val="auto"/>
                      <w:kern w:val="0"/>
                      <w:sz w:val="18"/>
                      <w:szCs w:val="18"/>
                      <w:highlight w:val="none"/>
                      <w:lang w:val="en-US" w:eastAsia="zh-CN"/>
                    </w:rPr>
                    <w:t>0</w:t>
                  </w:r>
                </w:p>
              </w:tc>
              <w:tc>
                <w:tcPr>
                  <w:tcW w:w="1071" w:type="pct"/>
                  <w:tcBorders>
                    <w:tl2br w:val="nil"/>
                    <w:tr2bl w:val="nil"/>
                  </w:tcBorders>
                  <w:vAlign w:val="center"/>
                </w:tcPr>
                <w:p w14:paraId="426EF489">
                  <w:pPr>
                    <w:widowControl/>
                    <w:jc w:val="center"/>
                    <w:rPr>
                      <w:rFonts w:hint="default"/>
                      <w:color w:val="auto"/>
                      <w:sz w:val="18"/>
                      <w:szCs w:val="18"/>
                      <w:highlight w:val="none"/>
                      <w:lang w:val="en-US"/>
                    </w:rPr>
                  </w:pPr>
                  <w:r>
                    <w:rPr>
                      <w:rFonts w:hint="eastAsia"/>
                      <w:color w:val="auto"/>
                      <w:kern w:val="0"/>
                      <w:sz w:val="18"/>
                      <w:szCs w:val="18"/>
                      <w:highlight w:val="none"/>
                      <w:lang w:val="en-US" w:eastAsia="zh-CN"/>
                    </w:rPr>
                    <w:t>0</w:t>
                  </w:r>
                </w:p>
              </w:tc>
            </w:tr>
            <w:tr w14:paraId="3F4FE1B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28" w:hRule="atLeast"/>
                <w:jc w:val="center"/>
              </w:trPr>
              <w:tc>
                <w:tcPr>
                  <w:tcW w:w="510" w:type="pct"/>
                  <w:vMerge w:val="restart"/>
                  <w:tcBorders>
                    <w:tl2br w:val="nil"/>
                    <w:tr2bl w:val="nil"/>
                  </w:tcBorders>
                  <w:vAlign w:val="center"/>
                </w:tcPr>
                <w:p w14:paraId="75828B7C">
                  <w:pPr>
                    <w:jc w:val="center"/>
                    <w:rPr>
                      <w:color w:val="auto"/>
                      <w:sz w:val="18"/>
                      <w:szCs w:val="18"/>
                      <w:highlight w:val="none"/>
                    </w:rPr>
                  </w:pPr>
                  <w:r>
                    <w:rPr>
                      <w:color w:val="auto"/>
                      <w:sz w:val="18"/>
                      <w:szCs w:val="18"/>
                      <w:highlight w:val="none"/>
                    </w:rPr>
                    <w:t>废气</w:t>
                  </w:r>
                </w:p>
              </w:tc>
              <w:tc>
                <w:tcPr>
                  <w:tcW w:w="790" w:type="pct"/>
                  <w:tcBorders>
                    <w:tl2br w:val="nil"/>
                    <w:tr2bl w:val="nil"/>
                  </w:tcBorders>
                  <w:vAlign w:val="center"/>
                </w:tcPr>
                <w:p w14:paraId="5A2EE0DD">
                  <w:pPr>
                    <w:jc w:val="center"/>
                    <w:rPr>
                      <w:color w:val="auto"/>
                      <w:sz w:val="18"/>
                      <w:szCs w:val="18"/>
                      <w:highlight w:val="none"/>
                    </w:rPr>
                  </w:pPr>
                  <w:r>
                    <w:rPr>
                      <w:color w:val="auto"/>
                      <w:sz w:val="18"/>
                      <w:szCs w:val="18"/>
                      <w:highlight w:val="none"/>
                    </w:rPr>
                    <w:t>VOCs</w:t>
                  </w:r>
                </w:p>
              </w:tc>
              <w:tc>
                <w:tcPr>
                  <w:tcW w:w="1051" w:type="pct"/>
                  <w:tcBorders>
                    <w:tl2br w:val="nil"/>
                    <w:tr2bl w:val="nil"/>
                  </w:tcBorders>
                  <w:vAlign w:val="center"/>
                </w:tcPr>
                <w:p w14:paraId="7B021592">
                  <w:pPr>
                    <w:widowControl/>
                    <w:jc w:val="center"/>
                    <w:rPr>
                      <w:rFonts w:hint="default" w:eastAsia="宋体"/>
                      <w:color w:val="auto"/>
                      <w:sz w:val="18"/>
                      <w:szCs w:val="18"/>
                      <w:highlight w:val="none"/>
                      <w:lang w:val="en-US" w:eastAsia="zh-CN"/>
                    </w:rPr>
                  </w:pPr>
                  <w:r>
                    <w:rPr>
                      <w:rFonts w:hint="eastAsia"/>
                      <w:color w:val="auto"/>
                      <w:sz w:val="18"/>
                      <w:szCs w:val="18"/>
                      <w:highlight w:val="none"/>
                      <w:lang w:val="en-US" w:eastAsia="zh-CN"/>
                    </w:rPr>
                    <w:t>0.004</w:t>
                  </w:r>
                </w:p>
              </w:tc>
              <w:tc>
                <w:tcPr>
                  <w:tcW w:w="601" w:type="pct"/>
                  <w:tcBorders>
                    <w:tl2br w:val="nil"/>
                    <w:tr2bl w:val="nil"/>
                  </w:tcBorders>
                  <w:vAlign w:val="center"/>
                </w:tcPr>
                <w:p w14:paraId="12AB5105">
                  <w:pPr>
                    <w:jc w:val="center"/>
                    <w:rPr>
                      <w:color w:val="auto"/>
                      <w:sz w:val="18"/>
                      <w:szCs w:val="18"/>
                      <w:highlight w:val="none"/>
                    </w:rPr>
                  </w:pPr>
                  <w:r>
                    <w:rPr>
                      <w:rFonts w:hint="default"/>
                      <w:color w:val="auto"/>
                      <w:sz w:val="18"/>
                      <w:szCs w:val="18"/>
                      <w:highlight w:val="none"/>
                    </w:rPr>
                    <w:t>0</w:t>
                  </w:r>
                </w:p>
              </w:tc>
              <w:tc>
                <w:tcPr>
                  <w:tcW w:w="975" w:type="pct"/>
                  <w:tcBorders>
                    <w:tl2br w:val="nil"/>
                    <w:tr2bl w:val="nil"/>
                  </w:tcBorders>
                  <w:vAlign w:val="center"/>
                </w:tcPr>
                <w:p w14:paraId="2DB51FA7">
                  <w:pPr>
                    <w:widowControl/>
                    <w:jc w:val="center"/>
                    <w:rPr>
                      <w:rFonts w:hint="default"/>
                      <w:color w:val="auto"/>
                      <w:sz w:val="18"/>
                      <w:szCs w:val="18"/>
                      <w:highlight w:val="none"/>
                      <w:lang w:val="en-US"/>
                    </w:rPr>
                  </w:pPr>
                  <w:r>
                    <w:rPr>
                      <w:rFonts w:hint="eastAsia"/>
                      <w:color w:val="auto"/>
                      <w:sz w:val="18"/>
                      <w:szCs w:val="18"/>
                      <w:highlight w:val="none"/>
                      <w:lang w:val="en-US" w:eastAsia="zh-CN"/>
                    </w:rPr>
                    <w:t>0.004</w:t>
                  </w:r>
                </w:p>
              </w:tc>
              <w:tc>
                <w:tcPr>
                  <w:tcW w:w="1071" w:type="pct"/>
                  <w:tcBorders>
                    <w:tl2br w:val="nil"/>
                    <w:tr2bl w:val="nil"/>
                  </w:tcBorders>
                  <w:vAlign w:val="center"/>
                </w:tcPr>
                <w:p w14:paraId="3BE7C6A0">
                  <w:pPr>
                    <w:widowControl/>
                    <w:jc w:val="center"/>
                    <w:rPr>
                      <w:rFonts w:hint="default"/>
                      <w:color w:val="auto"/>
                      <w:sz w:val="18"/>
                      <w:szCs w:val="18"/>
                      <w:highlight w:val="none"/>
                      <w:lang w:val="en-US"/>
                    </w:rPr>
                  </w:pPr>
                  <w:r>
                    <w:rPr>
                      <w:rFonts w:hint="eastAsia"/>
                      <w:color w:val="auto"/>
                      <w:sz w:val="18"/>
                      <w:szCs w:val="18"/>
                      <w:highlight w:val="none"/>
                      <w:lang w:val="en-US" w:eastAsia="zh-CN"/>
                    </w:rPr>
                    <w:t>0.004</w:t>
                  </w:r>
                </w:p>
              </w:tc>
            </w:tr>
            <w:tr w14:paraId="6F1A453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28" w:hRule="atLeast"/>
                <w:jc w:val="center"/>
              </w:trPr>
              <w:tc>
                <w:tcPr>
                  <w:tcW w:w="510" w:type="pct"/>
                  <w:vMerge w:val="continue"/>
                  <w:tcBorders>
                    <w:tl2br w:val="nil"/>
                    <w:tr2bl w:val="nil"/>
                  </w:tcBorders>
                  <w:vAlign w:val="center"/>
                </w:tcPr>
                <w:p w14:paraId="006BCA07">
                  <w:pPr>
                    <w:jc w:val="center"/>
                    <w:rPr>
                      <w:color w:val="auto"/>
                      <w:sz w:val="18"/>
                      <w:szCs w:val="18"/>
                      <w:highlight w:val="none"/>
                    </w:rPr>
                  </w:pPr>
                </w:p>
              </w:tc>
              <w:tc>
                <w:tcPr>
                  <w:tcW w:w="790" w:type="pct"/>
                  <w:tcBorders>
                    <w:tl2br w:val="nil"/>
                    <w:tr2bl w:val="nil"/>
                  </w:tcBorders>
                  <w:vAlign w:val="center"/>
                </w:tcPr>
                <w:p w14:paraId="3FFFE8A7">
                  <w:pPr>
                    <w:jc w:val="center"/>
                    <w:rPr>
                      <w:rFonts w:hint="default" w:eastAsia="宋体"/>
                      <w:color w:val="auto"/>
                      <w:sz w:val="18"/>
                      <w:szCs w:val="18"/>
                      <w:highlight w:val="none"/>
                      <w:lang w:val="en-US" w:eastAsia="zh-CN"/>
                    </w:rPr>
                  </w:pPr>
                  <w:r>
                    <w:rPr>
                      <w:rFonts w:hint="default"/>
                      <w:color w:val="auto"/>
                      <w:sz w:val="18"/>
                      <w:szCs w:val="18"/>
                      <w:highlight w:val="none"/>
                      <w:lang w:val="en-US" w:eastAsia="zh-CN"/>
                    </w:rPr>
                    <w:t>颗粒物</w:t>
                  </w:r>
                </w:p>
              </w:tc>
              <w:tc>
                <w:tcPr>
                  <w:tcW w:w="1051" w:type="pct"/>
                  <w:tcBorders>
                    <w:tl2br w:val="nil"/>
                    <w:tr2bl w:val="nil"/>
                  </w:tcBorders>
                  <w:vAlign w:val="center"/>
                </w:tcPr>
                <w:p w14:paraId="42115844">
                  <w:pPr>
                    <w:widowControl/>
                    <w:jc w:val="center"/>
                    <w:rPr>
                      <w:rFonts w:hint="default" w:eastAsia="宋体"/>
                      <w:color w:val="auto"/>
                      <w:sz w:val="18"/>
                      <w:szCs w:val="18"/>
                      <w:highlight w:val="none"/>
                      <w:lang w:val="en-US" w:eastAsia="zh-CN"/>
                    </w:rPr>
                  </w:pPr>
                  <w:r>
                    <w:rPr>
                      <w:rFonts w:hint="eastAsia"/>
                      <w:color w:val="auto"/>
                      <w:sz w:val="18"/>
                      <w:szCs w:val="18"/>
                      <w:highlight w:val="none"/>
                      <w:lang w:val="en-US" w:eastAsia="zh-CN"/>
                    </w:rPr>
                    <w:t>0.008</w:t>
                  </w:r>
                </w:p>
              </w:tc>
              <w:tc>
                <w:tcPr>
                  <w:tcW w:w="601" w:type="pct"/>
                  <w:tcBorders>
                    <w:tl2br w:val="nil"/>
                    <w:tr2bl w:val="nil"/>
                  </w:tcBorders>
                  <w:vAlign w:val="center"/>
                </w:tcPr>
                <w:p w14:paraId="28AC2E50">
                  <w:pPr>
                    <w:jc w:val="center"/>
                    <w:rPr>
                      <w:rFonts w:hint="default" w:eastAsia="宋体"/>
                      <w:color w:val="auto"/>
                      <w:sz w:val="18"/>
                      <w:szCs w:val="18"/>
                      <w:highlight w:val="none"/>
                      <w:lang w:val="en-US" w:eastAsia="zh-CN"/>
                    </w:rPr>
                  </w:pPr>
                  <w:r>
                    <w:rPr>
                      <w:rFonts w:hint="default"/>
                      <w:color w:val="auto"/>
                      <w:sz w:val="18"/>
                      <w:szCs w:val="18"/>
                      <w:highlight w:val="none"/>
                      <w:lang w:val="en-US" w:eastAsia="zh-CN"/>
                    </w:rPr>
                    <w:t>0</w:t>
                  </w:r>
                </w:p>
              </w:tc>
              <w:tc>
                <w:tcPr>
                  <w:tcW w:w="975" w:type="pct"/>
                  <w:tcBorders>
                    <w:tl2br w:val="nil"/>
                    <w:tr2bl w:val="nil"/>
                  </w:tcBorders>
                  <w:vAlign w:val="center"/>
                </w:tcPr>
                <w:p w14:paraId="0FFC9EFC">
                  <w:pPr>
                    <w:widowControl/>
                    <w:jc w:val="center"/>
                    <w:rPr>
                      <w:rFonts w:hint="default"/>
                      <w:color w:val="auto"/>
                      <w:sz w:val="18"/>
                      <w:szCs w:val="18"/>
                      <w:highlight w:val="none"/>
                      <w:lang w:val="en-US"/>
                    </w:rPr>
                  </w:pPr>
                  <w:r>
                    <w:rPr>
                      <w:rFonts w:hint="eastAsia"/>
                      <w:color w:val="auto"/>
                      <w:sz w:val="18"/>
                      <w:szCs w:val="18"/>
                      <w:highlight w:val="none"/>
                      <w:lang w:val="en-US" w:eastAsia="zh-CN"/>
                    </w:rPr>
                    <w:t>0.008</w:t>
                  </w:r>
                </w:p>
              </w:tc>
              <w:tc>
                <w:tcPr>
                  <w:tcW w:w="1071" w:type="pct"/>
                  <w:tcBorders>
                    <w:tl2br w:val="nil"/>
                    <w:tr2bl w:val="nil"/>
                  </w:tcBorders>
                  <w:vAlign w:val="center"/>
                </w:tcPr>
                <w:p w14:paraId="6613F95D">
                  <w:pPr>
                    <w:widowControl/>
                    <w:jc w:val="center"/>
                    <w:rPr>
                      <w:rFonts w:hint="default"/>
                      <w:color w:val="auto"/>
                      <w:sz w:val="18"/>
                      <w:szCs w:val="18"/>
                      <w:highlight w:val="none"/>
                      <w:lang w:val="en-US"/>
                    </w:rPr>
                  </w:pPr>
                  <w:r>
                    <w:rPr>
                      <w:rFonts w:hint="eastAsia"/>
                      <w:color w:val="auto"/>
                      <w:sz w:val="18"/>
                      <w:szCs w:val="18"/>
                      <w:highlight w:val="none"/>
                      <w:lang w:val="en-US" w:eastAsia="zh-CN"/>
                    </w:rPr>
                    <w:t>0.008</w:t>
                  </w:r>
                </w:p>
              </w:tc>
            </w:tr>
          </w:tbl>
          <w:p w14:paraId="1E219D9E">
            <w:pPr>
              <w:adjustRightInd w:val="0"/>
              <w:snapToGrid w:val="0"/>
              <w:spacing w:line="360" w:lineRule="auto"/>
              <w:ind w:firstLine="420" w:firstLineChars="200"/>
              <w:rPr>
                <w:color w:val="auto"/>
                <w:kern w:val="0"/>
                <w:szCs w:val="21"/>
                <w:highlight w:val="none"/>
              </w:rPr>
            </w:pPr>
            <w:r>
              <w:rPr>
                <w:color w:val="auto"/>
                <w:highlight w:val="none"/>
              </w:rPr>
              <w:t>由上表可知，本项目</w:t>
            </w:r>
            <w:r>
              <w:rPr>
                <w:rFonts w:hint="default"/>
                <w:color w:val="auto"/>
                <w:highlight w:val="none"/>
              </w:rPr>
              <w:t>污染物排放总量为</w:t>
            </w:r>
            <w:r>
              <w:rPr>
                <w:color w:val="auto"/>
                <w:highlight w:val="none"/>
              </w:rPr>
              <w:t>COD</w:t>
            </w:r>
            <w:r>
              <w:rPr>
                <w:color w:val="auto"/>
                <w:highlight w:val="none"/>
                <w:vertAlign w:val="subscript"/>
              </w:rPr>
              <w:t>Cr</w:t>
            </w:r>
            <w:r>
              <w:rPr>
                <w:rFonts w:hint="default"/>
                <w:color w:val="auto"/>
                <w:highlight w:val="none"/>
                <w:vertAlign w:val="subscript"/>
                <w:lang w:val="en-US" w:eastAsia="zh-CN"/>
              </w:rPr>
              <w:t xml:space="preserve"> </w:t>
            </w:r>
            <w:r>
              <w:rPr>
                <w:rFonts w:hint="eastAsia"/>
                <w:color w:val="auto"/>
                <w:highlight w:val="none"/>
                <w:lang w:val="en-US" w:eastAsia="zh-CN"/>
              </w:rPr>
              <w:t>0.008 t/a</w:t>
            </w:r>
            <w:r>
              <w:rPr>
                <w:color w:val="auto"/>
                <w:highlight w:val="none"/>
              </w:rPr>
              <w:t>、</w:t>
            </w:r>
            <w:r>
              <w:rPr>
                <w:rFonts w:hint="default"/>
                <w:color w:val="auto"/>
                <w:highlight w:val="none"/>
              </w:rPr>
              <w:t xml:space="preserve">VOCs </w:t>
            </w:r>
            <w:r>
              <w:rPr>
                <w:rFonts w:hint="eastAsia"/>
                <w:color w:val="auto"/>
                <w:highlight w:val="none"/>
                <w:lang w:val="en-US" w:eastAsia="zh-CN"/>
              </w:rPr>
              <w:t>0.004</w:t>
            </w:r>
            <w:r>
              <w:rPr>
                <w:rFonts w:hint="default"/>
                <w:color w:val="auto"/>
                <w:highlight w:val="none"/>
                <w:lang w:val="en-US" w:eastAsia="zh-CN"/>
              </w:rPr>
              <w:t xml:space="preserve"> </w:t>
            </w:r>
            <w:r>
              <w:rPr>
                <w:rFonts w:hint="eastAsia"/>
                <w:color w:val="auto"/>
                <w:highlight w:val="none"/>
                <w:lang w:val="en-US" w:eastAsia="zh-CN"/>
              </w:rPr>
              <w:t>t/a</w:t>
            </w:r>
            <w:r>
              <w:rPr>
                <w:rFonts w:hint="default"/>
                <w:color w:val="auto"/>
                <w:highlight w:val="none"/>
                <w:lang w:eastAsia="zh-CN"/>
              </w:rPr>
              <w:t>、</w:t>
            </w:r>
            <w:r>
              <w:rPr>
                <w:rFonts w:hint="default"/>
                <w:color w:val="auto"/>
                <w:highlight w:val="none"/>
                <w:lang w:val="en-US" w:eastAsia="zh-CN"/>
              </w:rPr>
              <w:t>颗粒物</w:t>
            </w:r>
            <w:r>
              <w:rPr>
                <w:rFonts w:hint="eastAsia"/>
                <w:color w:val="auto"/>
                <w:highlight w:val="none"/>
                <w:lang w:val="en-US" w:eastAsia="zh-CN"/>
              </w:rPr>
              <w:t>0.008 t/a</w:t>
            </w:r>
            <w:r>
              <w:rPr>
                <w:rFonts w:hint="default"/>
                <w:color w:val="auto"/>
                <w:highlight w:val="none"/>
              </w:rPr>
              <w:t>。</w:t>
            </w:r>
          </w:p>
        </w:tc>
      </w:tr>
    </w:tbl>
    <w:p w14:paraId="79740A24">
      <w:pPr>
        <w:pStyle w:val="20"/>
        <w:jc w:val="center"/>
        <w:outlineLvl w:val="0"/>
        <w:rPr>
          <w:rFonts w:ascii="Times New Roman" w:hAnsi="Times New Roman" w:eastAsia="黑体"/>
          <w:snapToGrid w:val="0"/>
          <w:color w:val="auto"/>
          <w:sz w:val="30"/>
          <w:szCs w:val="30"/>
          <w:highlight w:val="none"/>
        </w:rPr>
      </w:pPr>
      <w:r>
        <w:rPr>
          <w:rFonts w:ascii="Times New Roman" w:hAnsi="Times New Roman" w:eastAsia="黑体"/>
          <w:snapToGrid w:val="0"/>
          <w:color w:val="auto"/>
          <w:sz w:val="36"/>
          <w:szCs w:val="36"/>
          <w:highlight w:val="none"/>
        </w:rPr>
        <w:br w:type="page"/>
      </w:r>
      <w:bookmarkStart w:id="37" w:name="_Toc11644"/>
      <w:bookmarkStart w:id="38" w:name="_Toc23952"/>
      <w:bookmarkStart w:id="39" w:name="_Toc16161"/>
      <w:bookmarkStart w:id="40" w:name="_Toc28047"/>
      <w:bookmarkStart w:id="41" w:name="_Toc9516"/>
      <w:r>
        <w:rPr>
          <w:rFonts w:ascii="Times New Roman" w:hAnsi="Times New Roman" w:eastAsia="黑体"/>
          <w:snapToGrid w:val="0"/>
          <w:color w:val="auto"/>
          <w:sz w:val="30"/>
          <w:szCs w:val="30"/>
          <w:highlight w:val="none"/>
        </w:rPr>
        <w:t>四、主要环境影响和保护措施</w:t>
      </w:r>
      <w:bookmarkEnd w:id="37"/>
      <w:bookmarkEnd w:id="38"/>
      <w:bookmarkEnd w:id="39"/>
      <w:bookmarkEnd w:id="40"/>
      <w:bookmarkEnd w:id="41"/>
    </w:p>
    <w:tbl>
      <w:tblPr>
        <w:tblStyle w:val="24"/>
        <w:tblW w:w="8981"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456"/>
        <w:gridCol w:w="8525"/>
      </w:tblGrid>
      <w:tr w14:paraId="13C8036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99" w:hRule="atLeast"/>
          <w:jc w:val="center"/>
        </w:trPr>
        <w:tc>
          <w:tcPr>
            <w:tcW w:w="456" w:type="dxa"/>
            <w:tcMar>
              <w:left w:w="28" w:type="dxa"/>
              <w:right w:w="28" w:type="dxa"/>
            </w:tcMar>
            <w:vAlign w:val="center"/>
          </w:tcPr>
          <w:p w14:paraId="73B60C4C">
            <w:pPr>
              <w:pStyle w:val="20"/>
              <w:adjustRightInd w:val="0"/>
              <w:snapToGrid w:val="0"/>
              <w:spacing w:before="0" w:beforeAutospacing="0" w:after="0" w:afterAutospacing="0"/>
              <w:jc w:val="center"/>
              <w:rPr>
                <w:rFonts w:ascii="Times New Roman" w:hAnsi="Times New Roman"/>
                <w:color w:val="auto"/>
                <w:kern w:val="2"/>
                <w:sz w:val="21"/>
                <w:szCs w:val="21"/>
                <w:highlight w:val="none"/>
              </w:rPr>
            </w:pPr>
            <w:r>
              <w:rPr>
                <w:rFonts w:ascii="Times New Roman" w:hAnsi="Times New Roman"/>
                <w:color w:val="auto"/>
                <w:kern w:val="2"/>
                <w:sz w:val="21"/>
                <w:szCs w:val="21"/>
                <w:highlight w:val="none"/>
              </w:rPr>
              <w:t>施工</w:t>
            </w:r>
          </w:p>
          <w:p w14:paraId="2A02BE51">
            <w:pPr>
              <w:pStyle w:val="20"/>
              <w:adjustRightInd w:val="0"/>
              <w:snapToGrid w:val="0"/>
              <w:spacing w:before="0" w:beforeAutospacing="0" w:after="0" w:afterAutospacing="0"/>
              <w:jc w:val="center"/>
              <w:rPr>
                <w:rFonts w:ascii="Times New Roman" w:hAnsi="Times New Roman"/>
                <w:color w:val="auto"/>
                <w:kern w:val="2"/>
                <w:sz w:val="21"/>
                <w:szCs w:val="21"/>
                <w:highlight w:val="none"/>
              </w:rPr>
            </w:pPr>
            <w:r>
              <w:rPr>
                <w:rFonts w:ascii="Times New Roman" w:hAnsi="Times New Roman"/>
                <w:color w:val="auto"/>
                <w:kern w:val="2"/>
                <w:sz w:val="21"/>
                <w:szCs w:val="21"/>
                <w:highlight w:val="none"/>
              </w:rPr>
              <w:t>期环</w:t>
            </w:r>
          </w:p>
          <w:p w14:paraId="464BE2E5">
            <w:pPr>
              <w:pStyle w:val="20"/>
              <w:adjustRightInd w:val="0"/>
              <w:snapToGrid w:val="0"/>
              <w:spacing w:before="0" w:beforeAutospacing="0" w:after="0" w:afterAutospacing="0"/>
              <w:jc w:val="center"/>
              <w:rPr>
                <w:rFonts w:ascii="Times New Roman" w:hAnsi="Times New Roman"/>
                <w:color w:val="auto"/>
                <w:kern w:val="2"/>
                <w:sz w:val="21"/>
                <w:szCs w:val="21"/>
                <w:highlight w:val="none"/>
              </w:rPr>
            </w:pPr>
            <w:r>
              <w:rPr>
                <w:rFonts w:ascii="Times New Roman" w:hAnsi="Times New Roman"/>
                <w:color w:val="auto"/>
                <w:kern w:val="2"/>
                <w:sz w:val="21"/>
                <w:szCs w:val="21"/>
                <w:highlight w:val="none"/>
              </w:rPr>
              <w:t>境保</w:t>
            </w:r>
          </w:p>
          <w:p w14:paraId="684C513E">
            <w:pPr>
              <w:pStyle w:val="20"/>
              <w:adjustRightInd w:val="0"/>
              <w:snapToGrid w:val="0"/>
              <w:spacing w:before="0" w:beforeAutospacing="0" w:after="0" w:afterAutospacing="0"/>
              <w:jc w:val="center"/>
              <w:rPr>
                <w:rFonts w:ascii="Times New Roman" w:hAnsi="Times New Roman"/>
                <w:color w:val="auto"/>
                <w:kern w:val="2"/>
                <w:sz w:val="21"/>
                <w:szCs w:val="21"/>
                <w:highlight w:val="none"/>
              </w:rPr>
            </w:pPr>
            <w:r>
              <w:rPr>
                <w:rFonts w:ascii="Times New Roman" w:hAnsi="Times New Roman"/>
                <w:color w:val="auto"/>
                <w:kern w:val="2"/>
                <w:sz w:val="21"/>
                <w:szCs w:val="21"/>
                <w:highlight w:val="none"/>
              </w:rPr>
              <w:t>护措</w:t>
            </w:r>
          </w:p>
          <w:p w14:paraId="52D5A07F">
            <w:pPr>
              <w:pStyle w:val="20"/>
              <w:adjustRightInd w:val="0"/>
              <w:snapToGrid w:val="0"/>
              <w:spacing w:before="0" w:beforeAutospacing="0" w:after="0" w:afterAutospacing="0"/>
              <w:jc w:val="center"/>
              <w:rPr>
                <w:rFonts w:ascii="Times New Roman" w:hAnsi="Times New Roman"/>
                <w:bCs/>
                <w:color w:val="auto"/>
                <w:kern w:val="2"/>
                <w:sz w:val="21"/>
                <w:szCs w:val="21"/>
                <w:highlight w:val="none"/>
              </w:rPr>
            </w:pPr>
            <w:r>
              <w:rPr>
                <w:rFonts w:ascii="Times New Roman" w:hAnsi="Times New Roman"/>
                <w:color w:val="auto"/>
                <w:kern w:val="2"/>
                <w:sz w:val="21"/>
                <w:szCs w:val="21"/>
                <w:highlight w:val="none"/>
              </w:rPr>
              <w:t>施</w:t>
            </w:r>
          </w:p>
        </w:tc>
        <w:tc>
          <w:tcPr>
            <w:tcW w:w="8525" w:type="dxa"/>
            <w:vAlign w:val="center"/>
          </w:tcPr>
          <w:p w14:paraId="56CF701B">
            <w:pPr>
              <w:spacing w:line="360" w:lineRule="auto"/>
              <w:rPr>
                <w:b/>
                <w:bCs/>
                <w:color w:val="auto"/>
                <w:sz w:val="24"/>
                <w:szCs w:val="32"/>
                <w:highlight w:val="none"/>
              </w:rPr>
            </w:pPr>
            <w:bookmarkStart w:id="42" w:name="_Toc168895921"/>
            <w:bookmarkStart w:id="43" w:name="_Toc217286893"/>
            <w:bookmarkStart w:id="44" w:name="_Toc146340904"/>
            <w:bookmarkStart w:id="45" w:name="_Toc165189875"/>
            <w:bookmarkStart w:id="46" w:name="_Toc167868829"/>
            <w:r>
              <w:rPr>
                <w:rFonts w:hint="default"/>
                <w:b/>
                <w:bCs/>
                <w:color w:val="auto"/>
                <w:sz w:val="24"/>
                <w:szCs w:val="32"/>
                <w:highlight w:val="none"/>
              </w:rPr>
              <w:t>4.1</w:t>
            </w:r>
            <w:r>
              <w:rPr>
                <w:rFonts w:hint="default"/>
                <w:b/>
                <w:bCs/>
                <w:color w:val="auto"/>
                <w:sz w:val="24"/>
                <w:szCs w:val="32"/>
                <w:highlight w:val="none"/>
                <w:lang w:val="en-US" w:eastAsia="zh-CN"/>
              </w:rPr>
              <w:t xml:space="preserve"> </w:t>
            </w:r>
            <w:r>
              <w:rPr>
                <w:rFonts w:hint="default"/>
                <w:b/>
                <w:bCs/>
                <w:color w:val="auto"/>
                <w:sz w:val="24"/>
                <w:szCs w:val="32"/>
                <w:highlight w:val="none"/>
              </w:rPr>
              <w:t xml:space="preserve"> 施工期环境影响保护措施</w:t>
            </w:r>
          </w:p>
          <w:p w14:paraId="2A7BFD4B">
            <w:pPr>
              <w:spacing w:line="360" w:lineRule="auto"/>
              <w:ind w:firstLine="420" w:firstLineChars="200"/>
              <w:rPr>
                <w:color w:val="auto"/>
                <w:highlight w:val="none"/>
              </w:rPr>
            </w:pPr>
            <w:r>
              <w:rPr>
                <w:color w:val="auto"/>
                <w:highlight w:val="none"/>
              </w:rPr>
              <w:t>本项目</w:t>
            </w:r>
            <w:r>
              <w:rPr>
                <w:rFonts w:hint="default"/>
                <w:color w:val="auto"/>
                <w:highlight w:val="none"/>
              </w:rPr>
              <w:t>利用</w:t>
            </w:r>
            <w:r>
              <w:rPr>
                <w:color w:val="auto"/>
                <w:highlight w:val="none"/>
              </w:rPr>
              <w:t>的现有闲置厂房进行</w:t>
            </w:r>
            <w:r>
              <w:rPr>
                <w:rFonts w:hint="default"/>
                <w:color w:val="auto"/>
                <w:highlight w:val="none"/>
              </w:rPr>
              <w:t>研发</w:t>
            </w:r>
            <w:r>
              <w:rPr>
                <w:color w:val="auto"/>
                <w:highlight w:val="none"/>
              </w:rPr>
              <w:t>，项目施工期影响主要为设备安装等过程产生的噪声。但施工期周期较短，施工面较小，只要企业加强施工期管理，禁止夜间施工，减少对外界的噪声、粉尘的影响，则本项目施工期影响较小。</w:t>
            </w:r>
          </w:p>
          <w:p w14:paraId="530FE3EA">
            <w:pPr>
              <w:spacing w:line="360" w:lineRule="auto"/>
              <w:ind w:firstLine="420" w:firstLineChars="200"/>
              <w:rPr>
                <w:color w:val="auto"/>
                <w:highlight w:val="none"/>
              </w:rPr>
            </w:pPr>
            <w:r>
              <w:rPr>
                <w:color w:val="auto"/>
                <w:highlight w:val="none"/>
              </w:rPr>
              <w:t>综上，本项目施工期环境影响较小，本环评主要针对营运期的环境影响进行分析、预测、评价。</w:t>
            </w:r>
            <w:bookmarkEnd w:id="42"/>
            <w:bookmarkEnd w:id="43"/>
            <w:bookmarkEnd w:id="44"/>
            <w:bookmarkEnd w:id="45"/>
            <w:bookmarkEnd w:id="46"/>
          </w:p>
        </w:tc>
      </w:tr>
      <w:tr w14:paraId="6E341F5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524" w:hRule="atLeast"/>
          <w:jc w:val="center"/>
        </w:trPr>
        <w:tc>
          <w:tcPr>
            <w:tcW w:w="456" w:type="dxa"/>
            <w:tcMar>
              <w:left w:w="28" w:type="dxa"/>
              <w:right w:w="28" w:type="dxa"/>
            </w:tcMar>
            <w:vAlign w:val="center"/>
          </w:tcPr>
          <w:p w14:paraId="7B365728">
            <w:pPr>
              <w:adjustRightInd w:val="0"/>
              <w:snapToGrid w:val="0"/>
              <w:jc w:val="center"/>
              <w:rPr>
                <w:bCs/>
                <w:color w:val="auto"/>
                <w:szCs w:val="21"/>
                <w:highlight w:val="none"/>
              </w:rPr>
            </w:pPr>
            <w:r>
              <w:rPr>
                <w:bCs/>
                <w:color w:val="auto"/>
                <w:szCs w:val="21"/>
                <w:highlight w:val="none"/>
              </w:rPr>
              <w:t>运营</w:t>
            </w:r>
          </w:p>
          <w:p w14:paraId="6EBA9F33">
            <w:pPr>
              <w:adjustRightInd w:val="0"/>
              <w:snapToGrid w:val="0"/>
              <w:jc w:val="center"/>
              <w:rPr>
                <w:bCs/>
                <w:color w:val="auto"/>
                <w:szCs w:val="21"/>
                <w:highlight w:val="none"/>
              </w:rPr>
            </w:pPr>
            <w:r>
              <w:rPr>
                <w:bCs/>
                <w:color w:val="auto"/>
                <w:szCs w:val="21"/>
                <w:highlight w:val="none"/>
              </w:rPr>
              <w:t>期环</w:t>
            </w:r>
          </w:p>
          <w:p w14:paraId="087A6988">
            <w:pPr>
              <w:adjustRightInd w:val="0"/>
              <w:snapToGrid w:val="0"/>
              <w:jc w:val="center"/>
              <w:rPr>
                <w:bCs/>
                <w:color w:val="auto"/>
                <w:szCs w:val="21"/>
                <w:highlight w:val="none"/>
              </w:rPr>
            </w:pPr>
            <w:r>
              <w:rPr>
                <w:bCs/>
                <w:color w:val="auto"/>
                <w:szCs w:val="21"/>
                <w:highlight w:val="none"/>
              </w:rPr>
              <w:t>境影</w:t>
            </w:r>
          </w:p>
          <w:p w14:paraId="5B2F3F93">
            <w:pPr>
              <w:adjustRightInd w:val="0"/>
              <w:snapToGrid w:val="0"/>
              <w:jc w:val="center"/>
              <w:rPr>
                <w:bCs/>
                <w:color w:val="auto"/>
                <w:szCs w:val="21"/>
                <w:highlight w:val="none"/>
              </w:rPr>
            </w:pPr>
            <w:r>
              <w:rPr>
                <w:bCs/>
                <w:color w:val="auto"/>
                <w:szCs w:val="21"/>
                <w:highlight w:val="none"/>
              </w:rPr>
              <w:t>响和</w:t>
            </w:r>
          </w:p>
          <w:p w14:paraId="3EA6DAF2">
            <w:pPr>
              <w:adjustRightInd w:val="0"/>
              <w:snapToGrid w:val="0"/>
              <w:jc w:val="center"/>
              <w:rPr>
                <w:bCs/>
                <w:color w:val="auto"/>
                <w:szCs w:val="21"/>
                <w:highlight w:val="none"/>
              </w:rPr>
            </w:pPr>
            <w:r>
              <w:rPr>
                <w:bCs/>
                <w:color w:val="auto"/>
                <w:szCs w:val="21"/>
                <w:highlight w:val="none"/>
              </w:rPr>
              <w:t>保护</w:t>
            </w:r>
          </w:p>
          <w:p w14:paraId="222A4903">
            <w:pPr>
              <w:adjustRightInd w:val="0"/>
              <w:snapToGrid w:val="0"/>
              <w:jc w:val="center"/>
              <w:rPr>
                <w:bCs/>
                <w:color w:val="auto"/>
                <w:szCs w:val="21"/>
                <w:highlight w:val="none"/>
              </w:rPr>
            </w:pPr>
            <w:r>
              <w:rPr>
                <w:bCs/>
                <w:color w:val="auto"/>
                <w:szCs w:val="21"/>
                <w:highlight w:val="none"/>
              </w:rPr>
              <w:t>措施</w:t>
            </w:r>
          </w:p>
        </w:tc>
        <w:tc>
          <w:tcPr>
            <w:tcW w:w="8525" w:type="dxa"/>
            <w:vAlign w:val="center"/>
          </w:tcPr>
          <w:p w14:paraId="62F50E58">
            <w:pPr>
              <w:autoSpaceDE w:val="0"/>
              <w:autoSpaceDN w:val="0"/>
              <w:adjustRightInd w:val="0"/>
              <w:spacing w:line="360" w:lineRule="auto"/>
              <w:rPr>
                <w:b/>
                <w:color w:val="auto"/>
                <w:spacing w:val="-10"/>
                <w:sz w:val="24"/>
                <w:szCs w:val="24"/>
                <w:highlight w:val="none"/>
              </w:rPr>
            </w:pPr>
            <w:r>
              <w:rPr>
                <w:rFonts w:hint="default"/>
                <w:b/>
                <w:color w:val="auto"/>
                <w:spacing w:val="-10"/>
                <w:sz w:val="24"/>
                <w:szCs w:val="24"/>
                <w:highlight w:val="none"/>
              </w:rPr>
              <w:t xml:space="preserve">4.2 </w:t>
            </w:r>
            <w:r>
              <w:rPr>
                <w:rFonts w:hint="default"/>
                <w:b/>
                <w:color w:val="auto"/>
                <w:spacing w:val="-10"/>
                <w:sz w:val="24"/>
                <w:szCs w:val="24"/>
                <w:highlight w:val="none"/>
                <w:lang w:val="en-US" w:eastAsia="zh-CN"/>
              </w:rPr>
              <w:t xml:space="preserve"> </w:t>
            </w:r>
            <w:r>
              <w:rPr>
                <w:rFonts w:hint="default"/>
                <w:b/>
                <w:color w:val="auto"/>
                <w:spacing w:val="-10"/>
                <w:sz w:val="24"/>
                <w:szCs w:val="24"/>
                <w:highlight w:val="none"/>
              </w:rPr>
              <w:t>运营期环境影响保护措施</w:t>
            </w:r>
          </w:p>
          <w:p w14:paraId="2A00AF84">
            <w:pPr>
              <w:autoSpaceDE w:val="0"/>
              <w:autoSpaceDN w:val="0"/>
              <w:adjustRightInd w:val="0"/>
              <w:spacing w:line="360" w:lineRule="auto"/>
              <w:rPr>
                <w:b/>
                <w:color w:val="auto"/>
                <w:spacing w:val="-10"/>
                <w:sz w:val="22"/>
                <w:szCs w:val="22"/>
                <w:highlight w:val="none"/>
              </w:rPr>
            </w:pPr>
            <w:r>
              <w:rPr>
                <w:rFonts w:hint="default"/>
                <w:b/>
                <w:color w:val="auto"/>
                <w:spacing w:val="-10"/>
                <w:sz w:val="22"/>
                <w:szCs w:val="22"/>
                <w:highlight w:val="none"/>
              </w:rPr>
              <w:t>4.2.1</w:t>
            </w:r>
            <w:r>
              <w:rPr>
                <w:rFonts w:hint="default"/>
                <w:b/>
                <w:color w:val="auto"/>
                <w:spacing w:val="-10"/>
                <w:sz w:val="22"/>
                <w:szCs w:val="22"/>
                <w:highlight w:val="none"/>
                <w:lang w:val="en-US" w:eastAsia="zh-CN"/>
              </w:rPr>
              <w:t xml:space="preserve"> </w:t>
            </w:r>
            <w:r>
              <w:rPr>
                <w:rFonts w:hint="default"/>
                <w:b/>
                <w:color w:val="auto"/>
                <w:spacing w:val="-10"/>
                <w:sz w:val="22"/>
                <w:szCs w:val="22"/>
                <w:highlight w:val="none"/>
              </w:rPr>
              <w:t xml:space="preserve"> 废气</w:t>
            </w:r>
          </w:p>
          <w:p w14:paraId="3FB66E93">
            <w:pPr>
              <w:autoSpaceDE w:val="0"/>
              <w:autoSpaceDN w:val="0"/>
              <w:adjustRightInd w:val="0"/>
              <w:spacing w:line="360" w:lineRule="auto"/>
              <w:rPr>
                <w:b/>
                <w:color w:val="auto"/>
                <w:spacing w:val="-10"/>
                <w:szCs w:val="21"/>
                <w:highlight w:val="none"/>
              </w:rPr>
            </w:pPr>
            <w:r>
              <w:rPr>
                <w:rFonts w:hint="default"/>
                <w:b/>
                <w:color w:val="auto"/>
                <w:spacing w:val="-10"/>
                <w:szCs w:val="21"/>
                <w:highlight w:val="none"/>
              </w:rPr>
              <w:t>1、废气污染源强核算</w:t>
            </w:r>
          </w:p>
          <w:p w14:paraId="5FD27D44">
            <w:pPr>
              <w:autoSpaceDE w:val="0"/>
              <w:autoSpaceDN w:val="0"/>
              <w:adjustRightInd w:val="0"/>
              <w:spacing w:line="360" w:lineRule="auto"/>
              <w:ind w:firstLine="380" w:firstLineChars="200"/>
              <w:rPr>
                <w:bCs/>
                <w:color w:val="auto"/>
                <w:spacing w:val="-10"/>
                <w:szCs w:val="21"/>
                <w:highlight w:val="none"/>
              </w:rPr>
            </w:pPr>
            <w:r>
              <w:rPr>
                <w:rFonts w:hint="default"/>
                <w:bCs/>
                <w:color w:val="auto"/>
                <w:spacing w:val="-10"/>
                <w:szCs w:val="21"/>
                <w:highlight w:val="none"/>
              </w:rPr>
              <w:t>本项目运营期废气包括原材料解包投料粉尘G1、喷雾干燥粉尘G2、煅烧废气G3、粗破投料粉尘G4、粗破粉尘G5、气流粉碎投料粉尘G6、气粉粉尘G7、振动筛分投料粉尘G8、震动筛分粉尘G9、涂布废气G10。</w:t>
            </w:r>
          </w:p>
          <w:p w14:paraId="1E2FA931">
            <w:pPr>
              <w:numPr>
                <w:ilvl w:val="0"/>
                <w:numId w:val="6"/>
              </w:numPr>
              <w:autoSpaceDE w:val="0"/>
              <w:autoSpaceDN w:val="0"/>
              <w:adjustRightInd w:val="0"/>
              <w:spacing w:line="360" w:lineRule="auto"/>
              <w:ind w:firstLine="382" w:firstLineChars="200"/>
              <w:rPr>
                <w:b/>
                <w:color w:val="auto"/>
                <w:spacing w:val="-10"/>
                <w:szCs w:val="21"/>
                <w:highlight w:val="none"/>
              </w:rPr>
            </w:pPr>
            <w:r>
              <w:rPr>
                <w:rFonts w:hint="default"/>
                <w:b/>
                <w:color w:val="auto"/>
                <w:spacing w:val="-10"/>
                <w:szCs w:val="21"/>
                <w:highlight w:val="none"/>
              </w:rPr>
              <w:t>原材料解包投料粉尘G1、粗破投料粉尘G4、气流粉碎投料粉尘G6、振动筛分投料粉尘G8</w:t>
            </w:r>
          </w:p>
          <w:p w14:paraId="5BECCEBF">
            <w:pPr>
              <w:autoSpaceDE w:val="0"/>
              <w:autoSpaceDN w:val="0"/>
              <w:adjustRightInd w:val="0"/>
              <w:spacing w:line="360" w:lineRule="auto"/>
              <w:ind w:firstLine="382" w:firstLineChars="200"/>
              <w:rPr>
                <w:bCs/>
                <w:color w:val="auto"/>
                <w:spacing w:val="-10"/>
                <w:szCs w:val="21"/>
                <w:highlight w:val="none"/>
              </w:rPr>
            </w:pPr>
            <w:r>
              <w:rPr>
                <w:rFonts w:hint="default"/>
                <w:b/>
                <w:color w:val="auto"/>
                <w:spacing w:val="-10"/>
                <w:szCs w:val="21"/>
                <w:highlight w:val="none"/>
              </w:rPr>
              <w:t>产生源强：</w:t>
            </w:r>
            <w:r>
              <w:rPr>
                <w:rFonts w:hint="default"/>
                <w:bCs/>
                <w:color w:val="auto"/>
                <w:spacing w:val="-10"/>
                <w:szCs w:val="21"/>
                <w:highlight w:val="none"/>
              </w:rPr>
              <w:t>正极材料制备工序中，由人工进行各环节之间的物料转移，产生投料废气。考虑到本项目原料使用量</w:t>
            </w:r>
            <w:r>
              <w:rPr>
                <w:rFonts w:hint="default"/>
                <w:bCs/>
                <w:color w:val="auto"/>
                <w:spacing w:val="-10"/>
                <w:szCs w:val="21"/>
                <w:highlight w:val="none"/>
                <w:lang w:val="en-US" w:eastAsia="zh-CN"/>
              </w:rPr>
              <w:t>极小，单批次投料量约为10~30 kg，</w:t>
            </w:r>
            <w:r>
              <w:rPr>
                <w:rFonts w:hint="default"/>
                <w:bCs/>
                <w:color w:val="auto"/>
                <w:spacing w:val="-10"/>
                <w:szCs w:val="21"/>
                <w:highlight w:val="none"/>
              </w:rPr>
              <w:t>并且原料以密度较大的金属盐、金属氧化物</w:t>
            </w:r>
            <w:r>
              <w:rPr>
                <w:rFonts w:hint="default"/>
                <w:bCs/>
                <w:color w:val="auto"/>
                <w:spacing w:val="-10"/>
                <w:szCs w:val="21"/>
                <w:highlight w:val="none"/>
                <w:lang w:val="en-US" w:eastAsia="zh-CN"/>
              </w:rPr>
              <w:t>晶体</w:t>
            </w:r>
            <w:r>
              <w:rPr>
                <w:rFonts w:hint="default"/>
                <w:bCs/>
                <w:color w:val="auto"/>
                <w:spacing w:val="-10"/>
                <w:szCs w:val="21"/>
                <w:highlight w:val="none"/>
              </w:rPr>
              <w:t>为主，不易产生浮尘，故各环节投料粉尘不进行定量计算，仅做定性分析。</w:t>
            </w:r>
          </w:p>
          <w:p w14:paraId="136CF72C">
            <w:pPr>
              <w:numPr>
                <w:ilvl w:val="0"/>
                <w:numId w:val="6"/>
              </w:numPr>
              <w:autoSpaceDE w:val="0"/>
              <w:autoSpaceDN w:val="0"/>
              <w:adjustRightInd w:val="0"/>
              <w:spacing w:line="360" w:lineRule="auto"/>
              <w:ind w:firstLine="382" w:firstLineChars="200"/>
              <w:rPr>
                <w:b/>
                <w:color w:val="auto"/>
                <w:spacing w:val="-10"/>
                <w:szCs w:val="21"/>
                <w:highlight w:val="none"/>
              </w:rPr>
            </w:pPr>
            <w:r>
              <w:rPr>
                <w:rFonts w:hint="default"/>
                <w:b/>
                <w:color w:val="auto"/>
                <w:spacing w:val="-10"/>
                <w:szCs w:val="21"/>
                <w:highlight w:val="none"/>
              </w:rPr>
              <w:t>喷雾干燥粉尘G2</w:t>
            </w:r>
          </w:p>
          <w:p w14:paraId="7676AA9C">
            <w:pPr>
              <w:keepNext/>
              <w:keepLines/>
              <w:spacing w:line="360" w:lineRule="auto"/>
              <w:ind w:firstLine="422" w:firstLineChars="200"/>
              <w:rPr>
                <w:color w:val="auto"/>
                <w:szCs w:val="21"/>
                <w:highlight w:val="none"/>
              </w:rPr>
            </w:pPr>
            <w:r>
              <w:rPr>
                <w:rFonts w:hint="default"/>
                <w:b/>
                <w:bCs/>
                <w:color w:val="auto"/>
                <w:szCs w:val="21"/>
                <w:highlight w:val="none"/>
              </w:rPr>
              <w:t>产生源强：</w:t>
            </w:r>
            <w:r>
              <w:rPr>
                <w:rFonts w:hint="default"/>
                <w:color w:val="auto"/>
                <w:szCs w:val="21"/>
                <w:highlight w:val="none"/>
              </w:rPr>
              <w:t>精细研磨后的浆料通过密闭管道泵入离心式喷雾干燥塔，雾化成液滴后经热风干燥为球形前驱体颗粒。此环节产生部分雾化过程中夹带的未干燥的原料混合粉体。根据《年产10000吨锰锌铁氧体磁性元器件项目环境影响报告表》（审批意见索引号320923100047/2021-00336），该项目与本项目在原辅材料、工序、设备等方面相似，可类比参考，喷雾干燥工段粉尘产生量取值约为浆料的0.1%。每批次正极材料制备研磨用水80 L，年制备100批次，则该环节年用水8 t/a；原材料用量4.36 t/a，按</w:t>
            </w:r>
            <w:r>
              <w:rPr>
                <w:rFonts w:hint="default"/>
                <w:color w:val="auto"/>
                <w:szCs w:val="21"/>
                <w:highlight w:val="none"/>
                <w:lang w:val="en-US" w:eastAsia="zh-CN"/>
              </w:rPr>
              <w:t>最不利情况</w:t>
            </w:r>
            <w:r>
              <w:rPr>
                <w:rFonts w:hint="default"/>
                <w:color w:val="auto"/>
                <w:szCs w:val="21"/>
                <w:highlight w:val="none"/>
              </w:rPr>
              <w:t>计算，全部进入喷雾干燥工序，则此工序浆料量为12.36 t/a，产生粉尘12.36 kg/a。</w:t>
            </w:r>
          </w:p>
          <w:p w14:paraId="5E257637">
            <w:pPr>
              <w:keepNext/>
              <w:keepLines/>
              <w:spacing w:line="360" w:lineRule="auto"/>
              <w:ind w:firstLine="422" w:firstLineChars="200"/>
              <w:rPr>
                <w:color w:val="auto"/>
                <w:szCs w:val="21"/>
                <w:highlight w:val="none"/>
              </w:rPr>
            </w:pPr>
            <w:r>
              <w:rPr>
                <w:rFonts w:hint="default"/>
                <w:b/>
                <w:bCs/>
                <w:color w:val="auto"/>
                <w:szCs w:val="21"/>
                <w:highlight w:val="none"/>
              </w:rPr>
              <w:t>收集处理措施：</w:t>
            </w:r>
            <w:r>
              <w:rPr>
                <w:rFonts w:hint="default"/>
                <w:color w:val="auto"/>
                <w:szCs w:val="21"/>
                <w:highlight w:val="none"/>
              </w:rPr>
              <w:t>喷雾</w:t>
            </w:r>
            <w:r>
              <w:rPr>
                <w:rFonts w:hint="default"/>
                <w:color w:val="auto"/>
                <w:szCs w:val="21"/>
                <w:highlight w:val="none"/>
                <w:lang w:val="en-US" w:eastAsia="zh-CN"/>
              </w:rPr>
              <w:t>干燥</w:t>
            </w:r>
            <w:r>
              <w:rPr>
                <w:rFonts w:hint="default"/>
                <w:color w:val="auto"/>
                <w:szCs w:val="21"/>
                <w:highlight w:val="none"/>
              </w:rPr>
              <w:t>器</w:t>
            </w:r>
            <w:r>
              <w:rPr>
                <w:rFonts w:hint="default"/>
                <w:color w:val="auto"/>
                <w:szCs w:val="21"/>
                <w:highlight w:val="none"/>
                <w:lang w:val="en-US" w:eastAsia="zh-CN"/>
              </w:rPr>
              <w:t>整体封</w:t>
            </w:r>
            <w:r>
              <w:rPr>
                <w:rFonts w:hint="default"/>
                <w:color w:val="auto"/>
                <w:szCs w:val="21"/>
                <w:highlight w:val="none"/>
              </w:rPr>
              <w:t>闭</w:t>
            </w:r>
            <w:r>
              <w:rPr>
                <w:rFonts w:hint="default"/>
                <w:color w:val="auto"/>
                <w:szCs w:val="21"/>
                <w:highlight w:val="none"/>
                <w:lang w:eastAsia="zh-CN"/>
              </w:rPr>
              <w:t>，</w:t>
            </w:r>
            <w:r>
              <w:rPr>
                <w:rFonts w:hint="default"/>
                <w:color w:val="auto"/>
                <w:szCs w:val="21"/>
                <w:highlight w:val="none"/>
                <w:lang w:val="en-US" w:eastAsia="zh-CN"/>
              </w:rPr>
              <w:t>粉尘先在设备内部收集</w:t>
            </w:r>
            <w:r>
              <w:rPr>
                <w:rFonts w:hint="default"/>
                <w:color w:val="auto"/>
                <w:szCs w:val="21"/>
                <w:highlight w:val="none"/>
              </w:rPr>
              <w:t>，</w:t>
            </w:r>
            <w:r>
              <w:rPr>
                <w:rFonts w:hint="default"/>
                <w:color w:val="auto"/>
                <w:szCs w:val="21"/>
                <w:highlight w:val="none"/>
                <w:lang w:val="en-US" w:eastAsia="zh-CN"/>
              </w:rPr>
              <w:t>经过</w:t>
            </w:r>
            <w:r>
              <w:rPr>
                <w:rFonts w:hint="default"/>
                <w:color w:val="auto"/>
                <w:szCs w:val="21"/>
                <w:highlight w:val="none"/>
              </w:rPr>
              <w:t>内置布袋除尘器</w:t>
            </w:r>
            <w:r>
              <w:rPr>
                <w:rFonts w:hint="default"/>
                <w:color w:val="auto"/>
                <w:szCs w:val="21"/>
                <w:highlight w:val="none"/>
                <w:lang w:val="en-US" w:eastAsia="zh-CN"/>
              </w:rPr>
              <w:t>处理后</w:t>
            </w:r>
            <w:r>
              <w:rPr>
                <w:rFonts w:hint="default"/>
                <w:color w:val="auto"/>
                <w:szCs w:val="21"/>
                <w:highlight w:val="none"/>
              </w:rPr>
              <w:t>，除尘尾气再经密闭管道收集，与其他设备废气一同汇集后</w:t>
            </w:r>
            <w:r>
              <w:rPr>
                <w:rFonts w:hint="eastAsia"/>
                <w:color w:val="auto"/>
                <w:szCs w:val="21"/>
                <w:highlight w:val="none"/>
                <w:lang w:val="en-US" w:eastAsia="zh-CN"/>
              </w:rPr>
              <w:t>接入末端“水喷淋+除雾除湿+一级活性炭吸附”装置处理后排放</w:t>
            </w:r>
            <w:r>
              <w:rPr>
                <w:rFonts w:hint="default"/>
                <w:color w:val="auto"/>
                <w:szCs w:val="21"/>
                <w:highlight w:val="none"/>
              </w:rPr>
              <w:t>。</w:t>
            </w:r>
            <w:r>
              <w:rPr>
                <w:rFonts w:hint="default"/>
                <w:color w:val="auto"/>
                <w:szCs w:val="21"/>
                <w:highlight w:val="none"/>
                <w:lang w:val="en-US" w:eastAsia="zh-CN"/>
              </w:rPr>
              <w:t>因粉尘浓度较低，</w:t>
            </w:r>
            <w:r>
              <w:rPr>
                <w:rFonts w:hint="default"/>
                <w:color w:val="auto"/>
                <w:szCs w:val="21"/>
                <w:highlight w:val="none"/>
              </w:rPr>
              <w:t>布袋除尘效率取值</w:t>
            </w:r>
            <w:r>
              <w:rPr>
                <w:rFonts w:hint="default"/>
                <w:color w:val="auto"/>
                <w:szCs w:val="21"/>
                <w:highlight w:val="none"/>
                <w:lang w:val="en-US" w:eastAsia="zh-CN"/>
              </w:rPr>
              <w:t>70</w:t>
            </w:r>
            <w:r>
              <w:rPr>
                <w:rFonts w:hint="default"/>
                <w:color w:val="auto"/>
                <w:szCs w:val="21"/>
                <w:highlight w:val="none"/>
              </w:rPr>
              <w:t>%，</w:t>
            </w:r>
            <w:r>
              <w:rPr>
                <w:rFonts w:hint="default"/>
                <w:color w:val="auto"/>
                <w:szCs w:val="21"/>
                <w:highlight w:val="none"/>
                <w:lang w:val="en-US" w:eastAsia="zh-CN"/>
              </w:rPr>
              <w:t>设备内收集、</w:t>
            </w:r>
            <w:r>
              <w:rPr>
                <w:rFonts w:hint="default"/>
                <w:color w:val="auto"/>
                <w:szCs w:val="21"/>
                <w:highlight w:val="none"/>
              </w:rPr>
              <w:t>密闭管道收集效率取值100%，水喷淋塔除尘效率</w:t>
            </w:r>
            <w:r>
              <w:rPr>
                <w:rFonts w:hint="default"/>
                <w:color w:val="auto"/>
                <w:szCs w:val="21"/>
                <w:highlight w:val="none"/>
                <w:lang w:val="en-US" w:eastAsia="zh-CN"/>
              </w:rPr>
              <w:t>忽略不计</w:t>
            </w:r>
            <w:r>
              <w:rPr>
                <w:rFonts w:hint="default"/>
                <w:color w:val="auto"/>
                <w:szCs w:val="21"/>
                <w:highlight w:val="none"/>
              </w:rPr>
              <w:t>。</w:t>
            </w:r>
          </w:p>
          <w:p w14:paraId="39546E22">
            <w:pPr>
              <w:keepNext/>
              <w:keepLines/>
              <w:numPr>
                <w:ilvl w:val="0"/>
                <w:numId w:val="6"/>
              </w:numPr>
              <w:spacing w:line="360" w:lineRule="auto"/>
              <w:ind w:firstLine="422" w:firstLineChars="200"/>
              <w:rPr>
                <w:b/>
                <w:bCs/>
                <w:color w:val="auto"/>
                <w:szCs w:val="21"/>
                <w:highlight w:val="none"/>
              </w:rPr>
            </w:pPr>
            <w:r>
              <w:rPr>
                <w:rFonts w:hint="default"/>
                <w:b/>
                <w:bCs/>
                <w:color w:val="auto"/>
                <w:szCs w:val="21"/>
                <w:highlight w:val="none"/>
              </w:rPr>
              <w:t>煅烧废气G3</w:t>
            </w:r>
          </w:p>
          <w:p w14:paraId="19DA7925">
            <w:pPr>
              <w:keepNext/>
              <w:keepLines/>
              <w:spacing w:line="360" w:lineRule="auto"/>
              <w:ind w:firstLine="422" w:firstLineChars="200"/>
              <w:rPr>
                <w:b/>
                <w:bCs/>
                <w:color w:val="auto"/>
                <w:szCs w:val="21"/>
                <w:highlight w:val="none"/>
              </w:rPr>
            </w:pPr>
            <w:r>
              <w:rPr>
                <w:rFonts w:hint="default"/>
                <w:b/>
                <w:bCs/>
                <w:color w:val="auto"/>
                <w:szCs w:val="21"/>
                <w:highlight w:val="none"/>
              </w:rPr>
              <w:t>产生源强：</w:t>
            </w:r>
          </w:p>
          <w:p w14:paraId="18479142">
            <w:pPr>
              <w:keepNext/>
              <w:keepLines/>
              <w:spacing w:line="360" w:lineRule="auto"/>
              <w:ind w:firstLine="420" w:firstLineChars="200"/>
              <w:rPr>
                <w:color w:val="auto"/>
                <w:szCs w:val="21"/>
                <w:highlight w:val="none"/>
              </w:rPr>
            </w:pPr>
            <w:r>
              <w:rPr>
                <w:rFonts w:hint="default"/>
                <w:color w:val="auto"/>
                <w:szCs w:val="21"/>
                <w:highlight w:val="none"/>
              </w:rPr>
              <w:t>①颗粒物</w:t>
            </w:r>
          </w:p>
          <w:p w14:paraId="19D7B1AA">
            <w:pPr>
              <w:keepNext/>
              <w:keepLines/>
              <w:spacing w:line="360" w:lineRule="auto"/>
              <w:ind w:firstLine="420" w:firstLineChars="200"/>
              <w:rPr>
                <w:color w:val="auto"/>
                <w:highlight w:val="none"/>
              </w:rPr>
            </w:pPr>
            <w:r>
              <w:rPr>
                <w:rFonts w:hint="default"/>
                <w:color w:val="auto"/>
                <w:szCs w:val="21"/>
                <w:highlight w:val="none"/>
              </w:rPr>
              <w:t>干燥后前驱体在坩埚中，置于电加热气氛烧结炉（氮气惰性气氛，常压）进行固相反应合成目标正极材料，烧结温度500~700 ℃，保温时间2~8 h。据企业经验资料，烟气温度约为60-80℃。此环节</w:t>
            </w:r>
            <w:r>
              <w:rPr>
                <w:rFonts w:hint="default"/>
                <w:color w:val="auto"/>
                <w:highlight w:val="none"/>
              </w:rPr>
              <w:t>产污系数参照《排放源统计调查产排污核算方法和系数手册 30-40电子电气行业系数手册》中的烧结工段，颗粒物产污系数取值5.785×10</w:t>
            </w:r>
            <w:r>
              <w:rPr>
                <w:rFonts w:hint="default"/>
                <w:color w:val="auto"/>
                <w:highlight w:val="none"/>
                <w:vertAlign w:val="superscript"/>
              </w:rPr>
              <w:t>-1</w:t>
            </w:r>
            <w:r>
              <w:rPr>
                <w:rFonts w:hint="default"/>
                <w:color w:val="auto"/>
                <w:highlight w:val="none"/>
              </w:rPr>
              <w:t xml:space="preserve"> 克/千克-原料。项目原材料使用量为4.36 t/a，按保守计算，全部进入煅烧工序，则此环节产生颗粒物</w:t>
            </w:r>
            <w:r>
              <w:rPr>
                <w:rFonts w:hint="eastAsia"/>
                <w:color w:val="auto"/>
                <w:highlight w:val="none"/>
                <w:lang w:val="en-US" w:eastAsia="zh-CN"/>
              </w:rPr>
              <w:t>2.52</w:t>
            </w:r>
            <w:r>
              <w:rPr>
                <w:rFonts w:hint="default"/>
                <w:color w:val="auto"/>
                <w:highlight w:val="none"/>
              </w:rPr>
              <w:t xml:space="preserve"> kg/a。</w:t>
            </w:r>
          </w:p>
          <w:p w14:paraId="08FDD8C4">
            <w:pPr>
              <w:keepNext/>
              <w:keepLines/>
              <w:spacing w:line="360" w:lineRule="auto"/>
              <w:ind w:firstLine="420" w:firstLineChars="200"/>
              <w:rPr>
                <w:color w:val="auto"/>
                <w:highlight w:val="none"/>
              </w:rPr>
            </w:pPr>
            <w:r>
              <w:rPr>
                <w:rFonts w:hint="default"/>
                <w:color w:val="auto"/>
                <w:highlight w:val="none"/>
              </w:rPr>
              <w:t>②非甲烷总烃</w:t>
            </w:r>
          </w:p>
          <w:p w14:paraId="6BECE475">
            <w:pPr>
              <w:keepNext/>
              <w:keepLines/>
              <w:spacing w:line="360" w:lineRule="auto"/>
              <w:ind w:firstLine="420" w:firstLineChars="200"/>
              <w:rPr>
                <w:rFonts w:hint="default" w:eastAsia="宋体"/>
                <w:color w:val="auto"/>
                <w:highlight w:val="none"/>
                <w:lang w:eastAsia="zh-CN"/>
              </w:rPr>
            </w:pPr>
            <w:r>
              <w:rPr>
                <w:rFonts w:hint="default"/>
                <w:color w:val="auto"/>
                <w:highlight w:val="none"/>
              </w:rPr>
              <w:t>葡萄糖等有机物在高温无氧条件下，发生裂解副反应，生成C-C烃类或醛</w:t>
            </w:r>
            <w:r>
              <w:rPr>
                <w:rFonts w:hint="eastAsia"/>
                <w:color w:val="auto"/>
                <w:highlight w:val="none"/>
                <w:lang w:eastAsia="zh-CN"/>
              </w:rPr>
              <w:t>、</w:t>
            </w:r>
            <w:r>
              <w:rPr>
                <w:rFonts w:hint="eastAsia"/>
                <w:color w:val="auto"/>
                <w:highlight w:val="none"/>
                <w:lang w:val="en-US" w:eastAsia="zh-CN"/>
              </w:rPr>
              <w:t>酮</w:t>
            </w:r>
            <w:r>
              <w:rPr>
                <w:rFonts w:hint="default"/>
                <w:color w:val="auto"/>
                <w:highlight w:val="none"/>
              </w:rPr>
              <w:t>类小分子有机物，据企业工程经验，往往伴随异味，污染物以非甲烷总烃计算。由于煅烧过程反应复杂，难以根据反应方程式计算污染物，且无可参考产污系数，</w:t>
            </w:r>
            <w:r>
              <w:rPr>
                <w:rFonts w:hint="eastAsia"/>
                <w:color w:val="auto"/>
                <w:highlight w:val="none"/>
                <w:lang w:val="en-US" w:eastAsia="zh-CN"/>
              </w:rPr>
              <w:t>因此类比同类型项目</w:t>
            </w:r>
            <w:r>
              <w:rPr>
                <w:rFonts w:hint="default"/>
                <w:color w:val="auto"/>
                <w:highlight w:val="none"/>
              </w:rPr>
              <w:t>（审批时间：2024年1月15日；审批文号：锡署环审书[2024]3号）中的相关内容。</w:t>
            </w:r>
            <w:r>
              <w:rPr>
                <w:rFonts w:hint="default"/>
                <w:color w:val="auto"/>
                <w:szCs w:val="21"/>
                <w:highlight w:val="none"/>
              </w:rPr>
              <w:t>该项目与本项目在原辅材料、</w:t>
            </w:r>
            <w:r>
              <w:rPr>
                <w:rFonts w:hint="default"/>
                <w:color w:val="auto"/>
                <w:szCs w:val="21"/>
                <w:highlight w:val="none"/>
                <w:lang w:val="en-US" w:eastAsia="zh-CN"/>
              </w:rPr>
              <w:t>烧结参数</w:t>
            </w:r>
            <w:r>
              <w:rPr>
                <w:rFonts w:hint="default"/>
                <w:color w:val="auto"/>
                <w:szCs w:val="21"/>
                <w:highlight w:val="none"/>
              </w:rPr>
              <w:t>、</w:t>
            </w:r>
            <w:r>
              <w:rPr>
                <w:rFonts w:hint="default"/>
                <w:color w:val="auto"/>
                <w:szCs w:val="21"/>
                <w:highlight w:val="none"/>
                <w:lang w:val="en-US" w:eastAsia="zh-CN"/>
              </w:rPr>
              <w:t>产品</w:t>
            </w:r>
            <w:r>
              <w:rPr>
                <w:rFonts w:hint="default"/>
                <w:color w:val="auto"/>
                <w:szCs w:val="21"/>
                <w:highlight w:val="none"/>
              </w:rPr>
              <w:t>等方面相似，可类比参考</w:t>
            </w:r>
            <w:r>
              <w:rPr>
                <w:rFonts w:hint="default"/>
                <w:color w:val="auto"/>
                <w:szCs w:val="21"/>
                <w:highlight w:val="none"/>
                <w:lang w:val="en-US" w:eastAsia="zh-CN"/>
              </w:rPr>
              <w:t>得此环节非甲烷总烃产生量为</w:t>
            </w:r>
            <w:r>
              <w:rPr>
                <w:rFonts w:hint="eastAsia"/>
                <w:color w:val="auto"/>
                <w:szCs w:val="21"/>
                <w:highlight w:val="none"/>
                <w:lang w:val="en-US" w:eastAsia="zh-CN"/>
              </w:rPr>
              <w:t>5.82</w:t>
            </w:r>
            <w:r>
              <w:rPr>
                <w:rFonts w:hint="default"/>
                <w:color w:val="auto"/>
                <w:szCs w:val="21"/>
                <w:highlight w:val="none"/>
                <w:lang w:val="en-US" w:eastAsia="zh-CN"/>
              </w:rPr>
              <w:t xml:space="preserve"> kg/a。</w:t>
            </w:r>
          </w:p>
          <w:p w14:paraId="7F1CECA0">
            <w:pPr>
              <w:keepNext/>
              <w:keepLines/>
              <w:spacing w:line="360" w:lineRule="auto"/>
              <w:ind w:firstLine="422" w:firstLineChars="200"/>
              <w:rPr>
                <w:color w:val="auto"/>
                <w:highlight w:val="none"/>
              </w:rPr>
            </w:pPr>
            <w:r>
              <w:rPr>
                <w:rFonts w:hint="default"/>
                <w:b/>
                <w:bCs/>
                <w:color w:val="auto"/>
                <w:highlight w:val="none"/>
              </w:rPr>
              <w:t>收集处理措施：</w:t>
            </w:r>
            <w:r>
              <w:rPr>
                <w:rFonts w:hint="default"/>
                <w:color w:val="auto"/>
                <w:highlight w:val="none"/>
              </w:rPr>
              <w:t>烧结炉末端设置密闭管道收集，烟气与其他设备废气一同汇集后经水喷淋塔</w:t>
            </w:r>
            <w:r>
              <w:rPr>
                <w:rFonts w:hint="eastAsia"/>
                <w:color w:val="auto"/>
                <w:highlight w:val="none"/>
                <w:lang w:val="en-US" w:eastAsia="zh-CN"/>
              </w:rPr>
              <w:t>除去水溶性的醛、酮（异味主要来源）和颗粒物，然后经除雾除湿后，通过一级</w:t>
            </w:r>
            <w:r>
              <w:rPr>
                <w:rFonts w:hint="default"/>
                <w:color w:val="auto"/>
                <w:highlight w:val="none"/>
              </w:rPr>
              <w:t>活性炭吸附处理后排放。密闭管道收集效率取值100%</w:t>
            </w:r>
            <w:r>
              <w:rPr>
                <w:rFonts w:hint="eastAsia"/>
                <w:color w:val="auto"/>
                <w:highlight w:val="none"/>
                <w:lang w:eastAsia="zh-CN"/>
              </w:rPr>
              <w:t>，</w:t>
            </w:r>
            <w:r>
              <w:rPr>
                <w:rFonts w:hint="default"/>
                <w:color w:val="auto"/>
                <w:highlight w:val="none"/>
                <w:lang w:val="en-US" w:eastAsia="zh-CN"/>
              </w:rPr>
              <w:t>因煅烧烟气中污染物浓度较小</w:t>
            </w:r>
            <w:r>
              <w:rPr>
                <w:rFonts w:hint="default"/>
                <w:color w:val="auto"/>
                <w:highlight w:val="none"/>
              </w:rPr>
              <w:t>，</w:t>
            </w:r>
            <w:r>
              <w:rPr>
                <w:rFonts w:hint="eastAsia"/>
                <w:color w:val="auto"/>
                <w:highlight w:val="none"/>
                <w:lang w:val="en-US" w:eastAsia="zh-CN"/>
              </w:rPr>
              <w:t>末端处理装置对煅烧废气中颗粒物、非甲烷总烃的综合去除效率均</w:t>
            </w:r>
            <w:r>
              <w:rPr>
                <w:rFonts w:hint="default"/>
                <w:color w:val="auto"/>
                <w:highlight w:val="none"/>
              </w:rPr>
              <w:t>取值</w:t>
            </w:r>
            <w:r>
              <w:rPr>
                <w:rFonts w:hint="default"/>
                <w:color w:val="auto"/>
                <w:highlight w:val="none"/>
                <w:lang w:val="en-US" w:eastAsia="zh-CN"/>
              </w:rPr>
              <w:t>5</w:t>
            </w:r>
            <w:r>
              <w:rPr>
                <w:rFonts w:hint="default"/>
                <w:color w:val="auto"/>
                <w:highlight w:val="none"/>
              </w:rPr>
              <w:t>0%。</w:t>
            </w:r>
          </w:p>
          <w:p w14:paraId="3869689B">
            <w:pPr>
              <w:keepNext/>
              <w:keepLines/>
              <w:numPr>
                <w:ilvl w:val="0"/>
                <w:numId w:val="6"/>
              </w:numPr>
              <w:spacing w:line="360" w:lineRule="auto"/>
              <w:ind w:firstLine="422" w:firstLineChars="200"/>
              <w:rPr>
                <w:b/>
                <w:bCs/>
                <w:color w:val="auto"/>
                <w:szCs w:val="21"/>
                <w:highlight w:val="none"/>
              </w:rPr>
            </w:pPr>
            <w:r>
              <w:rPr>
                <w:rFonts w:hint="default"/>
                <w:b/>
                <w:bCs/>
                <w:color w:val="auto"/>
                <w:szCs w:val="21"/>
                <w:highlight w:val="none"/>
              </w:rPr>
              <w:t>粗破粉尘G5</w:t>
            </w:r>
          </w:p>
          <w:p w14:paraId="2D1AA841">
            <w:pPr>
              <w:keepNext/>
              <w:keepLines/>
              <w:spacing w:line="360" w:lineRule="auto"/>
              <w:ind w:firstLine="422" w:firstLineChars="200"/>
              <w:rPr>
                <w:color w:val="auto"/>
                <w:szCs w:val="21"/>
                <w:highlight w:val="none"/>
              </w:rPr>
            </w:pPr>
            <w:r>
              <w:rPr>
                <w:rFonts w:hint="default"/>
                <w:b/>
                <w:bCs/>
                <w:color w:val="auto"/>
                <w:szCs w:val="21"/>
                <w:highlight w:val="none"/>
              </w:rPr>
              <w:t>源强核算：</w:t>
            </w:r>
            <w:r>
              <w:rPr>
                <w:rFonts w:hint="default"/>
                <w:color w:val="auto"/>
                <w:szCs w:val="21"/>
                <w:highlight w:val="none"/>
              </w:rPr>
              <w:t>使用对辊机对粒径较大的烧结材料进行粗破。由于无其他可参考行业手册，此环节产污系数参照《排放源统计调查产排污核算方法和系数手册 3099其他非金属矿物制品制造行业系数手册》中的破碎工段，颗粒物产污系数取值1.13千克/吨-产品，项目正极材料制备量为1 t/a，则此环节产生颗粒物1.13 kg/a。</w:t>
            </w:r>
          </w:p>
          <w:p w14:paraId="75FF0B57">
            <w:pPr>
              <w:keepNext/>
              <w:keepLines/>
              <w:numPr>
                <w:ilvl w:val="0"/>
                <w:numId w:val="6"/>
              </w:numPr>
              <w:spacing w:line="360" w:lineRule="auto"/>
              <w:ind w:firstLine="422" w:firstLineChars="200"/>
              <w:rPr>
                <w:b/>
                <w:bCs/>
                <w:color w:val="auto"/>
                <w:szCs w:val="21"/>
                <w:highlight w:val="none"/>
              </w:rPr>
            </w:pPr>
            <w:r>
              <w:rPr>
                <w:rFonts w:hint="default"/>
                <w:b/>
                <w:bCs/>
                <w:color w:val="auto"/>
                <w:szCs w:val="21"/>
                <w:highlight w:val="none"/>
              </w:rPr>
              <w:t>气粉粉尘G7</w:t>
            </w:r>
          </w:p>
          <w:p w14:paraId="0E2D0D1C">
            <w:pPr>
              <w:keepNext/>
              <w:keepLines/>
              <w:spacing w:line="360" w:lineRule="auto"/>
              <w:ind w:firstLine="422" w:firstLineChars="200"/>
              <w:rPr>
                <w:color w:val="auto"/>
                <w:szCs w:val="21"/>
                <w:highlight w:val="none"/>
              </w:rPr>
            </w:pPr>
            <w:r>
              <w:rPr>
                <w:rFonts w:hint="default"/>
                <w:b/>
                <w:bCs/>
                <w:color w:val="auto"/>
                <w:szCs w:val="21"/>
                <w:highlight w:val="none"/>
              </w:rPr>
              <w:t>源强核算：</w:t>
            </w:r>
            <w:r>
              <w:rPr>
                <w:rFonts w:hint="default"/>
                <w:color w:val="auto"/>
                <w:szCs w:val="21"/>
                <w:highlight w:val="none"/>
              </w:rPr>
              <w:t>使用气流粉碎机，通过高速气流碰撞将粉料细化至目标粒径。由于无其他可参考行业手册，此环节产污系数参照《排放源统计调查产排污核算方法和系数手册 3099其他非金属矿物制品制造行业系数手册》中的粉磨工段，颗粒物产污系数取值1.19千克/吨-产品，项目正极材料制备量为1 t/a，则此环节产生颗粒物1.19 kg/a。</w:t>
            </w:r>
          </w:p>
          <w:p w14:paraId="20B13145">
            <w:pPr>
              <w:keepNext/>
              <w:keepLines/>
              <w:spacing w:line="360" w:lineRule="auto"/>
              <w:ind w:firstLine="422" w:firstLineChars="200"/>
              <w:rPr>
                <w:color w:val="auto"/>
                <w:szCs w:val="21"/>
                <w:highlight w:val="none"/>
              </w:rPr>
            </w:pPr>
            <w:r>
              <w:rPr>
                <w:rFonts w:hint="default"/>
                <w:b/>
                <w:bCs/>
                <w:color w:val="auto"/>
                <w:szCs w:val="21"/>
                <w:highlight w:val="none"/>
              </w:rPr>
              <w:t>收集处理措施：</w:t>
            </w:r>
            <w:r>
              <w:rPr>
                <w:rFonts w:hint="default"/>
                <w:color w:val="auto"/>
                <w:szCs w:val="21"/>
                <w:highlight w:val="none"/>
              </w:rPr>
              <w:t>气流粉碎机整体封闭，</w:t>
            </w:r>
            <w:r>
              <w:rPr>
                <w:rFonts w:hint="default"/>
                <w:color w:val="auto"/>
                <w:szCs w:val="21"/>
                <w:highlight w:val="none"/>
                <w:lang w:val="en-US" w:eastAsia="zh-CN"/>
              </w:rPr>
              <w:t>粉尘先在设备内部收集，经过内置</w:t>
            </w:r>
            <w:r>
              <w:rPr>
                <w:rFonts w:hint="default"/>
                <w:color w:val="auto"/>
                <w:szCs w:val="21"/>
                <w:highlight w:val="none"/>
              </w:rPr>
              <w:t>布袋除尘器</w:t>
            </w:r>
            <w:r>
              <w:rPr>
                <w:rFonts w:hint="default"/>
                <w:color w:val="auto"/>
                <w:highlight w:val="none"/>
                <w:lang w:val="en-US" w:eastAsia="zh-CN"/>
              </w:rPr>
              <w:t>处理后</w:t>
            </w:r>
            <w:r>
              <w:rPr>
                <w:rFonts w:hint="default"/>
                <w:color w:val="auto"/>
                <w:szCs w:val="21"/>
                <w:highlight w:val="none"/>
              </w:rPr>
              <w:t>，除尘尾气再经密闭管道收集，与其他设备废气一同汇集后</w:t>
            </w:r>
            <w:r>
              <w:rPr>
                <w:rFonts w:hint="eastAsia"/>
                <w:color w:val="auto"/>
                <w:szCs w:val="21"/>
                <w:highlight w:val="none"/>
                <w:lang w:val="en-US" w:eastAsia="zh-CN"/>
              </w:rPr>
              <w:t>接入末端“水喷淋+除雾除湿+一级活性炭吸附”装置处理后排放</w:t>
            </w:r>
            <w:r>
              <w:rPr>
                <w:rFonts w:hint="default"/>
                <w:color w:val="auto"/>
                <w:szCs w:val="21"/>
                <w:highlight w:val="none"/>
              </w:rPr>
              <w:t>。</w:t>
            </w:r>
            <w:r>
              <w:rPr>
                <w:rFonts w:hint="default"/>
                <w:color w:val="auto"/>
                <w:szCs w:val="21"/>
                <w:highlight w:val="none"/>
                <w:lang w:val="en-US" w:eastAsia="zh-CN"/>
              </w:rPr>
              <w:t>因粉尘浓度较低，</w:t>
            </w:r>
            <w:r>
              <w:rPr>
                <w:rFonts w:hint="default"/>
                <w:color w:val="auto"/>
                <w:szCs w:val="21"/>
                <w:highlight w:val="none"/>
              </w:rPr>
              <w:t>布袋除尘效率取值</w:t>
            </w:r>
            <w:r>
              <w:rPr>
                <w:rFonts w:hint="default"/>
                <w:color w:val="auto"/>
                <w:szCs w:val="21"/>
                <w:highlight w:val="none"/>
                <w:lang w:val="en-US" w:eastAsia="zh-CN"/>
              </w:rPr>
              <w:t>70</w:t>
            </w:r>
            <w:r>
              <w:rPr>
                <w:rFonts w:hint="default"/>
                <w:color w:val="auto"/>
                <w:szCs w:val="21"/>
                <w:highlight w:val="none"/>
              </w:rPr>
              <w:t>%，</w:t>
            </w:r>
            <w:r>
              <w:rPr>
                <w:rFonts w:hint="default"/>
                <w:color w:val="auto"/>
                <w:szCs w:val="21"/>
                <w:highlight w:val="none"/>
                <w:lang w:val="en-US" w:eastAsia="zh-CN"/>
              </w:rPr>
              <w:t>设备内部收集、</w:t>
            </w:r>
            <w:r>
              <w:rPr>
                <w:rFonts w:hint="default"/>
                <w:color w:val="auto"/>
                <w:szCs w:val="21"/>
                <w:highlight w:val="none"/>
              </w:rPr>
              <w:t>密闭管道收集效率</w:t>
            </w:r>
            <w:r>
              <w:rPr>
                <w:rFonts w:hint="default"/>
                <w:color w:val="auto"/>
                <w:szCs w:val="21"/>
                <w:highlight w:val="none"/>
                <w:lang w:val="en-US" w:eastAsia="zh-CN"/>
              </w:rPr>
              <w:t>均</w:t>
            </w:r>
            <w:r>
              <w:rPr>
                <w:rFonts w:hint="default"/>
                <w:color w:val="auto"/>
                <w:szCs w:val="21"/>
                <w:highlight w:val="none"/>
              </w:rPr>
              <w:t>取值100%，水喷淋塔除尘效率</w:t>
            </w:r>
            <w:r>
              <w:rPr>
                <w:rFonts w:hint="default"/>
                <w:color w:val="auto"/>
                <w:szCs w:val="21"/>
                <w:highlight w:val="none"/>
                <w:lang w:val="en-US" w:eastAsia="zh-CN"/>
              </w:rPr>
              <w:t>忽略不计</w:t>
            </w:r>
            <w:r>
              <w:rPr>
                <w:rFonts w:hint="default"/>
                <w:color w:val="auto"/>
                <w:szCs w:val="21"/>
                <w:highlight w:val="none"/>
              </w:rPr>
              <w:t>。</w:t>
            </w:r>
          </w:p>
          <w:p w14:paraId="495B9743">
            <w:pPr>
              <w:keepNext/>
              <w:keepLines/>
              <w:numPr>
                <w:ilvl w:val="0"/>
                <w:numId w:val="6"/>
              </w:numPr>
              <w:spacing w:line="360" w:lineRule="auto"/>
              <w:ind w:firstLine="422" w:firstLineChars="200"/>
              <w:rPr>
                <w:b/>
                <w:bCs/>
                <w:color w:val="auto"/>
                <w:szCs w:val="21"/>
                <w:highlight w:val="none"/>
              </w:rPr>
            </w:pPr>
            <w:r>
              <w:rPr>
                <w:rFonts w:hint="default"/>
                <w:b/>
                <w:bCs/>
                <w:color w:val="auto"/>
                <w:szCs w:val="21"/>
                <w:highlight w:val="none"/>
              </w:rPr>
              <w:t>筛分粉尘G9</w:t>
            </w:r>
          </w:p>
          <w:p w14:paraId="16DA288B">
            <w:pPr>
              <w:keepNext/>
              <w:keepLines/>
              <w:spacing w:line="360" w:lineRule="auto"/>
              <w:ind w:firstLine="422" w:firstLineChars="200"/>
              <w:rPr>
                <w:b/>
                <w:bCs/>
                <w:color w:val="auto"/>
                <w:szCs w:val="21"/>
                <w:highlight w:val="none"/>
              </w:rPr>
            </w:pPr>
            <w:r>
              <w:rPr>
                <w:rFonts w:hint="default"/>
                <w:b/>
                <w:bCs/>
                <w:color w:val="auto"/>
                <w:szCs w:val="21"/>
                <w:highlight w:val="none"/>
              </w:rPr>
              <w:t>源强核算：</w:t>
            </w:r>
            <w:r>
              <w:rPr>
                <w:rFonts w:hint="default"/>
                <w:color w:val="auto"/>
                <w:szCs w:val="21"/>
                <w:highlight w:val="none"/>
              </w:rPr>
              <w:t>使用超声波振动筛筛粉碎料，去除大颗粒杂质。由于无其他可参考行业手册，此环节产污系数参照《排放源统计调查产排污核算方法和系数手册 3099其他非金属矿物制品制造行业系数手册》中的筛分工段，颗粒物产污系数取值1.13千克/吨-产品，项目正极材料制备量为1 t/a，则此环节产生颗粒物1.13 kg/a。</w:t>
            </w:r>
          </w:p>
          <w:p w14:paraId="40E7F1F3">
            <w:pPr>
              <w:keepNext/>
              <w:keepLines/>
              <w:numPr>
                <w:ilvl w:val="0"/>
                <w:numId w:val="6"/>
              </w:numPr>
              <w:spacing w:line="360" w:lineRule="auto"/>
              <w:ind w:firstLine="422" w:firstLineChars="200"/>
              <w:rPr>
                <w:b/>
                <w:bCs/>
                <w:color w:val="auto"/>
                <w:szCs w:val="21"/>
                <w:highlight w:val="none"/>
              </w:rPr>
            </w:pPr>
            <w:r>
              <w:rPr>
                <w:rFonts w:hint="default"/>
                <w:b/>
                <w:bCs/>
                <w:color w:val="auto"/>
                <w:szCs w:val="21"/>
                <w:highlight w:val="none"/>
              </w:rPr>
              <w:t>涂布废气G10</w:t>
            </w:r>
          </w:p>
          <w:p w14:paraId="51F97AAA">
            <w:pPr>
              <w:keepNext/>
              <w:keepLines/>
              <w:spacing w:line="360" w:lineRule="auto"/>
              <w:ind w:firstLine="422" w:firstLineChars="200"/>
              <w:rPr>
                <w:color w:val="auto"/>
                <w:szCs w:val="21"/>
                <w:highlight w:val="none"/>
              </w:rPr>
            </w:pPr>
            <w:r>
              <w:rPr>
                <w:rFonts w:hint="default"/>
                <w:b/>
                <w:bCs/>
                <w:color w:val="auto"/>
                <w:szCs w:val="21"/>
                <w:highlight w:val="none"/>
              </w:rPr>
              <w:t>源强核算：</w:t>
            </w:r>
            <w:r>
              <w:rPr>
                <w:rFonts w:hint="default"/>
                <w:color w:val="auto"/>
                <w:szCs w:val="21"/>
                <w:highlight w:val="none"/>
              </w:rPr>
              <w:t>在扣电实验室内，使用刮刀涂布机，将电极浆料涂覆在铝箔表面，在烘箱内烘干，此过程中NMP全部挥发，产生涂布废气G10。据企业提供资料，每批次仅使用约5 g正极材料、制备扣电约20个进行充放电测试，NMP使用量约为1 L/a，则此环节产生NMP废气（以非甲烷总烃计）</w:t>
            </w:r>
            <w:r>
              <w:rPr>
                <w:rFonts w:hint="eastAsia"/>
                <w:color w:val="auto"/>
                <w:szCs w:val="21"/>
                <w:highlight w:val="none"/>
                <w:lang w:val="en-US" w:eastAsia="zh-CN"/>
              </w:rPr>
              <w:t>1.03</w:t>
            </w:r>
            <w:r>
              <w:rPr>
                <w:rFonts w:hint="default"/>
                <w:color w:val="auto"/>
                <w:szCs w:val="21"/>
                <w:highlight w:val="none"/>
              </w:rPr>
              <w:t xml:space="preserve"> kg/a。</w:t>
            </w:r>
          </w:p>
          <w:p w14:paraId="43CA4001">
            <w:pPr>
              <w:keepNext/>
              <w:keepLines/>
              <w:spacing w:line="360" w:lineRule="auto"/>
              <w:ind w:firstLine="422" w:firstLineChars="200"/>
              <w:rPr>
                <w:rFonts w:hint="default" w:eastAsia="宋体"/>
                <w:color w:val="auto"/>
                <w:szCs w:val="21"/>
                <w:highlight w:val="none"/>
                <w:lang w:val="en-US" w:eastAsia="zh-CN"/>
              </w:rPr>
            </w:pPr>
            <w:r>
              <w:rPr>
                <w:rFonts w:hint="default"/>
                <w:b/>
                <w:bCs/>
                <w:color w:val="auto"/>
                <w:szCs w:val="21"/>
                <w:highlight w:val="none"/>
              </w:rPr>
              <w:t>收集处理措施：</w:t>
            </w:r>
            <w:r>
              <w:rPr>
                <w:rFonts w:hint="default"/>
                <w:color w:val="auto"/>
                <w:szCs w:val="21"/>
                <w:highlight w:val="none"/>
              </w:rPr>
              <w:t>实验室为洁净车间，</w:t>
            </w:r>
            <w:r>
              <w:rPr>
                <w:rFonts w:hint="default"/>
                <w:color w:val="auto"/>
                <w:szCs w:val="21"/>
                <w:highlight w:val="none"/>
                <w:lang w:val="en-US" w:eastAsia="zh-CN"/>
              </w:rPr>
              <w:t>此环节在通风橱内操作，废气由通风橱收集，</w:t>
            </w:r>
            <w:r>
              <w:rPr>
                <w:rFonts w:hint="eastAsia"/>
                <w:color w:val="auto"/>
                <w:szCs w:val="21"/>
                <w:highlight w:val="none"/>
                <w:lang w:val="en-US" w:eastAsia="zh-CN"/>
              </w:rPr>
              <w:t>接入末端“水喷淋+除雾除湿+一级活性炭吸附”装置处理后排放</w:t>
            </w:r>
            <w:r>
              <w:rPr>
                <w:rFonts w:hint="default"/>
                <w:color w:val="auto"/>
                <w:szCs w:val="21"/>
                <w:highlight w:val="none"/>
              </w:rPr>
              <w:t>。</w:t>
            </w:r>
            <w:r>
              <w:rPr>
                <w:rFonts w:hint="eastAsia"/>
                <w:color w:val="auto"/>
                <w:szCs w:val="21"/>
                <w:highlight w:val="none"/>
                <w:lang w:val="en-US" w:eastAsia="zh-CN"/>
              </w:rPr>
              <w:t>通风橱收集效率取值80%，末端处理装置对涂布废气中的非甲烷总烃去除效率取值50%。</w:t>
            </w:r>
          </w:p>
          <w:p w14:paraId="7EF761A8">
            <w:pPr>
              <w:keepNext/>
              <w:keepLines/>
              <w:numPr>
                <w:ilvl w:val="0"/>
                <w:numId w:val="7"/>
              </w:numPr>
              <w:spacing w:line="360" w:lineRule="auto"/>
              <w:rPr>
                <w:b/>
                <w:bCs/>
                <w:color w:val="auto"/>
                <w:szCs w:val="21"/>
                <w:highlight w:val="none"/>
              </w:rPr>
            </w:pPr>
            <w:r>
              <w:rPr>
                <w:rFonts w:hint="default"/>
                <w:b/>
                <w:bCs/>
                <w:color w:val="auto"/>
                <w:szCs w:val="21"/>
                <w:highlight w:val="none"/>
              </w:rPr>
              <w:t>废气污染处理措施</w:t>
            </w:r>
          </w:p>
          <w:p w14:paraId="3C147A5A">
            <w:pPr>
              <w:keepNext/>
              <w:keepLines/>
              <w:spacing w:line="360" w:lineRule="auto"/>
              <w:ind w:firstLine="420" w:firstLineChars="200"/>
              <w:rPr>
                <w:color w:val="auto"/>
                <w:szCs w:val="21"/>
                <w:highlight w:val="none"/>
              </w:rPr>
            </w:pPr>
            <w:r>
              <w:rPr>
                <w:rFonts w:hint="default"/>
                <w:color w:val="auto"/>
                <w:szCs w:val="21"/>
                <w:highlight w:val="none"/>
              </w:rPr>
              <w:t>项目废气处理示意图如</w:t>
            </w:r>
            <w:r>
              <w:rPr>
                <w:rFonts w:hint="default"/>
                <w:color w:val="auto"/>
                <w:szCs w:val="21"/>
                <w:highlight w:val="none"/>
                <w:lang w:val="en-US" w:eastAsia="zh-CN"/>
              </w:rPr>
              <w:t>图4-1所示。</w:t>
            </w:r>
          </w:p>
          <w:p w14:paraId="0C38706C">
            <w:pPr>
              <w:keepNext/>
              <w:keepLines/>
              <w:spacing w:line="360" w:lineRule="auto"/>
              <w:jc w:val="center"/>
              <w:rPr>
                <w:color w:val="auto"/>
                <w:szCs w:val="21"/>
                <w:highlight w:val="none"/>
              </w:rPr>
            </w:pPr>
            <w:r>
              <w:rPr>
                <w:color w:val="auto"/>
                <w:szCs w:val="21"/>
                <w:highlight w:val="none"/>
              </w:rPr>
              <w:drawing>
                <wp:inline distT="0" distB="0" distL="114300" distR="114300">
                  <wp:extent cx="5265420" cy="2338705"/>
                  <wp:effectExtent l="0" t="0" r="7620" b="8255"/>
                  <wp:docPr id="5" name="图片 5" descr="废气处理措施202609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废气处理措施20260907"/>
                          <pic:cNvPicPr>
                            <a:picLocks noChangeAspect="1"/>
                          </pic:cNvPicPr>
                        </pic:nvPicPr>
                        <pic:blipFill>
                          <a:blip r:embed="rId15"/>
                          <a:stretch>
                            <a:fillRect/>
                          </a:stretch>
                        </pic:blipFill>
                        <pic:spPr>
                          <a:xfrm>
                            <a:off x="0" y="0"/>
                            <a:ext cx="5265420" cy="2338705"/>
                          </a:xfrm>
                          <a:prstGeom prst="rect">
                            <a:avLst/>
                          </a:prstGeom>
                        </pic:spPr>
                      </pic:pic>
                    </a:graphicData>
                  </a:graphic>
                </wp:inline>
              </w:drawing>
            </w:r>
          </w:p>
          <w:p w14:paraId="7294AD7F">
            <w:pPr>
              <w:keepNext/>
              <w:keepLines/>
              <w:spacing w:line="360" w:lineRule="auto"/>
              <w:jc w:val="center"/>
              <w:rPr>
                <w:rFonts w:hint="default" w:ascii="Times New Roman" w:hAnsi="Times New Roman" w:eastAsia="黑体" w:cs="Times New Roman"/>
                <w:b w:val="0"/>
                <w:bCs w:val="0"/>
                <w:color w:val="auto"/>
                <w:szCs w:val="21"/>
                <w:highlight w:val="none"/>
              </w:rPr>
            </w:pPr>
            <w:r>
              <w:rPr>
                <w:rFonts w:hint="default" w:ascii="Times New Roman" w:hAnsi="Times New Roman" w:eastAsia="黑体" w:cs="Times New Roman"/>
                <w:b w:val="0"/>
                <w:bCs w:val="0"/>
                <w:color w:val="auto"/>
                <w:szCs w:val="21"/>
                <w:highlight w:val="none"/>
              </w:rPr>
              <w:t>图4</w:t>
            </w:r>
            <w:r>
              <w:rPr>
                <w:rFonts w:hint="default" w:ascii="Times New Roman" w:hAnsi="Times New Roman" w:eastAsia="黑体" w:cs="Times New Roman"/>
                <w:b w:val="0"/>
                <w:bCs w:val="0"/>
                <w:color w:val="auto"/>
                <w:szCs w:val="21"/>
                <w:highlight w:val="none"/>
                <w:lang w:val="en-US" w:eastAsia="zh-CN"/>
              </w:rPr>
              <w:t>-</w:t>
            </w:r>
            <w:r>
              <w:rPr>
                <w:rFonts w:hint="default" w:ascii="Times New Roman" w:hAnsi="Times New Roman" w:eastAsia="黑体" w:cs="Times New Roman"/>
                <w:b w:val="0"/>
                <w:bCs w:val="0"/>
                <w:color w:val="auto"/>
                <w:szCs w:val="21"/>
                <w:highlight w:val="none"/>
              </w:rPr>
              <w:t>1 项目废气处理去向示意图</w:t>
            </w:r>
          </w:p>
          <w:p w14:paraId="0E9B1BA6">
            <w:pPr>
              <w:keepNext/>
              <w:keepLines/>
              <w:spacing w:line="360" w:lineRule="auto"/>
              <w:jc w:val="center"/>
              <w:rPr>
                <w:b/>
                <w:bCs/>
                <w:color w:val="auto"/>
                <w:szCs w:val="21"/>
                <w:highlight w:val="none"/>
              </w:rPr>
            </w:pPr>
          </w:p>
          <w:p w14:paraId="19D9B93E">
            <w:pPr>
              <w:keepNext/>
              <w:keepLines/>
              <w:spacing w:line="360" w:lineRule="auto"/>
              <w:ind w:firstLine="420" w:firstLineChars="200"/>
              <w:rPr>
                <w:b/>
                <w:bCs/>
                <w:color w:val="auto"/>
                <w:highlight w:val="none"/>
              </w:rPr>
            </w:pPr>
            <w:r>
              <w:rPr>
                <w:rFonts w:hint="default"/>
                <w:color w:val="auto"/>
                <w:szCs w:val="21"/>
                <w:highlight w:val="none"/>
              </w:rPr>
              <w:t>项目主要废气污染防治措施汇总见表</w:t>
            </w:r>
            <w:r>
              <w:rPr>
                <w:rFonts w:hint="default"/>
                <w:color w:val="auto"/>
                <w:szCs w:val="21"/>
                <w:highlight w:val="none"/>
                <w:lang w:val="en-US" w:eastAsia="zh-CN"/>
              </w:rPr>
              <w:t>4-</w:t>
            </w:r>
            <w:r>
              <w:rPr>
                <w:rFonts w:hint="eastAsia" w:ascii="Times New Roman" w:hAnsi="Times New Roman" w:cs="Times New Roman"/>
                <w:color w:val="auto"/>
                <w:szCs w:val="21"/>
                <w:highlight w:val="none"/>
                <w:lang w:val="en-US" w:eastAsia="zh-CN"/>
              </w:rPr>
              <w:t>1</w:t>
            </w:r>
            <w:r>
              <w:rPr>
                <w:rFonts w:hint="default"/>
                <w:color w:val="auto"/>
                <w:szCs w:val="21"/>
                <w:highlight w:val="none"/>
              </w:rPr>
              <w:t>：</w:t>
            </w:r>
          </w:p>
          <w:p w14:paraId="74587735">
            <w:pPr>
              <w:autoSpaceDE w:val="0"/>
              <w:autoSpaceDN w:val="0"/>
              <w:adjustRightInd w:val="0"/>
              <w:spacing w:line="360" w:lineRule="auto"/>
              <w:rPr>
                <w:bCs/>
                <w:color w:val="auto"/>
                <w:spacing w:val="-10"/>
                <w:szCs w:val="21"/>
                <w:highlight w:val="none"/>
              </w:rPr>
            </w:pPr>
          </w:p>
        </w:tc>
      </w:tr>
    </w:tbl>
    <w:p w14:paraId="014D5CF7">
      <w:pPr>
        <w:adjustRightInd w:val="0"/>
        <w:snapToGrid w:val="0"/>
        <w:spacing w:line="360" w:lineRule="auto"/>
        <w:rPr>
          <w:rFonts w:ascii="Times New Roman" w:hAnsi="Times New Roman" w:cs="Times New Roman"/>
          <w:b/>
          <w:color w:val="auto"/>
          <w:kern w:val="0"/>
          <w:sz w:val="28"/>
          <w:szCs w:val="28"/>
          <w:highlight w:val="none"/>
        </w:rPr>
        <w:sectPr>
          <w:pgSz w:w="11907" w:h="16840"/>
          <w:pgMar w:top="1701" w:right="1531" w:bottom="2127" w:left="1531" w:header="851" w:footer="851" w:gutter="0"/>
          <w:pgBorders>
            <w:top w:val="none" w:sz="0" w:space="0"/>
            <w:left w:val="none" w:sz="0" w:space="0"/>
            <w:bottom w:val="none" w:sz="0" w:space="0"/>
            <w:right w:val="none" w:sz="0" w:space="0"/>
          </w:pgBorders>
          <w:cols w:space="720" w:num="1"/>
          <w:docGrid w:linePitch="312" w:charSpace="0"/>
        </w:sectPr>
      </w:pPr>
    </w:p>
    <w:p w14:paraId="709EF22A">
      <w:pPr>
        <w:numPr>
          <w:ilvl w:val="0"/>
          <w:numId w:val="8"/>
        </w:numPr>
        <w:spacing w:line="360" w:lineRule="auto"/>
        <w:jc w:val="center"/>
        <w:rPr>
          <w:rFonts w:hint="default" w:ascii="Times New Roman" w:hAnsi="Times New Roman" w:eastAsia="黑体" w:cs="Times New Roman"/>
          <w:b w:val="0"/>
          <w:bCs w:val="0"/>
          <w:color w:val="auto"/>
          <w:highlight w:val="none"/>
        </w:rPr>
      </w:pPr>
      <w:r>
        <w:rPr>
          <w:rFonts w:hint="default" w:ascii="Times New Roman" w:hAnsi="Times New Roman" w:eastAsia="黑体" w:cs="Times New Roman"/>
          <w:b w:val="0"/>
          <w:bCs w:val="0"/>
          <w:color w:val="auto"/>
          <w:highlight w:val="none"/>
          <w:lang w:val="en-US" w:eastAsia="zh-CN"/>
        </w:rPr>
        <w:t xml:space="preserve"> </w:t>
      </w:r>
      <w:r>
        <w:rPr>
          <w:rFonts w:hint="default" w:ascii="Times New Roman" w:hAnsi="Times New Roman" w:eastAsia="黑体" w:cs="Times New Roman"/>
          <w:b w:val="0"/>
          <w:bCs w:val="0"/>
          <w:color w:val="auto"/>
          <w:highlight w:val="none"/>
        </w:rPr>
        <w:t>项目废气收集及处理措施</w:t>
      </w:r>
    </w:p>
    <w:tbl>
      <w:tblPr>
        <w:tblStyle w:val="24"/>
        <w:tblW w:w="4998" w:type="pct"/>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autofit"/>
        <w:tblCellMar>
          <w:top w:w="0" w:type="dxa"/>
          <w:left w:w="108" w:type="dxa"/>
          <w:bottom w:w="0" w:type="dxa"/>
          <w:right w:w="108" w:type="dxa"/>
        </w:tblCellMar>
      </w:tblPr>
      <w:tblGrid>
        <w:gridCol w:w="1296"/>
        <w:gridCol w:w="1116"/>
        <w:gridCol w:w="1088"/>
        <w:gridCol w:w="2827"/>
        <w:gridCol w:w="3456"/>
        <w:gridCol w:w="937"/>
        <w:gridCol w:w="3810"/>
        <w:gridCol w:w="1132"/>
        <w:gridCol w:w="3166"/>
        <w:gridCol w:w="1117"/>
      </w:tblGrid>
      <w:tr w14:paraId="6139239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758" w:hRule="atLeast"/>
          <w:jc w:val="center"/>
        </w:trPr>
        <w:tc>
          <w:tcPr>
            <w:tcW w:w="259" w:type="pct"/>
            <w:tcBorders>
              <w:tl2br w:val="nil"/>
              <w:tr2bl w:val="nil"/>
            </w:tcBorders>
            <w:noWrap/>
            <w:vAlign w:val="center"/>
          </w:tcPr>
          <w:p w14:paraId="6B053CA8">
            <w:pPr>
              <w:widowControl/>
              <w:jc w:val="center"/>
              <w:textAlignment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工序</w:t>
            </w:r>
          </w:p>
        </w:tc>
        <w:tc>
          <w:tcPr>
            <w:tcW w:w="321" w:type="pct"/>
            <w:tcBorders>
              <w:tl2br w:val="nil"/>
              <w:tr2bl w:val="nil"/>
            </w:tcBorders>
            <w:noWrap/>
            <w:vAlign w:val="center"/>
          </w:tcPr>
          <w:p w14:paraId="0C34E6A2">
            <w:pPr>
              <w:widowControl/>
              <w:jc w:val="center"/>
              <w:textAlignment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kern w:val="0"/>
                <w:sz w:val="18"/>
                <w:szCs w:val="18"/>
                <w:highlight w:val="none"/>
                <w:lang w:bidi="ar"/>
              </w:rPr>
              <w:t>设备</w:t>
            </w:r>
          </w:p>
        </w:tc>
        <w:tc>
          <w:tcPr>
            <w:tcW w:w="381" w:type="pct"/>
            <w:tcBorders>
              <w:tl2br w:val="nil"/>
              <w:tr2bl w:val="nil"/>
            </w:tcBorders>
            <w:noWrap/>
            <w:vAlign w:val="center"/>
          </w:tcPr>
          <w:p w14:paraId="42C1328A">
            <w:pPr>
              <w:widowControl/>
              <w:jc w:val="center"/>
              <w:textAlignment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kern w:val="0"/>
                <w:sz w:val="18"/>
                <w:szCs w:val="18"/>
                <w:highlight w:val="none"/>
                <w:lang w:bidi="ar"/>
              </w:rPr>
              <w:t>产污环节</w:t>
            </w:r>
          </w:p>
        </w:tc>
        <w:tc>
          <w:tcPr>
            <w:tcW w:w="755" w:type="pct"/>
            <w:tcBorders>
              <w:tl2br w:val="nil"/>
              <w:tr2bl w:val="nil"/>
            </w:tcBorders>
            <w:noWrap/>
            <w:vAlign w:val="center"/>
          </w:tcPr>
          <w:p w14:paraId="72D41EAA">
            <w:pPr>
              <w:widowControl/>
              <w:jc w:val="center"/>
              <w:textAlignment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kern w:val="0"/>
                <w:sz w:val="18"/>
                <w:szCs w:val="18"/>
                <w:highlight w:val="none"/>
                <w:lang w:bidi="ar"/>
              </w:rPr>
              <w:t>污染物种类</w:t>
            </w:r>
          </w:p>
        </w:tc>
        <w:tc>
          <w:tcPr>
            <w:tcW w:w="895" w:type="pct"/>
            <w:tcBorders>
              <w:tl2br w:val="nil"/>
              <w:tr2bl w:val="nil"/>
            </w:tcBorders>
            <w:noWrap/>
            <w:vAlign w:val="center"/>
          </w:tcPr>
          <w:p w14:paraId="24AAB5DB">
            <w:pPr>
              <w:widowControl/>
              <w:jc w:val="center"/>
              <w:textAlignment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kern w:val="0"/>
                <w:sz w:val="18"/>
                <w:szCs w:val="18"/>
                <w:highlight w:val="none"/>
                <w:lang w:bidi="ar"/>
              </w:rPr>
              <w:t>废气收集措施</w:t>
            </w:r>
          </w:p>
        </w:tc>
        <w:tc>
          <w:tcPr>
            <w:tcW w:w="277" w:type="pct"/>
            <w:tcBorders>
              <w:tl2br w:val="nil"/>
              <w:tr2bl w:val="nil"/>
            </w:tcBorders>
            <w:noWrap/>
            <w:vAlign w:val="center"/>
          </w:tcPr>
          <w:p w14:paraId="5B444B0B">
            <w:pPr>
              <w:widowControl/>
              <w:jc w:val="center"/>
              <w:textAlignment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kern w:val="0"/>
                <w:sz w:val="18"/>
                <w:szCs w:val="18"/>
                <w:highlight w:val="none"/>
                <w:lang w:bidi="ar"/>
              </w:rPr>
              <w:t>收集效率</w:t>
            </w:r>
          </w:p>
        </w:tc>
        <w:tc>
          <w:tcPr>
            <w:tcW w:w="1105" w:type="pct"/>
            <w:tcBorders>
              <w:tl2br w:val="nil"/>
              <w:tr2bl w:val="nil"/>
            </w:tcBorders>
            <w:noWrap/>
            <w:vAlign w:val="center"/>
          </w:tcPr>
          <w:p w14:paraId="2F5C91F8">
            <w:pPr>
              <w:widowControl/>
              <w:jc w:val="center"/>
              <w:textAlignment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kern w:val="0"/>
                <w:sz w:val="18"/>
                <w:szCs w:val="18"/>
                <w:highlight w:val="none"/>
                <w:lang w:bidi="ar"/>
              </w:rPr>
              <w:t>处理措施</w:t>
            </w:r>
          </w:p>
        </w:tc>
        <w:tc>
          <w:tcPr>
            <w:tcW w:w="373" w:type="pct"/>
            <w:tcBorders>
              <w:tl2br w:val="nil"/>
              <w:tr2bl w:val="nil"/>
            </w:tcBorders>
            <w:noWrap/>
            <w:vAlign w:val="center"/>
          </w:tcPr>
          <w:p w14:paraId="2C8BA23A">
            <w:pPr>
              <w:widowControl/>
              <w:jc w:val="center"/>
              <w:textAlignment w:val="center"/>
              <w:rPr>
                <w:rFonts w:hint="default" w:ascii="Times New Roman" w:hAnsi="Times New Roman" w:cs="Times New Roman"/>
                <w:color w:val="auto"/>
                <w:kern w:val="0"/>
                <w:sz w:val="18"/>
                <w:szCs w:val="18"/>
                <w:highlight w:val="none"/>
                <w:lang w:bidi="ar"/>
              </w:rPr>
            </w:pPr>
            <w:r>
              <w:rPr>
                <w:rFonts w:hint="default" w:ascii="Times New Roman" w:hAnsi="Times New Roman" w:cs="Times New Roman"/>
                <w:color w:val="auto"/>
                <w:kern w:val="0"/>
                <w:sz w:val="18"/>
                <w:szCs w:val="18"/>
                <w:highlight w:val="none"/>
                <w:lang w:bidi="ar"/>
              </w:rPr>
              <w:t>处理效率</w:t>
            </w:r>
          </w:p>
        </w:tc>
        <w:tc>
          <w:tcPr>
            <w:tcW w:w="296" w:type="pct"/>
            <w:tcBorders>
              <w:tl2br w:val="nil"/>
              <w:tr2bl w:val="nil"/>
            </w:tcBorders>
            <w:noWrap/>
            <w:vAlign w:val="center"/>
          </w:tcPr>
          <w:p w14:paraId="57D86ED8">
            <w:pPr>
              <w:widowControl/>
              <w:jc w:val="center"/>
              <w:textAlignment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kern w:val="0"/>
                <w:sz w:val="18"/>
                <w:szCs w:val="18"/>
                <w:highlight w:val="none"/>
                <w:lang w:bidi="ar"/>
              </w:rPr>
              <w:t>风量</w:t>
            </w:r>
          </w:p>
        </w:tc>
        <w:tc>
          <w:tcPr>
            <w:tcW w:w="331" w:type="pct"/>
            <w:tcBorders>
              <w:tl2br w:val="nil"/>
              <w:tr2bl w:val="nil"/>
            </w:tcBorders>
            <w:noWrap/>
            <w:vAlign w:val="center"/>
          </w:tcPr>
          <w:p w14:paraId="4CA51328">
            <w:pPr>
              <w:widowControl/>
              <w:jc w:val="center"/>
              <w:textAlignment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kern w:val="0"/>
                <w:sz w:val="18"/>
                <w:szCs w:val="18"/>
                <w:highlight w:val="none"/>
                <w:lang w:bidi="ar"/>
              </w:rPr>
              <w:t>排放口编号</w:t>
            </w:r>
          </w:p>
        </w:tc>
      </w:tr>
      <w:tr w14:paraId="2B6A275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259" w:type="pct"/>
            <w:vMerge w:val="restart"/>
            <w:tcBorders>
              <w:tl2br w:val="nil"/>
              <w:tr2bl w:val="nil"/>
            </w:tcBorders>
            <w:noWrap/>
            <w:vAlign w:val="center"/>
          </w:tcPr>
          <w:p w14:paraId="4E622D8C">
            <w:pPr>
              <w:widowControl/>
              <w:jc w:val="center"/>
              <w:textAlignment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kern w:val="0"/>
                <w:sz w:val="18"/>
                <w:szCs w:val="18"/>
                <w:highlight w:val="none"/>
                <w:lang w:bidi="ar"/>
              </w:rPr>
              <w:t>正极材料制备</w:t>
            </w:r>
          </w:p>
        </w:tc>
        <w:tc>
          <w:tcPr>
            <w:tcW w:w="321" w:type="pct"/>
            <w:tcBorders>
              <w:tl2br w:val="nil"/>
              <w:tr2bl w:val="nil"/>
            </w:tcBorders>
            <w:noWrap/>
            <w:vAlign w:val="center"/>
          </w:tcPr>
          <w:p w14:paraId="2CAC9BA1">
            <w:pPr>
              <w:widowControl/>
              <w:jc w:val="center"/>
              <w:textAlignment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kern w:val="0"/>
                <w:sz w:val="18"/>
                <w:szCs w:val="18"/>
                <w:highlight w:val="none"/>
                <w:lang w:bidi="ar"/>
              </w:rPr>
              <w:t>喷雾干燥器</w:t>
            </w:r>
          </w:p>
        </w:tc>
        <w:tc>
          <w:tcPr>
            <w:tcW w:w="381" w:type="pct"/>
            <w:tcBorders>
              <w:tl2br w:val="nil"/>
              <w:tr2bl w:val="nil"/>
            </w:tcBorders>
            <w:noWrap/>
            <w:vAlign w:val="center"/>
          </w:tcPr>
          <w:p w14:paraId="02F1113B">
            <w:pPr>
              <w:widowControl/>
              <w:jc w:val="center"/>
              <w:textAlignment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kern w:val="0"/>
                <w:sz w:val="18"/>
                <w:szCs w:val="18"/>
                <w:highlight w:val="none"/>
                <w:lang w:bidi="ar"/>
              </w:rPr>
              <w:t>喷雾干燥</w:t>
            </w:r>
          </w:p>
        </w:tc>
        <w:tc>
          <w:tcPr>
            <w:tcW w:w="755" w:type="pct"/>
            <w:tcBorders>
              <w:tl2br w:val="nil"/>
              <w:tr2bl w:val="nil"/>
            </w:tcBorders>
            <w:noWrap/>
            <w:vAlign w:val="center"/>
          </w:tcPr>
          <w:p w14:paraId="1342501C">
            <w:pPr>
              <w:widowControl/>
              <w:jc w:val="center"/>
              <w:textAlignment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kern w:val="0"/>
                <w:sz w:val="18"/>
                <w:szCs w:val="18"/>
                <w:highlight w:val="none"/>
                <w:lang w:bidi="ar"/>
              </w:rPr>
              <w:t>颗粒物</w:t>
            </w:r>
          </w:p>
        </w:tc>
        <w:tc>
          <w:tcPr>
            <w:tcW w:w="895" w:type="pct"/>
            <w:tcBorders>
              <w:tl2br w:val="nil"/>
              <w:tr2bl w:val="nil"/>
            </w:tcBorders>
            <w:noWrap/>
            <w:vAlign w:val="center"/>
          </w:tcPr>
          <w:p w14:paraId="0AEBAB26">
            <w:pPr>
              <w:widowControl/>
              <w:jc w:val="center"/>
              <w:textAlignment w:val="center"/>
              <w:rPr>
                <w:rFonts w:hint="default" w:ascii="Times New Roman" w:hAnsi="Times New Roman" w:cs="Times New Roman"/>
                <w:color w:val="auto"/>
                <w:sz w:val="18"/>
                <w:szCs w:val="18"/>
                <w:highlight w:val="none"/>
              </w:rPr>
            </w:pPr>
            <w:r>
              <w:rPr>
                <w:rFonts w:hint="default" w:cs="Times New Roman"/>
                <w:color w:val="auto"/>
                <w:kern w:val="0"/>
                <w:sz w:val="18"/>
                <w:szCs w:val="18"/>
                <w:highlight w:val="none"/>
                <w:lang w:val="en-US" w:eastAsia="zh-CN" w:bidi="ar"/>
              </w:rPr>
              <w:t>设备内收集处理，后接</w:t>
            </w:r>
            <w:r>
              <w:rPr>
                <w:rFonts w:hint="default" w:ascii="Times New Roman" w:hAnsi="Times New Roman" w:cs="Times New Roman"/>
                <w:color w:val="auto"/>
                <w:kern w:val="0"/>
                <w:sz w:val="18"/>
                <w:szCs w:val="18"/>
                <w:highlight w:val="none"/>
                <w:lang w:bidi="ar"/>
              </w:rPr>
              <w:t>直连管道密闭收集</w:t>
            </w:r>
          </w:p>
        </w:tc>
        <w:tc>
          <w:tcPr>
            <w:tcW w:w="277" w:type="pct"/>
            <w:tcBorders>
              <w:tl2br w:val="nil"/>
              <w:tr2bl w:val="nil"/>
            </w:tcBorders>
            <w:noWrap/>
            <w:vAlign w:val="center"/>
          </w:tcPr>
          <w:p w14:paraId="09C0281E">
            <w:pPr>
              <w:widowControl/>
              <w:jc w:val="center"/>
              <w:textAlignment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kern w:val="0"/>
                <w:sz w:val="18"/>
                <w:szCs w:val="18"/>
                <w:highlight w:val="none"/>
                <w:lang w:bidi="ar"/>
              </w:rPr>
              <w:t>100%</w:t>
            </w:r>
          </w:p>
        </w:tc>
        <w:tc>
          <w:tcPr>
            <w:tcW w:w="1105" w:type="pct"/>
            <w:tcBorders>
              <w:tl2br w:val="nil"/>
              <w:tr2bl w:val="nil"/>
            </w:tcBorders>
            <w:noWrap/>
            <w:vAlign w:val="center"/>
          </w:tcPr>
          <w:p w14:paraId="25AF98EC">
            <w:pPr>
              <w:widowControl/>
              <w:jc w:val="center"/>
              <w:textAlignment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cs="Times New Roman"/>
                <w:color w:val="auto"/>
                <w:kern w:val="0"/>
                <w:sz w:val="18"/>
                <w:szCs w:val="18"/>
                <w:highlight w:val="none"/>
                <w:lang w:bidi="ar"/>
              </w:rPr>
              <w:t>布袋除尘器（TA001）</w:t>
            </w:r>
            <w:r>
              <w:rPr>
                <w:rFonts w:hint="default" w:cs="Times New Roman"/>
                <w:color w:val="auto"/>
                <w:kern w:val="0"/>
                <w:sz w:val="18"/>
                <w:szCs w:val="18"/>
                <w:highlight w:val="none"/>
                <w:vertAlign w:val="superscript"/>
                <w:lang w:val="en-US" w:eastAsia="zh-CN" w:bidi="ar"/>
              </w:rPr>
              <w:t>①</w:t>
            </w:r>
          </w:p>
        </w:tc>
        <w:tc>
          <w:tcPr>
            <w:tcW w:w="373" w:type="pct"/>
            <w:tcBorders>
              <w:tl2br w:val="nil"/>
              <w:tr2bl w:val="nil"/>
            </w:tcBorders>
            <w:noWrap/>
            <w:vAlign w:val="center"/>
          </w:tcPr>
          <w:p w14:paraId="5C28D000">
            <w:pPr>
              <w:widowControl/>
              <w:jc w:val="center"/>
              <w:textAlignment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cs="Times New Roman"/>
                <w:color w:val="auto"/>
                <w:kern w:val="0"/>
                <w:sz w:val="18"/>
                <w:szCs w:val="18"/>
                <w:highlight w:val="none"/>
                <w:lang w:val="en-US" w:eastAsia="zh-CN" w:bidi="ar"/>
              </w:rPr>
              <w:t>70%</w:t>
            </w:r>
          </w:p>
        </w:tc>
        <w:tc>
          <w:tcPr>
            <w:tcW w:w="296" w:type="pct"/>
            <w:vMerge w:val="restart"/>
            <w:tcBorders>
              <w:tl2br w:val="nil"/>
              <w:tr2bl w:val="nil"/>
            </w:tcBorders>
            <w:noWrap/>
            <w:vAlign w:val="center"/>
          </w:tcPr>
          <w:p w14:paraId="6127371A">
            <w:pPr>
              <w:widowControl/>
              <w:jc w:val="center"/>
              <w:textAlignment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cs="Times New Roman"/>
                <w:color w:val="auto"/>
                <w:kern w:val="0"/>
                <w:sz w:val="18"/>
                <w:szCs w:val="18"/>
                <w:highlight w:val="none"/>
                <w:lang w:bidi="ar"/>
              </w:rPr>
              <w:t>喷淋塔自带风机，设计风量2000 m</w:t>
            </w:r>
            <w:r>
              <w:rPr>
                <w:rFonts w:hint="default" w:ascii="Times New Roman" w:hAnsi="Times New Roman" w:cs="Times New Roman"/>
                <w:color w:val="auto"/>
                <w:kern w:val="0"/>
                <w:sz w:val="18"/>
                <w:szCs w:val="18"/>
                <w:highlight w:val="none"/>
                <w:vertAlign w:val="superscript"/>
                <w:lang w:bidi="ar"/>
              </w:rPr>
              <w:t>3</w:t>
            </w:r>
            <w:r>
              <w:rPr>
                <w:rFonts w:hint="default" w:ascii="Times New Roman" w:hAnsi="Times New Roman" w:cs="Times New Roman"/>
                <w:color w:val="auto"/>
                <w:kern w:val="0"/>
                <w:sz w:val="18"/>
                <w:szCs w:val="18"/>
                <w:highlight w:val="none"/>
                <w:lang w:bidi="ar"/>
              </w:rPr>
              <w:t>/h</w:t>
            </w:r>
          </w:p>
        </w:tc>
        <w:tc>
          <w:tcPr>
            <w:tcW w:w="331" w:type="pct"/>
            <w:vMerge w:val="restart"/>
            <w:tcBorders>
              <w:tl2br w:val="nil"/>
              <w:tr2bl w:val="nil"/>
            </w:tcBorders>
            <w:noWrap/>
            <w:vAlign w:val="center"/>
          </w:tcPr>
          <w:p w14:paraId="3D9C48A8">
            <w:pPr>
              <w:widowControl/>
              <w:jc w:val="center"/>
              <w:textAlignment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cs="Times New Roman"/>
                <w:color w:val="auto"/>
                <w:kern w:val="0"/>
                <w:sz w:val="18"/>
                <w:szCs w:val="18"/>
                <w:highlight w:val="none"/>
                <w:lang w:bidi="ar"/>
              </w:rPr>
              <w:t>DA001</w:t>
            </w:r>
          </w:p>
        </w:tc>
      </w:tr>
      <w:tr w14:paraId="0F915BD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259" w:type="pct"/>
            <w:vMerge w:val="continue"/>
            <w:tcBorders>
              <w:tl2br w:val="nil"/>
              <w:tr2bl w:val="nil"/>
            </w:tcBorders>
            <w:noWrap/>
            <w:vAlign w:val="center"/>
          </w:tcPr>
          <w:p w14:paraId="508935A9">
            <w:pPr>
              <w:widowControl/>
              <w:jc w:val="center"/>
              <w:rPr>
                <w:rFonts w:hint="default" w:ascii="Times New Roman" w:hAnsi="Times New Roman" w:cs="Times New Roman"/>
                <w:color w:val="auto"/>
                <w:sz w:val="18"/>
                <w:szCs w:val="18"/>
                <w:highlight w:val="none"/>
              </w:rPr>
            </w:pPr>
          </w:p>
        </w:tc>
        <w:tc>
          <w:tcPr>
            <w:tcW w:w="321" w:type="pct"/>
            <w:tcBorders>
              <w:tl2br w:val="nil"/>
              <w:tr2bl w:val="nil"/>
            </w:tcBorders>
            <w:noWrap/>
            <w:vAlign w:val="center"/>
          </w:tcPr>
          <w:p w14:paraId="02D80D25">
            <w:pPr>
              <w:widowControl/>
              <w:jc w:val="center"/>
              <w:textAlignment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kern w:val="0"/>
                <w:sz w:val="18"/>
                <w:szCs w:val="18"/>
                <w:highlight w:val="none"/>
                <w:lang w:bidi="ar"/>
              </w:rPr>
              <w:t>气流粉碎机</w:t>
            </w:r>
          </w:p>
        </w:tc>
        <w:tc>
          <w:tcPr>
            <w:tcW w:w="381" w:type="pct"/>
            <w:tcBorders>
              <w:tl2br w:val="nil"/>
              <w:tr2bl w:val="nil"/>
            </w:tcBorders>
            <w:noWrap/>
            <w:vAlign w:val="center"/>
          </w:tcPr>
          <w:p w14:paraId="58AB7CBA">
            <w:pPr>
              <w:widowControl/>
              <w:jc w:val="center"/>
              <w:textAlignment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kern w:val="0"/>
                <w:sz w:val="18"/>
                <w:szCs w:val="18"/>
                <w:highlight w:val="none"/>
                <w:lang w:bidi="ar"/>
              </w:rPr>
              <w:t>气流粉碎</w:t>
            </w:r>
          </w:p>
        </w:tc>
        <w:tc>
          <w:tcPr>
            <w:tcW w:w="755" w:type="pct"/>
            <w:tcBorders>
              <w:tl2br w:val="nil"/>
              <w:tr2bl w:val="nil"/>
            </w:tcBorders>
            <w:noWrap/>
            <w:vAlign w:val="center"/>
          </w:tcPr>
          <w:p w14:paraId="1E12EB73">
            <w:pPr>
              <w:widowControl/>
              <w:jc w:val="center"/>
              <w:textAlignment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kern w:val="0"/>
                <w:sz w:val="18"/>
                <w:szCs w:val="18"/>
                <w:highlight w:val="none"/>
                <w:lang w:bidi="ar"/>
              </w:rPr>
              <w:t>颗粒物</w:t>
            </w:r>
          </w:p>
        </w:tc>
        <w:tc>
          <w:tcPr>
            <w:tcW w:w="895" w:type="pct"/>
            <w:tcBorders>
              <w:tl2br w:val="nil"/>
              <w:tr2bl w:val="nil"/>
            </w:tcBorders>
            <w:noWrap/>
            <w:vAlign w:val="center"/>
          </w:tcPr>
          <w:p w14:paraId="7CA8CF50">
            <w:pPr>
              <w:widowControl/>
              <w:jc w:val="center"/>
              <w:textAlignment w:val="center"/>
              <w:rPr>
                <w:rFonts w:hint="default" w:ascii="Times New Roman" w:hAnsi="Times New Roman" w:cs="Times New Roman"/>
                <w:color w:val="auto"/>
                <w:sz w:val="18"/>
                <w:szCs w:val="18"/>
                <w:highlight w:val="none"/>
              </w:rPr>
            </w:pPr>
            <w:r>
              <w:rPr>
                <w:rFonts w:hint="default" w:cs="Times New Roman"/>
                <w:color w:val="auto"/>
                <w:kern w:val="0"/>
                <w:sz w:val="18"/>
                <w:szCs w:val="18"/>
                <w:highlight w:val="none"/>
                <w:lang w:val="en-US" w:eastAsia="zh-CN" w:bidi="ar"/>
              </w:rPr>
              <w:t>设备内收集处理，后接</w:t>
            </w:r>
            <w:r>
              <w:rPr>
                <w:rFonts w:hint="default" w:ascii="Times New Roman" w:hAnsi="Times New Roman" w:cs="Times New Roman"/>
                <w:color w:val="auto"/>
                <w:kern w:val="0"/>
                <w:sz w:val="18"/>
                <w:szCs w:val="18"/>
                <w:highlight w:val="none"/>
                <w:lang w:bidi="ar"/>
              </w:rPr>
              <w:t>直连管道密闭收集</w:t>
            </w:r>
          </w:p>
        </w:tc>
        <w:tc>
          <w:tcPr>
            <w:tcW w:w="277" w:type="pct"/>
            <w:tcBorders>
              <w:tl2br w:val="nil"/>
              <w:tr2bl w:val="nil"/>
            </w:tcBorders>
            <w:noWrap/>
            <w:vAlign w:val="center"/>
          </w:tcPr>
          <w:p w14:paraId="3B7FAB88">
            <w:pPr>
              <w:widowControl/>
              <w:jc w:val="center"/>
              <w:textAlignment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kern w:val="0"/>
                <w:sz w:val="18"/>
                <w:szCs w:val="18"/>
                <w:highlight w:val="none"/>
                <w:lang w:bidi="ar"/>
              </w:rPr>
              <w:t>100%</w:t>
            </w:r>
          </w:p>
        </w:tc>
        <w:tc>
          <w:tcPr>
            <w:tcW w:w="1105" w:type="pct"/>
            <w:tcBorders>
              <w:tl2br w:val="nil"/>
              <w:tr2bl w:val="nil"/>
            </w:tcBorders>
            <w:noWrap/>
            <w:vAlign w:val="center"/>
          </w:tcPr>
          <w:p w14:paraId="339BCFFD">
            <w:pPr>
              <w:widowControl/>
              <w:jc w:val="center"/>
              <w:textAlignment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cs="Times New Roman"/>
                <w:color w:val="auto"/>
                <w:kern w:val="0"/>
                <w:sz w:val="18"/>
                <w:szCs w:val="18"/>
                <w:highlight w:val="none"/>
                <w:lang w:bidi="ar"/>
              </w:rPr>
              <w:t>布袋除尘器（TA002）</w:t>
            </w:r>
            <w:r>
              <w:rPr>
                <w:rFonts w:hint="default" w:cs="Times New Roman"/>
                <w:color w:val="auto"/>
                <w:kern w:val="0"/>
                <w:sz w:val="18"/>
                <w:szCs w:val="18"/>
                <w:highlight w:val="none"/>
                <w:vertAlign w:val="superscript"/>
                <w:lang w:val="en-US" w:eastAsia="zh-CN" w:bidi="ar"/>
              </w:rPr>
              <w:t>②</w:t>
            </w:r>
          </w:p>
        </w:tc>
        <w:tc>
          <w:tcPr>
            <w:tcW w:w="373" w:type="pct"/>
            <w:tcBorders>
              <w:tl2br w:val="nil"/>
              <w:tr2bl w:val="nil"/>
            </w:tcBorders>
            <w:noWrap/>
            <w:vAlign w:val="center"/>
          </w:tcPr>
          <w:p w14:paraId="17491629">
            <w:pPr>
              <w:widowControl/>
              <w:jc w:val="center"/>
              <w:textAlignment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cs="Times New Roman"/>
                <w:color w:val="auto"/>
                <w:kern w:val="0"/>
                <w:sz w:val="18"/>
                <w:szCs w:val="18"/>
                <w:highlight w:val="none"/>
                <w:lang w:val="en-US" w:eastAsia="zh-CN" w:bidi="ar"/>
              </w:rPr>
              <w:t>70%</w:t>
            </w:r>
          </w:p>
        </w:tc>
        <w:tc>
          <w:tcPr>
            <w:tcW w:w="296" w:type="pct"/>
            <w:vMerge w:val="continue"/>
            <w:tcBorders>
              <w:tl2br w:val="nil"/>
              <w:tr2bl w:val="nil"/>
            </w:tcBorders>
            <w:noWrap/>
            <w:vAlign w:val="center"/>
          </w:tcPr>
          <w:p w14:paraId="501A3B00">
            <w:pPr>
              <w:widowControl/>
              <w:jc w:val="center"/>
              <w:rPr>
                <w:rFonts w:hint="default" w:ascii="Times New Roman" w:hAnsi="Times New Roman" w:cs="Times New Roman"/>
                <w:color w:val="auto"/>
                <w:sz w:val="18"/>
                <w:szCs w:val="18"/>
                <w:highlight w:val="none"/>
              </w:rPr>
            </w:pPr>
          </w:p>
        </w:tc>
        <w:tc>
          <w:tcPr>
            <w:tcW w:w="331" w:type="pct"/>
            <w:vMerge w:val="continue"/>
            <w:tcBorders>
              <w:tl2br w:val="nil"/>
              <w:tr2bl w:val="nil"/>
            </w:tcBorders>
            <w:noWrap/>
            <w:vAlign w:val="center"/>
          </w:tcPr>
          <w:p w14:paraId="1D75845B">
            <w:pPr>
              <w:widowControl/>
              <w:jc w:val="center"/>
              <w:rPr>
                <w:rFonts w:hint="default" w:ascii="Times New Roman" w:hAnsi="Times New Roman" w:cs="Times New Roman"/>
                <w:color w:val="auto"/>
                <w:sz w:val="18"/>
                <w:szCs w:val="18"/>
                <w:highlight w:val="none"/>
              </w:rPr>
            </w:pPr>
          </w:p>
        </w:tc>
      </w:tr>
      <w:tr w14:paraId="1F34276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259" w:type="pct"/>
            <w:vMerge w:val="continue"/>
            <w:tcBorders>
              <w:tl2br w:val="nil"/>
              <w:tr2bl w:val="nil"/>
            </w:tcBorders>
            <w:noWrap/>
            <w:vAlign w:val="center"/>
          </w:tcPr>
          <w:p w14:paraId="0FC24426">
            <w:pPr>
              <w:widowControl/>
              <w:jc w:val="center"/>
              <w:rPr>
                <w:rFonts w:hint="default" w:ascii="Times New Roman" w:hAnsi="Times New Roman" w:cs="Times New Roman"/>
                <w:color w:val="auto"/>
                <w:sz w:val="18"/>
                <w:szCs w:val="18"/>
                <w:highlight w:val="none"/>
              </w:rPr>
            </w:pPr>
          </w:p>
        </w:tc>
        <w:tc>
          <w:tcPr>
            <w:tcW w:w="321" w:type="pct"/>
            <w:tcBorders>
              <w:tl2br w:val="nil"/>
              <w:tr2bl w:val="nil"/>
            </w:tcBorders>
            <w:noWrap/>
            <w:vAlign w:val="center"/>
          </w:tcPr>
          <w:p w14:paraId="5AD4B8B6">
            <w:pPr>
              <w:widowControl/>
              <w:jc w:val="center"/>
              <w:textAlignment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kern w:val="0"/>
                <w:sz w:val="18"/>
                <w:szCs w:val="18"/>
                <w:highlight w:val="none"/>
                <w:lang w:bidi="ar"/>
              </w:rPr>
              <w:t>箱式炉</w:t>
            </w:r>
          </w:p>
        </w:tc>
        <w:tc>
          <w:tcPr>
            <w:tcW w:w="381" w:type="pct"/>
            <w:tcBorders>
              <w:tl2br w:val="nil"/>
              <w:tr2bl w:val="nil"/>
            </w:tcBorders>
            <w:noWrap/>
            <w:vAlign w:val="center"/>
          </w:tcPr>
          <w:p w14:paraId="1BF8D197">
            <w:pPr>
              <w:widowControl/>
              <w:jc w:val="center"/>
              <w:textAlignment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kern w:val="0"/>
                <w:sz w:val="18"/>
                <w:szCs w:val="18"/>
                <w:highlight w:val="none"/>
                <w:lang w:bidi="ar"/>
              </w:rPr>
              <w:t>气氛烧结</w:t>
            </w:r>
          </w:p>
        </w:tc>
        <w:tc>
          <w:tcPr>
            <w:tcW w:w="755" w:type="pct"/>
            <w:tcBorders>
              <w:tl2br w:val="nil"/>
              <w:tr2bl w:val="nil"/>
            </w:tcBorders>
            <w:noWrap/>
            <w:vAlign w:val="center"/>
          </w:tcPr>
          <w:p w14:paraId="5EEF1307">
            <w:pPr>
              <w:widowControl/>
              <w:jc w:val="center"/>
              <w:textAlignment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cs="Times New Roman"/>
                <w:color w:val="auto"/>
                <w:kern w:val="0"/>
                <w:sz w:val="18"/>
                <w:szCs w:val="18"/>
                <w:highlight w:val="none"/>
                <w:lang w:bidi="ar"/>
              </w:rPr>
              <w:t>颗粒物</w:t>
            </w:r>
            <w:r>
              <w:rPr>
                <w:rFonts w:hint="default" w:cs="Times New Roman"/>
                <w:color w:val="auto"/>
                <w:kern w:val="0"/>
                <w:sz w:val="18"/>
                <w:szCs w:val="18"/>
                <w:highlight w:val="none"/>
                <w:lang w:eastAsia="zh-CN" w:bidi="ar"/>
              </w:rPr>
              <w:t>、</w:t>
            </w:r>
            <w:r>
              <w:rPr>
                <w:rFonts w:hint="default" w:cs="Times New Roman"/>
                <w:color w:val="auto"/>
                <w:kern w:val="0"/>
                <w:sz w:val="18"/>
                <w:szCs w:val="18"/>
                <w:highlight w:val="none"/>
                <w:lang w:val="en-US" w:eastAsia="zh-CN" w:bidi="ar"/>
              </w:rPr>
              <w:t>VOCs（非甲烷总烃计）</w:t>
            </w:r>
          </w:p>
        </w:tc>
        <w:tc>
          <w:tcPr>
            <w:tcW w:w="895" w:type="pct"/>
            <w:tcBorders>
              <w:tl2br w:val="nil"/>
              <w:tr2bl w:val="nil"/>
            </w:tcBorders>
            <w:noWrap/>
            <w:vAlign w:val="center"/>
          </w:tcPr>
          <w:p w14:paraId="38CC3CF6">
            <w:pPr>
              <w:widowControl/>
              <w:jc w:val="center"/>
              <w:textAlignment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kern w:val="0"/>
                <w:sz w:val="18"/>
                <w:szCs w:val="18"/>
                <w:highlight w:val="none"/>
                <w:lang w:bidi="ar"/>
              </w:rPr>
              <w:t>直连管道密闭收集</w:t>
            </w:r>
          </w:p>
        </w:tc>
        <w:tc>
          <w:tcPr>
            <w:tcW w:w="277" w:type="pct"/>
            <w:tcBorders>
              <w:tl2br w:val="nil"/>
              <w:tr2bl w:val="nil"/>
            </w:tcBorders>
            <w:noWrap/>
            <w:vAlign w:val="center"/>
          </w:tcPr>
          <w:p w14:paraId="2905E4D7">
            <w:pPr>
              <w:widowControl/>
              <w:jc w:val="center"/>
              <w:textAlignment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kern w:val="0"/>
                <w:sz w:val="18"/>
                <w:szCs w:val="18"/>
                <w:highlight w:val="none"/>
                <w:lang w:bidi="ar"/>
              </w:rPr>
              <w:t>100%</w:t>
            </w:r>
          </w:p>
        </w:tc>
        <w:tc>
          <w:tcPr>
            <w:tcW w:w="1105" w:type="pct"/>
            <w:tcBorders>
              <w:tl2br w:val="nil"/>
              <w:tr2bl w:val="nil"/>
            </w:tcBorders>
            <w:noWrap/>
            <w:vAlign w:val="center"/>
          </w:tcPr>
          <w:p w14:paraId="5BC7D6BA">
            <w:pPr>
              <w:widowControl/>
              <w:jc w:val="center"/>
              <w:textAlignment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kern w:val="0"/>
                <w:sz w:val="18"/>
                <w:szCs w:val="18"/>
                <w:highlight w:val="none"/>
                <w:lang w:bidi="ar"/>
              </w:rPr>
              <w:t>水喷淋+除雾</w:t>
            </w:r>
            <w:r>
              <w:rPr>
                <w:rFonts w:hint="eastAsia" w:cs="Times New Roman"/>
                <w:color w:val="auto"/>
                <w:kern w:val="0"/>
                <w:sz w:val="18"/>
                <w:szCs w:val="18"/>
                <w:highlight w:val="none"/>
                <w:lang w:val="en-US" w:eastAsia="zh-CN" w:bidi="ar"/>
              </w:rPr>
              <w:t>除湿</w:t>
            </w:r>
            <w:r>
              <w:rPr>
                <w:rFonts w:hint="default" w:ascii="Times New Roman" w:hAnsi="Times New Roman" w:cs="Times New Roman"/>
                <w:color w:val="auto"/>
                <w:kern w:val="0"/>
                <w:sz w:val="18"/>
                <w:szCs w:val="18"/>
                <w:highlight w:val="none"/>
                <w:lang w:bidi="ar"/>
              </w:rPr>
              <w:t>+</w:t>
            </w:r>
            <w:r>
              <w:rPr>
                <w:rFonts w:hint="eastAsia" w:cs="Times New Roman"/>
                <w:color w:val="auto"/>
                <w:kern w:val="0"/>
                <w:sz w:val="18"/>
                <w:szCs w:val="18"/>
                <w:highlight w:val="none"/>
                <w:lang w:val="en-US" w:eastAsia="zh-CN" w:bidi="ar"/>
              </w:rPr>
              <w:t>一级</w:t>
            </w:r>
            <w:r>
              <w:rPr>
                <w:rFonts w:hint="default" w:ascii="Times New Roman" w:hAnsi="Times New Roman" w:cs="Times New Roman"/>
                <w:color w:val="auto"/>
                <w:kern w:val="0"/>
                <w:sz w:val="18"/>
                <w:szCs w:val="18"/>
                <w:highlight w:val="none"/>
                <w:lang w:bidi="ar"/>
              </w:rPr>
              <w:t>活性炭吸附（TA003）</w:t>
            </w:r>
          </w:p>
        </w:tc>
        <w:tc>
          <w:tcPr>
            <w:tcW w:w="373" w:type="pct"/>
            <w:tcBorders>
              <w:tl2br w:val="nil"/>
              <w:tr2bl w:val="nil"/>
            </w:tcBorders>
            <w:noWrap/>
            <w:vAlign w:val="center"/>
          </w:tcPr>
          <w:p w14:paraId="1F7127C4">
            <w:pPr>
              <w:widowControl/>
              <w:jc w:val="center"/>
              <w:textAlignment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cs="Times New Roman"/>
                <w:color w:val="auto"/>
                <w:kern w:val="0"/>
                <w:sz w:val="18"/>
                <w:szCs w:val="18"/>
                <w:highlight w:val="none"/>
                <w:lang w:val="en-US" w:eastAsia="zh-CN" w:bidi="ar"/>
              </w:rPr>
              <w:t>50%</w:t>
            </w:r>
          </w:p>
        </w:tc>
        <w:tc>
          <w:tcPr>
            <w:tcW w:w="296" w:type="pct"/>
            <w:vMerge w:val="continue"/>
            <w:tcBorders>
              <w:tl2br w:val="nil"/>
              <w:tr2bl w:val="nil"/>
            </w:tcBorders>
            <w:noWrap/>
            <w:vAlign w:val="center"/>
          </w:tcPr>
          <w:p w14:paraId="7DE1A9E2">
            <w:pPr>
              <w:widowControl/>
              <w:jc w:val="center"/>
              <w:rPr>
                <w:rFonts w:hint="default" w:ascii="Times New Roman" w:hAnsi="Times New Roman" w:cs="Times New Roman"/>
                <w:color w:val="auto"/>
                <w:sz w:val="18"/>
                <w:szCs w:val="18"/>
                <w:highlight w:val="none"/>
              </w:rPr>
            </w:pPr>
          </w:p>
        </w:tc>
        <w:tc>
          <w:tcPr>
            <w:tcW w:w="331" w:type="pct"/>
            <w:vMerge w:val="continue"/>
            <w:tcBorders>
              <w:tl2br w:val="nil"/>
              <w:tr2bl w:val="nil"/>
            </w:tcBorders>
            <w:noWrap/>
            <w:vAlign w:val="center"/>
          </w:tcPr>
          <w:p w14:paraId="0A291CAA">
            <w:pPr>
              <w:widowControl/>
              <w:jc w:val="center"/>
              <w:rPr>
                <w:rFonts w:hint="default" w:ascii="Times New Roman" w:hAnsi="Times New Roman" w:cs="Times New Roman"/>
                <w:color w:val="auto"/>
                <w:sz w:val="18"/>
                <w:szCs w:val="18"/>
                <w:highlight w:val="none"/>
              </w:rPr>
            </w:pPr>
          </w:p>
        </w:tc>
      </w:tr>
      <w:tr w14:paraId="5A608D0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259" w:type="pct"/>
            <w:tcBorders>
              <w:tl2br w:val="nil"/>
              <w:tr2bl w:val="nil"/>
            </w:tcBorders>
            <w:noWrap/>
            <w:vAlign w:val="center"/>
          </w:tcPr>
          <w:p w14:paraId="75E49A99">
            <w:pPr>
              <w:widowControl/>
              <w:jc w:val="center"/>
              <w:rPr>
                <w:rFonts w:hint="default" w:ascii="Times New Roman" w:hAnsi="Times New Roman" w:eastAsia="宋体" w:cs="Times New Roman"/>
                <w:color w:val="auto"/>
                <w:sz w:val="18"/>
                <w:szCs w:val="18"/>
                <w:highlight w:val="none"/>
                <w:lang w:val="en-US" w:eastAsia="zh-CN"/>
              </w:rPr>
            </w:pPr>
            <w:r>
              <w:rPr>
                <w:rFonts w:hint="default" w:cs="Times New Roman"/>
                <w:color w:val="auto"/>
                <w:sz w:val="18"/>
                <w:szCs w:val="18"/>
                <w:highlight w:val="none"/>
                <w:lang w:val="en-US" w:eastAsia="zh-CN"/>
              </w:rPr>
              <w:t>扣电组装</w:t>
            </w:r>
          </w:p>
        </w:tc>
        <w:tc>
          <w:tcPr>
            <w:tcW w:w="321" w:type="pct"/>
            <w:tcBorders>
              <w:tl2br w:val="nil"/>
              <w:tr2bl w:val="nil"/>
            </w:tcBorders>
            <w:noWrap/>
            <w:vAlign w:val="center"/>
          </w:tcPr>
          <w:p w14:paraId="7F9DA0DF">
            <w:pPr>
              <w:widowControl/>
              <w:jc w:val="center"/>
              <w:textAlignment w:val="center"/>
              <w:rPr>
                <w:rFonts w:hint="default" w:ascii="Times New Roman" w:hAnsi="Times New Roman" w:eastAsia="宋体" w:cs="Times New Roman"/>
                <w:color w:val="auto"/>
                <w:kern w:val="0"/>
                <w:sz w:val="18"/>
                <w:szCs w:val="18"/>
                <w:highlight w:val="none"/>
                <w:lang w:val="en-US" w:eastAsia="zh-CN" w:bidi="ar"/>
              </w:rPr>
            </w:pPr>
            <w:r>
              <w:rPr>
                <w:rFonts w:hint="default" w:cs="Times New Roman"/>
                <w:color w:val="auto"/>
                <w:kern w:val="0"/>
                <w:sz w:val="18"/>
                <w:szCs w:val="18"/>
                <w:highlight w:val="none"/>
                <w:lang w:val="en-US" w:eastAsia="zh-CN" w:bidi="ar"/>
              </w:rPr>
              <w:t>通风橱</w:t>
            </w:r>
          </w:p>
        </w:tc>
        <w:tc>
          <w:tcPr>
            <w:tcW w:w="381" w:type="pct"/>
            <w:tcBorders>
              <w:tl2br w:val="nil"/>
              <w:tr2bl w:val="nil"/>
            </w:tcBorders>
            <w:noWrap/>
            <w:vAlign w:val="center"/>
          </w:tcPr>
          <w:p w14:paraId="03CEAF4E">
            <w:pPr>
              <w:widowControl/>
              <w:jc w:val="center"/>
              <w:textAlignment w:val="center"/>
              <w:rPr>
                <w:rFonts w:hint="default" w:ascii="Times New Roman" w:hAnsi="Times New Roman" w:eastAsia="宋体" w:cs="Times New Roman"/>
                <w:color w:val="auto"/>
                <w:kern w:val="0"/>
                <w:sz w:val="18"/>
                <w:szCs w:val="18"/>
                <w:highlight w:val="none"/>
                <w:lang w:val="en-US" w:eastAsia="zh-CN" w:bidi="ar"/>
              </w:rPr>
            </w:pPr>
            <w:r>
              <w:rPr>
                <w:rFonts w:hint="default" w:cs="Times New Roman"/>
                <w:color w:val="auto"/>
                <w:kern w:val="0"/>
                <w:sz w:val="18"/>
                <w:szCs w:val="18"/>
                <w:highlight w:val="none"/>
                <w:lang w:val="en-US" w:eastAsia="zh-CN" w:bidi="ar"/>
              </w:rPr>
              <w:t>涂布</w:t>
            </w:r>
          </w:p>
        </w:tc>
        <w:tc>
          <w:tcPr>
            <w:tcW w:w="755" w:type="pct"/>
            <w:tcBorders>
              <w:tl2br w:val="nil"/>
              <w:tr2bl w:val="nil"/>
            </w:tcBorders>
            <w:noWrap/>
            <w:vAlign w:val="center"/>
          </w:tcPr>
          <w:p w14:paraId="53C55AF8">
            <w:pPr>
              <w:widowControl/>
              <w:jc w:val="center"/>
              <w:textAlignment w:val="center"/>
              <w:rPr>
                <w:rFonts w:hint="default" w:ascii="Times New Roman" w:hAnsi="Times New Roman" w:eastAsia="宋体" w:cs="Times New Roman"/>
                <w:color w:val="auto"/>
                <w:kern w:val="0"/>
                <w:sz w:val="18"/>
                <w:szCs w:val="18"/>
                <w:highlight w:val="none"/>
                <w:lang w:val="en-US" w:eastAsia="zh-CN" w:bidi="ar"/>
              </w:rPr>
            </w:pPr>
            <w:r>
              <w:rPr>
                <w:rFonts w:hint="default" w:cs="Times New Roman"/>
                <w:color w:val="auto"/>
                <w:kern w:val="0"/>
                <w:sz w:val="18"/>
                <w:szCs w:val="18"/>
                <w:highlight w:val="none"/>
                <w:lang w:val="en-US" w:eastAsia="zh-CN" w:bidi="ar"/>
              </w:rPr>
              <w:t>VOCs（非甲烷总烃计）</w:t>
            </w:r>
          </w:p>
        </w:tc>
        <w:tc>
          <w:tcPr>
            <w:tcW w:w="895" w:type="pct"/>
            <w:tcBorders>
              <w:tl2br w:val="nil"/>
              <w:tr2bl w:val="nil"/>
            </w:tcBorders>
            <w:noWrap/>
            <w:vAlign w:val="center"/>
          </w:tcPr>
          <w:p w14:paraId="3BA2A2BB">
            <w:pPr>
              <w:widowControl/>
              <w:jc w:val="center"/>
              <w:textAlignment w:val="center"/>
              <w:rPr>
                <w:rFonts w:hint="default" w:ascii="Times New Roman" w:hAnsi="Times New Roman" w:eastAsia="宋体" w:cs="Times New Roman"/>
                <w:color w:val="auto"/>
                <w:kern w:val="0"/>
                <w:sz w:val="18"/>
                <w:szCs w:val="18"/>
                <w:highlight w:val="none"/>
                <w:lang w:val="en-US" w:eastAsia="zh-CN" w:bidi="ar"/>
              </w:rPr>
            </w:pPr>
            <w:r>
              <w:rPr>
                <w:rFonts w:hint="default" w:cs="Times New Roman"/>
                <w:color w:val="auto"/>
                <w:kern w:val="0"/>
                <w:sz w:val="18"/>
                <w:szCs w:val="18"/>
                <w:highlight w:val="none"/>
                <w:lang w:val="en-US" w:eastAsia="zh-CN" w:bidi="ar"/>
              </w:rPr>
              <w:t>通风橱内收集</w:t>
            </w:r>
          </w:p>
        </w:tc>
        <w:tc>
          <w:tcPr>
            <w:tcW w:w="277" w:type="pct"/>
            <w:tcBorders>
              <w:tl2br w:val="nil"/>
              <w:tr2bl w:val="nil"/>
            </w:tcBorders>
            <w:noWrap/>
            <w:vAlign w:val="center"/>
          </w:tcPr>
          <w:p w14:paraId="57414949">
            <w:pPr>
              <w:widowControl/>
              <w:jc w:val="center"/>
              <w:textAlignment w:val="center"/>
              <w:rPr>
                <w:rFonts w:hint="default" w:ascii="Times New Roman" w:hAnsi="Times New Roman" w:eastAsia="宋体" w:cs="Times New Roman"/>
                <w:color w:val="auto"/>
                <w:kern w:val="0"/>
                <w:sz w:val="18"/>
                <w:szCs w:val="18"/>
                <w:highlight w:val="none"/>
                <w:lang w:val="en-US" w:eastAsia="zh-CN" w:bidi="ar"/>
              </w:rPr>
            </w:pPr>
            <w:r>
              <w:rPr>
                <w:rFonts w:hint="eastAsia" w:cs="Times New Roman"/>
                <w:color w:val="auto"/>
                <w:kern w:val="0"/>
                <w:sz w:val="18"/>
                <w:szCs w:val="18"/>
                <w:highlight w:val="none"/>
                <w:lang w:val="en-US" w:eastAsia="zh-CN" w:bidi="ar"/>
              </w:rPr>
              <w:t>80%</w:t>
            </w:r>
          </w:p>
        </w:tc>
        <w:tc>
          <w:tcPr>
            <w:tcW w:w="1105" w:type="pct"/>
            <w:tcBorders>
              <w:tl2br w:val="nil"/>
              <w:tr2bl w:val="nil"/>
            </w:tcBorders>
            <w:noWrap/>
            <w:vAlign w:val="center"/>
          </w:tcPr>
          <w:p w14:paraId="2A1D8263">
            <w:pPr>
              <w:widowControl/>
              <w:jc w:val="center"/>
              <w:textAlignment w:val="center"/>
              <w:rPr>
                <w:rFonts w:hint="default" w:ascii="Times New Roman" w:hAnsi="Times New Roman" w:eastAsia="宋体" w:cs="Times New Roman"/>
                <w:color w:val="auto"/>
                <w:kern w:val="0"/>
                <w:sz w:val="18"/>
                <w:szCs w:val="18"/>
                <w:highlight w:val="none"/>
                <w:lang w:val="en-US" w:eastAsia="zh-CN" w:bidi="ar"/>
              </w:rPr>
            </w:pPr>
            <w:r>
              <w:rPr>
                <w:rFonts w:hint="default" w:ascii="Times New Roman" w:hAnsi="Times New Roman" w:cs="Times New Roman"/>
                <w:color w:val="auto"/>
                <w:kern w:val="0"/>
                <w:sz w:val="18"/>
                <w:szCs w:val="18"/>
                <w:highlight w:val="none"/>
                <w:lang w:bidi="ar"/>
              </w:rPr>
              <w:t>水喷淋+除雾</w:t>
            </w:r>
            <w:r>
              <w:rPr>
                <w:rFonts w:hint="eastAsia" w:cs="Times New Roman"/>
                <w:color w:val="auto"/>
                <w:kern w:val="0"/>
                <w:sz w:val="18"/>
                <w:szCs w:val="18"/>
                <w:highlight w:val="none"/>
                <w:lang w:val="en-US" w:eastAsia="zh-CN" w:bidi="ar"/>
              </w:rPr>
              <w:t>除湿</w:t>
            </w:r>
            <w:r>
              <w:rPr>
                <w:rFonts w:hint="default" w:ascii="Times New Roman" w:hAnsi="Times New Roman" w:cs="Times New Roman"/>
                <w:color w:val="auto"/>
                <w:kern w:val="0"/>
                <w:sz w:val="18"/>
                <w:szCs w:val="18"/>
                <w:highlight w:val="none"/>
                <w:lang w:bidi="ar"/>
              </w:rPr>
              <w:t>+</w:t>
            </w:r>
            <w:r>
              <w:rPr>
                <w:rFonts w:hint="eastAsia" w:cs="Times New Roman"/>
                <w:color w:val="auto"/>
                <w:kern w:val="0"/>
                <w:sz w:val="18"/>
                <w:szCs w:val="18"/>
                <w:highlight w:val="none"/>
                <w:lang w:val="en-US" w:eastAsia="zh-CN" w:bidi="ar"/>
              </w:rPr>
              <w:t>一级</w:t>
            </w:r>
            <w:r>
              <w:rPr>
                <w:rFonts w:hint="default" w:ascii="Times New Roman" w:hAnsi="Times New Roman" w:cs="Times New Roman"/>
                <w:color w:val="auto"/>
                <w:kern w:val="0"/>
                <w:sz w:val="18"/>
                <w:szCs w:val="18"/>
                <w:highlight w:val="none"/>
                <w:lang w:bidi="ar"/>
              </w:rPr>
              <w:t>活性炭吸附（TA003）</w:t>
            </w:r>
          </w:p>
        </w:tc>
        <w:tc>
          <w:tcPr>
            <w:tcW w:w="373" w:type="pct"/>
            <w:tcBorders>
              <w:tl2br w:val="nil"/>
              <w:tr2bl w:val="nil"/>
            </w:tcBorders>
            <w:noWrap/>
            <w:vAlign w:val="center"/>
          </w:tcPr>
          <w:p w14:paraId="6B4066C9">
            <w:pPr>
              <w:widowControl/>
              <w:jc w:val="center"/>
              <w:textAlignment w:val="center"/>
              <w:rPr>
                <w:rFonts w:hint="default" w:ascii="Times New Roman" w:hAnsi="Times New Roman" w:cs="Times New Roman"/>
                <w:color w:val="auto"/>
                <w:kern w:val="0"/>
                <w:sz w:val="18"/>
                <w:szCs w:val="18"/>
                <w:highlight w:val="none"/>
                <w:lang w:val="en-US" w:eastAsia="zh-CN" w:bidi="ar"/>
              </w:rPr>
            </w:pPr>
            <w:r>
              <w:rPr>
                <w:rFonts w:hint="eastAsia" w:cs="Times New Roman"/>
                <w:color w:val="auto"/>
                <w:kern w:val="0"/>
                <w:sz w:val="18"/>
                <w:szCs w:val="18"/>
                <w:highlight w:val="none"/>
                <w:lang w:val="en-US" w:eastAsia="zh-CN" w:bidi="ar"/>
              </w:rPr>
              <w:t>50%</w:t>
            </w:r>
          </w:p>
        </w:tc>
        <w:tc>
          <w:tcPr>
            <w:tcW w:w="296" w:type="pct"/>
            <w:vMerge w:val="continue"/>
            <w:tcBorders>
              <w:tl2br w:val="nil"/>
              <w:tr2bl w:val="nil"/>
            </w:tcBorders>
            <w:noWrap/>
            <w:vAlign w:val="center"/>
          </w:tcPr>
          <w:p w14:paraId="40301481">
            <w:pPr>
              <w:widowControl/>
              <w:jc w:val="center"/>
              <w:rPr>
                <w:rFonts w:hint="default" w:ascii="Times New Roman" w:hAnsi="Times New Roman" w:eastAsia="宋体" w:cs="Times New Roman"/>
                <w:color w:val="auto"/>
                <w:sz w:val="18"/>
                <w:szCs w:val="18"/>
                <w:highlight w:val="none"/>
                <w:lang w:val="en-US" w:eastAsia="zh-CN"/>
              </w:rPr>
            </w:pPr>
          </w:p>
        </w:tc>
        <w:tc>
          <w:tcPr>
            <w:tcW w:w="331" w:type="pct"/>
            <w:vMerge w:val="continue"/>
            <w:tcBorders>
              <w:tl2br w:val="nil"/>
              <w:tr2bl w:val="nil"/>
            </w:tcBorders>
            <w:noWrap/>
            <w:vAlign w:val="center"/>
          </w:tcPr>
          <w:p w14:paraId="4240417C">
            <w:pPr>
              <w:widowControl/>
              <w:jc w:val="center"/>
              <w:rPr>
                <w:rFonts w:hint="default" w:ascii="Times New Roman" w:hAnsi="Times New Roman" w:eastAsia="宋体" w:cs="Times New Roman"/>
                <w:color w:val="auto"/>
                <w:sz w:val="18"/>
                <w:szCs w:val="18"/>
                <w:highlight w:val="none"/>
                <w:lang w:val="en-US" w:eastAsia="zh-CN"/>
              </w:rPr>
            </w:pPr>
          </w:p>
        </w:tc>
      </w:tr>
    </w:tbl>
    <w:p w14:paraId="7B20DF65">
      <w:pPr>
        <w:adjustRightInd w:val="0"/>
        <w:snapToGrid w:val="0"/>
        <w:rPr>
          <w:rFonts w:hint="default"/>
          <w:b/>
          <w:color w:val="auto"/>
          <w:kern w:val="0"/>
          <w:sz w:val="18"/>
          <w:szCs w:val="18"/>
          <w:highlight w:val="none"/>
          <w:lang w:val="en-US"/>
        </w:rPr>
      </w:pPr>
      <w:r>
        <w:rPr>
          <w:bCs/>
          <w:color w:val="auto"/>
          <w:kern w:val="0"/>
          <w:sz w:val="18"/>
          <w:szCs w:val="18"/>
          <w:highlight w:val="none"/>
        </w:rPr>
        <w:t>注：①</w:t>
      </w:r>
      <w:r>
        <w:rPr>
          <w:rFonts w:hint="default"/>
          <w:bCs/>
          <w:color w:val="auto"/>
          <w:kern w:val="0"/>
          <w:sz w:val="18"/>
          <w:szCs w:val="18"/>
          <w:highlight w:val="none"/>
          <w:lang w:eastAsia="zh-CN"/>
        </w:rPr>
        <w:t>、</w:t>
      </w:r>
      <w:r>
        <w:rPr>
          <w:rFonts w:hint="default"/>
          <w:bCs/>
          <w:color w:val="auto"/>
          <w:kern w:val="0"/>
          <w:sz w:val="18"/>
          <w:szCs w:val="18"/>
          <w:highlight w:val="none"/>
          <w:lang w:val="en-US" w:eastAsia="zh-CN"/>
        </w:rPr>
        <w:t>②</w:t>
      </w:r>
      <w:r>
        <w:rPr>
          <w:bCs/>
          <w:color w:val="auto"/>
          <w:kern w:val="0"/>
          <w:sz w:val="18"/>
          <w:szCs w:val="18"/>
          <w:highlight w:val="none"/>
        </w:rPr>
        <w:t>喷雾干燥器、气流粉碎机内部均设置布袋除尘器，</w:t>
      </w:r>
      <w:r>
        <w:rPr>
          <w:rFonts w:hint="default"/>
          <w:bCs/>
          <w:color w:val="auto"/>
          <w:kern w:val="0"/>
          <w:sz w:val="18"/>
          <w:szCs w:val="18"/>
          <w:highlight w:val="none"/>
          <w:lang w:val="en-US" w:eastAsia="zh-CN"/>
        </w:rPr>
        <w:t>设备内收集效率取值100%，</w:t>
      </w:r>
      <w:r>
        <w:rPr>
          <w:bCs/>
          <w:color w:val="auto"/>
          <w:kern w:val="0"/>
          <w:sz w:val="18"/>
          <w:szCs w:val="18"/>
          <w:highlight w:val="none"/>
        </w:rPr>
        <w:t>除尘效率取值</w:t>
      </w:r>
      <w:r>
        <w:rPr>
          <w:rFonts w:hint="default"/>
          <w:bCs/>
          <w:color w:val="auto"/>
          <w:kern w:val="0"/>
          <w:sz w:val="18"/>
          <w:szCs w:val="18"/>
          <w:highlight w:val="none"/>
          <w:lang w:val="en-US" w:eastAsia="zh-CN"/>
        </w:rPr>
        <w:t>70</w:t>
      </w:r>
      <w:r>
        <w:rPr>
          <w:bCs/>
          <w:color w:val="auto"/>
          <w:kern w:val="0"/>
          <w:sz w:val="18"/>
          <w:szCs w:val="18"/>
          <w:highlight w:val="none"/>
        </w:rPr>
        <w:t>%</w:t>
      </w:r>
      <w:r>
        <w:rPr>
          <w:rFonts w:hint="default"/>
          <w:bCs/>
          <w:color w:val="auto"/>
          <w:kern w:val="0"/>
          <w:sz w:val="18"/>
          <w:szCs w:val="18"/>
          <w:highlight w:val="none"/>
          <w:lang w:eastAsia="zh-CN"/>
        </w:rPr>
        <w:t>；</w:t>
      </w:r>
      <w:r>
        <w:rPr>
          <w:bCs/>
          <w:color w:val="auto"/>
          <w:kern w:val="0"/>
          <w:sz w:val="18"/>
          <w:szCs w:val="18"/>
          <w:highlight w:val="none"/>
        </w:rPr>
        <w:t>尾气再与煅烧废气一同汇集至管道中，通过水喷淋+除雾+活性炭吸附处理后由排气筒DA001排放</w:t>
      </w:r>
      <w:r>
        <w:rPr>
          <w:rFonts w:hint="default"/>
          <w:bCs/>
          <w:color w:val="auto"/>
          <w:kern w:val="0"/>
          <w:sz w:val="18"/>
          <w:szCs w:val="18"/>
          <w:highlight w:val="none"/>
          <w:lang w:eastAsia="zh-CN"/>
        </w:rPr>
        <w:t>。</w:t>
      </w:r>
      <w:r>
        <w:rPr>
          <w:rFonts w:hint="default"/>
          <w:bCs/>
          <w:color w:val="auto"/>
          <w:kern w:val="0"/>
          <w:sz w:val="18"/>
          <w:szCs w:val="18"/>
          <w:highlight w:val="none"/>
          <w:lang w:val="en-US" w:eastAsia="zh-CN"/>
        </w:rPr>
        <w:t>因经过布袋除尘的粉尘尾气浓度较低，故不考虑</w:t>
      </w:r>
      <w:r>
        <w:rPr>
          <w:rFonts w:hint="default" w:ascii="Times New Roman" w:hAnsi="Times New Roman" w:eastAsia="宋体" w:cs="Times New Roman"/>
          <w:i w:val="0"/>
          <w:iCs w:val="0"/>
          <w:color w:val="auto"/>
          <w:kern w:val="0"/>
          <w:sz w:val="18"/>
          <w:szCs w:val="18"/>
          <w:highlight w:val="none"/>
          <w:u w:val="none"/>
          <w:lang w:val="en-US" w:eastAsia="zh-CN" w:bidi="ar"/>
        </w:rPr>
        <w:t>水喷淋+除雾+活性炭吸附（TA003）装置对干燥粉尘G2、气粉粉尘G7的处理效果。</w:t>
      </w:r>
    </w:p>
    <w:p w14:paraId="68695CEF">
      <w:pPr>
        <w:adjustRightInd w:val="0"/>
        <w:snapToGrid w:val="0"/>
        <w:spacing w:line="360" w:lineRule="auto"/>
        <w:rPr>
          <w:b/>
          <w:color w:val="auto"/>
          <w:kern w:val="0"/>
          <w:sz w:val="28"/>
          <w:szCs w:val="28"/>
          <w:highlight w:val="none"/>
        </w:rPr>
      </w:pPr>
    </w:p>
    <w:p w14:paraId="08584187">
      <w:pPr>
        <w:numPr>
          <w:ilvl w:val="0"/>
          <w:numId w:val="7"/>
        </w:numPr>
        <w:adjustRightInd w:val="0"/>
        <w:snapToGrid w:val="0"/>
        <w:spacing w:line="360" w:lineRule="auto"/>
        <w:rPr>
          <w:b/>
          <w:bCs/>
          <w:color w:val="auto"/>
          <w:highlight w:val="none"/>
        </w:rPr>
      </w:pPr>
      <w:r>
        <w:rPr>
          <w:rFonts w:hint="default" w:ascii="Times New Roman" w:hAnsi="Times New Roman" w:cs="Times New Roman"/>
          <w:b/>
          <w:color w:val="auto"/>
          <w:kern w:val="0"/>
          <w:szCs w:val="21"/>
          <w:highlight w:val="none"/>
        </w:rPr>
        <w:t>废气污染源强核算结果</w:t>
      </w:r>
    </w:p>
    <w:p w14:paraId="4F0C4F56">
      <w:pPr>
        <w:numPr>
          <w:ilvl w:val="0"/>
          <w:numId w:val="0"/>
        </w:numPr>
        <w:adjustRightInd w:val="0"/>
        <w:snapToGrid w:val="0"/>
        <w:spacing w:line="360" w:lineRule="auto"/>
        <w:ind w:firstLine="420" w:firstLineChars="200"/>
        <w:rPr>
          <w:rFonts w:hint="default" w:ascii="Times New Roman" w:hAnsi="Times New Roman" w:cs="Times New Roman"/>
          <w:b/>
          <w:color w:val="auto"/>
          <w:kern w:val="0"/>
          <w:szCs w:val="21"/>
          <w:highlight w:val="none"/>
        </w:rPr>
      </w:pPr>
      <w:r>
        <w:rPr>
          <w:rFonts w:hint="default"/>
          <w:color w:val="auto"/>
          <w:szCs w:val="21"/>
          <w:highlight w:val="none"/>
        </w:rPr>
        <w:t>项目</w:t>
      </w:r>
      <w:r>
        <w:rPr>
          <w:rFonts w:hint="default"/>
          <w:color w:val="auto"/>
          <w:szCs w:val="21"/>
          <w:highlight w:val="none"/>
          <w:lang w:val="en-US" w:eastAsia="zh-CN"/>
        </w:rPr>
        <w:t>废气污染源源强核算结果见表4-</w:t>
      </w:r>
      <w:r>
        <w:rPr>
          <w:rFonts w:hint="eastAsia" w:ascii="Times New Roman" w:hAnsi="Times New Roman" w:cs="Times New Roman"/>
          <w:color w:val="auto"/>
          <w:szCs w:val="21"/>
          <w:highlight w:val="none"/>
          <w:lang w:val="en-US" w:eastAsia="zh-CN"/>
        </w:rPr>
        <w:t>2</w:t>
      </w:r>
      <w:r>
        <w:rPr>
          <w:rFonts w:hint="default"/>
          <w:color w:val="auto"/>
          <w:szCs w:val="21"/>
          <w:highlight w:val="none"/>
        </w:rPr>
        <w:t>：</w:t>
      </w:r>
    </w:p>
    <w:p w14:paraId="38F21D14">
      <w:pPr>
        <w:numPr>
          <w:ilvl w:val="0"/>
          <w:numId w:val="8"/>
        </w:numPr>
        <w:spacing w:line="360" w:lineRule="auto"/>
        <w:jc w:val="center"/>
        <w:rPr>
          <w:rFonts w:hint="default" w:ascii="Times New Roman" w:hAnsi="Times New Roman" w:eastAsia="黑体" w:cs="Times New Roman"/>
          <w:b w:val="0"/>
          <w:bCs w:val="0"/>
          <w:color w:val="auto"/>
          <w:kern w:val="0"/>
          <w:szCs w:val="21"/>
          <w:highlight w:val="none"/>
        </w:rPr>
      </w:pPr>
      <w:r>
        <w:rPr>
          <w:rFonts w:hint="default" w:ascii="Times New Roman" w:hAnsi="Times New Roman" w:eastAsia="黑体" w:cs="Times New Roman"/>
          <w:b w:val="0"/>
          <w:bCs w:val="0"/>
          <w:color w:val="auto"/>
          <w:spacing w:val="-10"/>
          <w:szCs w:val="21"/>
          <w:highlight w:val="none"/>
          <w:lang w:val="en-US" w:eastAsia="zh-CN"/>
        </w:rPr>
        <w:t xml:space="preserve"> </w:t>
      </w:r>
      <w:r>
        <w:rPr>
          <w:rFonts w:hint="default" w:ascii="Times New Roman" w:hAnsi="Times New Roman" w:eastAsia="黑体" w:cs="Times New Roman"/>
          <w:b w:val="0"/>
          <w:bCs w:val="0"/>
          <w:color w:val="auto"/>
          <w:spacing w:val="-10"/>
          <w:szCs w:val="21"/>
          <w:highlight w:val="none"/>
          <w:lang w:val="zh-CN"/>
        </w:rPr>
        <w:t>项目废气污染源源强核算结果及相关参数一览表</w:t>
      </w:r>
    </w:p>
    <w:tbl>
      <w:tblPr>
        <w:tblStyle w:val="24"/>
        <w:tblW w:w="4999" w:type="pct"/>
        <w:tblInd w:w="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Layout w:type="autofit"/>
        <w:tblCellMar>
          <w:top w:w="0" w:type="dxa"/>
          <w:left w:w="108" w:type="dxa"/>
          <w:bottom w:w="0" w:type="dxa"/>
          <w:right w:w="108" w:type="dxa"/>
        </w:tblCellMar>
      </w:tblPr>
      <w:tblGrid>
        <w:gridCol w:w="1296"/>
        <w:gridCol w:w="1238"/>
        <w:gridCol w:w="1291"/>
        <w:gridCol w:w="756"/>
        <w:gridCol w:w="1116"/>
        <w:gridCol w:w="1476"/>
        <w:gridCol w:w="1397"/>
        <w:gridCol w:w="1446"/>
        <w:gridCol w:w="1191"/>
        <w:gridCol w:w="1135"/>
        <w:gridCol w:w="1476"/>
        <w:gridCol w:w="1397"/>
        <w:gridCol w:w="1447"/>
        <w:gridCol w:w="1192"/>
        <w:gridCol w:w="1307"/>
        <w:gridCol w:w="788"/>
      </w:tblGrid>
      <w:tr w14:paraId="6B8025A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 w:hRule="atLeast"/>
        </w:trPr>
        <w:tc>
          <w:tcPr>
            <w:tcW w:w="325" w:type="pct"/>
            <w:vMerge w:val="restart"/>
            <w:tcBorders>
              <w:tl2br w:val="nil"/>
              <w:tr2bl w:val="nil"/>
            </w:tcBorders>
            <w:shd w:val="clear" w:color="auto" w:fill="auto"/>
            <w:vAlign w:val="center"/>
          </w:tcPr>
          <w:p w14:paraId="3A5D5D1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工序</w:t>
            </w:r>
          </w:p>
        </w:tc>
        <w:tc>
          <w:tcPr>
            <w:tcW w:w="310" w:type="pct"/>
            <w:vMerge w:val="restart"/>
            <w:tcBorders>
              <w:tl2br w:val="nil"/>
              <w:tr2bl w:val="nil"/>
            </w:tcBorders>
            <w:shd w:val="clear" w:color="auto" w:fill="auto"/>
            <w:vAlign w:val="center"/>
          </w:tcPr>
          <w:p w14:paraId="1BA18EC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装置/产污环节</w:t>
            </w:r>
          </w:p>
        </w:tc>
        <w:tc>
          <w:tcPr>
            <w:tcW w:w="504" w:type="pct"/>
            <w:gridSpan w:val="2"/>
            <w:vMerge w:val="restart"/>
            <w:tcBorders>
              <w:tl2br w:val="nil"/>
              <w:tr2bl w:val="nil"/>
            </w:tcBorders>
            <w:shd w:val="clear" w:color="auto" w:fill="auto"/>
            <w:vAlign w:val="center"/>
          </w:tcPr>
          <w:p w14:paraId="3B4858D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污染源</w:t>
            </w:r>
          </w:p>
        </w:tc>
        <w:tc>
          <w:tcPr>
            <w:tcW w:w="280" w:type="pct"/>
            <w:vMerge w:val="restart"/>
            <w:tcBorders>
              <w:tl2br w:val="nil"/>
              <w:tr2bl w:val="nil"/>
            </w:tcBorders>
            <w:shd w:val="clear" w:color="auto" w:fill="auto"/>
            <w:vAlign w:val="center"/>
          </w:tcPr>
          <w:p w14:paraId="2F234A6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污染物</w:t>
            </w:r>
          </w:p>
        </w:tc>
        <w:tc>
          <w:tcPr>
            <w:tcW w:w="1668" w:type="pct"/>
            <w:gridSpan w:val="5"/>
            <w:tcBorders>
              <w:tl2br w:val="nil"/>
              <w:tr2bl w:val="nil"/>
            </w:tcBorders>
            <w:shd w:val="clear" w:color="auto" w:fill="auto"/>
            <w:vAlign w:val="center"/>
          </w:tcPr>
          <w:p w14:paraId="38A8510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污染物产生</w:t>
            </w:r>
          </w:p>
        </w:tc>
        <w:tc>
          <w:tcPr>
            <w:tcW w:w="1711" w:type="pct"/>
            <w:gridSpan w:val="5"/>
            <w:tcBorders>
              <w:tl2br w:val="nil"/>
              <w:tr2bl w:val="nil"/>
            </w:tcBorders>
            <w:shd w:val="clear" w:color="auto" w:fill="auto"/>
            <w:vAlign w:val="center"/>
          </w:tcPr>
          <w:p w14:paraId="5F3C24D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污染物排放</w:t>
            </w:r>
          </w:p>
        </w:tc>
        <w:tc>
          <w:tcPr>
            <w:tcW w:w="198" w:type="pct"/>
            <w:vMerge w:val="restart"/>
            <w:tcBorders>
              <w:tl2br w:val="nil"/>
              <w:tr2bl w:val="nil"/>
            </w:tcBorders>
            <w:shd w:val="clear" w:color="auto" w:fill="auto"/>
            <w:vAlign w:val="center"/>
          </w:tcPr>
          <w:p w14:paraId="5B45FC6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排放时间/h</w:t>
            </w:r>
          </w:p>
        </w:tc>
      </w:tr>
      <w:tr w14:paraId="511E2C5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 w:hRule="atLeast"/>
        </w:trPr>
        <w:tc>
          <w:tcPr>
            <w:tcW w:w="325" w:type="pct"/>
            <w:vMerge w:val="continue"/>
            <w:tcBorders>
              <w:tl2br w:val="nil"/>
              <w:tr2bl w:val="nil"/>
            </w:tcBorders>
            <w:shd w:val="clear" w:color="auto" w:fill="auto"/>
            <w:vAlign w:val="center"/>
          </w:tcPr>
          <w:p w14:paraId="3B73BAA3">
            <w:pPr>
              <w:jc w:val="center"/>
              <w:rPr>
                <w:rFonts w:hint="default" w:ascii="Times New Roman" w:hAnsi="Times New Roman" w:eastAsia="宋体" w:cs="Times New Roman"/>
                <w:i w:val="0"/>
                <w:iCs w:val="0"/>
                <w:color w:val="000000"/>
                <w:sz w:val="18"/>
                <w:szCs w:val="18"/>
                <w:u w:val="none"/>
              </w:rPr>
            </w:pPr>
          </w:p>
        </w:tc>
        <w:tc>
          <w:tcPr>
            <w:tcW w:w="310" w:type="pct"/>
            <w:vMerge w:val="continue"/>
            <w:tcBorders>
              <w:tl2br w:val="nil"/>
              <w:tr2bl w:val="nil"/>
            </w:tcBorders>
            <w:shd w:val="clear" w:color="auto" w:fill="auto"/>
            <w:vAlign w:val="center"/>
          </w:tcPr>
          <w:p w14:paraId="131BA178">
            <w:pPr>
              <w:jc w:val="center"/>
              <w:rPr>
                <w:rFonts w:hint="default" w:ascii="Times New Roman" w:hAnsi="Times New Roman" w:eastAsia="宋体" w:cs="Times New Roman"/>
                <w:i w:val="0"/>
                <w:iCs w:val="0"/>
                <w:color w:val="000000"/>
                <w:sz w:val="18"/>
                <w:szCs w:val="18"/>
                <w:u w:val="none"/>
              </w:rPr>
            </w:pPr>
          </w:p>
        </w:tc>
        <w:tc>
          <w:tcPr>
            <w:tcW w:w="504" w:type="pct"/>
            <w:gridSpan w:val="2"/>
            <w:vMerge w:val="continue"/>
            <w:tcBorders>
              <w:tl2br w:val="nil"/>
              <w:tr2bl w:val="nil"/>
            </w:tcBorders>
            <w:shd w:val="clear" w:color="auto" w:fill="auto"/>
            <w:vAlign w:val="center"/>
          </w:tcPr>
          <w:p w14:paraId="458E8BB2">
            <w:pPr>
              <w:jc w:val="center"/>
              <w:rPr>
                <w:rFonts w:hint="default" w:ascii="Times New Roman" w:hAnsi="Times New Roman" w:eastAsia="宋体" w:cs="Times New Roman"/>
                <w:i w:val="0"/>
                <w:iCs w:val="0"/>
                <w:color w:val="000000"/>
                <w:sz w:val="18"/>
                <w:szCs w:val="18"/>
                <w:u w:val="none"/>
              </w:rPr>
            </w:pPr>
          </w:p>
        </w:tc>
        <w:tc>
          <w:tcPr>
            <w:tcW w:w="280" w:type="pct"/>
            <w:vMerge w:val="continue"/>
            <w:tcBorders>
              <w:tl2br w:val="nil"/>
              <w:tr2bl w:val="nil"/>
            </w:tcBorders>
            <w:shd w:val="clear" w:color="auto" w:fill="auto"/>
            <w:vAlign w:val="center"/>
          </w:tcPr>
          <w:p w14:paraId="035E3445">
            <w:pPr>
              <w:jc w:val="center"/>
              <w:rPr>
                <w:rFonts w:hint="default" w:ascii="Times New Roman" w:hAnsi="Times New Roman" w:eastAsia="宋体" w:cs="Times New Roman"/>
                <w:i w:val="0"/>
                <w:iCs w:val="0"/>
                <w:color w:val="000000"/>
                <w:sz w:val="18"/>
                <w:szCs w:val="18"/>
                <w:u w:val="none"/>
              </w:rPr>
            </w:pPr>
          </w:p>
        </w:tc>
        <w:tc>
          <w:tcPr>
            <w:tcW w:w="370" w:type="pct"/>
            <w:tcBorders>
              <w:tl2br w:val="nil"/>
              <w:tr2bl w:val="nil"/>
            </w:tcBorders>
            <w:shd w:val="clear" w:color="auto" w:fill="auto"/>
            <w:vAlign w:val="center"/>
          </w:tcPr>
          <w:p w14:paraId="293A22F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核算方法</w:t>
            </w:r>
          </w:p>
        </w:tc>
        <w:tc>
          <w:tcPr>
            <w:tcW w:w="351" w:type="pct"/>
            <w:tcBorders>
              <w:tl2br w:val="nil"/>
              <w:tr2bl w:val="nil"/>
            </w:tcBorders>
            <w:shd w:val="clear" w:color="auto" w:fill="auto"/>
            <w:vAlign w:val="center"/>
          </w:tcPr>
          <w:p w14:paraId="6D0D061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废气产生量/（m³/h）</w:t>
            </w:r>
          </w:p>
        </w:tc>
        <w:tc>
          <w:tcPr>
            <w:tcW w:w="363" w:type="pct"/>
            <w:tcBorders>
              <w:tl2br w:val="nil"/>
              <w:tr2bl w:val="nil"/>
            </w:tcBorders>
            <w:shd w:val="clear" w:color="auto" w:fill="auto"/>
            <w:vAlign w:val="center"/>
          </w:tcPr>
          <w:p w14:paraId="52788F7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产生浓度/（mg/m³）</w:t>
            </w:r>
          </w:p>
        </w:tc>
        <w:tc>
          <w:tcPr>
            <w:tcW w:w="299" w:type="pct"/>
            <w:tcBorders>
              <w:tl2br w:val="nil"/>
              <w:tr2bl w:val="nil"/>
            </w:tcBorders>
            <w:shd w:val="clear" w:color="auto" w:fill="auto"/>
            <w:vAlign w:val="center"/>
          </w:tcPr>
          <w:p w14:paraId="2A236A5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产生量/（kg/a）</w:t>
            </w:r>
          </w:p>
        </w:tc>
        <w:tc>
          <w:tcPr>
            <w:tcW w:w="283" w:type="pct"/>
            <w:tcBorders>
              <w:tl2br w:val="nil"/>
              <w:tr2bl w:val="nil"/>
            </w:tcBorders>
            <w:shd w:val="clear" w:color="auto" w:fill="auto"/>
            <w:vAlign w:val="center"/>
          </w:tcPr>
          <w:p w14:paraId="3A9A526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产生速率/ (kg/h)</w:t>
            </w:r>
          </w:p>
        </w:tc>
        <w:tc>
          <w:tcPr>
            <w:tcW w:w="370" w:type="pct"/>
            <w:tcBorders>
              <w:tl2br w:val="nil"/>
              <w:tr2bl w:val="nil"/>
            </w:tcBorders>
            <w:shd w:val="clear" w:color="auto" w:fill="auto"/>
            <w:vAlign w:val="center"/>
          </w:tcPr>
          <w:p w14:paraId="6CAE52C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核算方法</w:t>
            </w:r>
          </w:p>
        </w:tc>
        <w:tc>
          <w:tcPr>
            <w:tcW w:w="351" w:type="pct"/>
            <w:tcBorders>
              <w:tl2br w:val="nil"/>
              <w:tr2bl w:val="nil"/>
            </w:tcBorders>
            <w:shd w:val="clear" w:color="auto" w:fill="auto"/>
            <w:vAlign w:val="center"/>
          </w:tcPr>
          <w:p w14:paraId="2010712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废气排放量/（m³/h）</w:t>
            </w:r>
          </w:p>
        </w:tc>
        <w:tc>
          <w:tcPr>
            <w:tcW w:w="363" w:type="pct"/>
            <w:tcBorders>
              <w:tl2br w:val="nil"/>
              <w:tr2bl w:val="nil"/>
            </w:tcBorders>
            <w:shd w:val="clear" w:color="auto" w:fill="auto"/>
            <w:vAlign w:val="center"/>
          </w:tcPr>
          <w:p w14:paraId="570AB15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排放浓度/（mg/m³）</w:t>
            </w:r>
          </w:p>
        </w:tc>
        <w:tc>
          <w:tcPr>
            <w:tcW w:w="299" w:type="pct"/>
            <w:tcBorders>
              <w:tl2br w:val="nil"/>
              <w:tr2bl w:val="nil"/>
            </w:tcBorders>
            <w:shd w:val="clear" w:color="auto" w:fill="auto"/>
            <w:vAlign w:val="center"/>
          </w:tcPr>
          <w:p w14:paraId="26E46BC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排放量/（kg/a）</w:t>
            </w:r>
          </w:p>
        </w:tc>
        <w:tc>
          <w:tcPr>
            <w:tcW w:w="325" w:type="pct"/>
            <w:tcBorders>
              <w:tl2br w:val="nil"/>
              <w:tr2bl w:val="nil"/>
            </w:tcBorders>
            <w:shd w:val="clear" w:color="auto" w:fill="auto"/>
            <w:vAlign w:val="center"/>
          </w:tcPr>
          <w:p w14:paraId="5534A54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排放速率/（kg/h）</w:t>
            </w:r>
          </w:p>
        </w:tc>
        <w:tc>
          <w:tcPr>
            <w:tcW w:w="198" w:type="pct"/>
            <w:vMerge w:val="continue"/>
            <w:tcBorders>
              <w:tl2br w:val="nil"/>
              <w:tr2bl w:val="nil"/>
            </w:tcBorders>
            <w:shd w:val="clear" w:color="auto" w:fill="auto"/>
            <w:vAlign w:val="center"/>
          </w:tcPr>
          <w:p w14:paraId="61974692">
            <w:pPr>
              <w:jc w:val="center"/>
              <w:rPr>
                <w:rFonts w:hint="default" w:ascii="Times New Roman" w:hAnsi="Times New Roman" w:eastAsia="宋体" w:cs="Times New Roman"/>
                <w:i w:val="0"/>
                <w:iCs w:val="0"/>
                <w:color w:val="000000"/>
                <w:sz w:val="18"/>
                <w:szCs w:val="18"/>
                <w:u w:val="none"/>
              </w:rPr>
            </w:pPr>
          </w:p>
        </w:tc>
      </w:tr>
      <w:tr w14:paraId="0C16CE1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 w:hRule="atLeast"/>
        </w:trPr>
        <w:tc>
          <w:tcPr>
            <w:tcW w:w="325" w:type="pct"/>
            <w:vMerge w:val="restart"/>
            <w:tcBorders>
              <w:tl2br w:val="nil"/>
              <w:tr2bl w:val="nil"/>
            </w:tcBorders>
            <w:shd w:val="clear" w:color="auto" w:fill="auto"/>
            <w:noWrap/>
            <w:vAlign w:val="center"/>
          </w:tcPr>
          <w:p w14:paraId="52E4973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正极材料制备</w:t>
            </w:r>
          </w:p>
        </w:tc>
        <w:tc>
          <w:tcPr>
            <w:tcW w:w="310" w:type="pct"/>
            <w:tcBorders>
              <w:tl2br w:val="nil"/>
              <w:tr2bl w:val="nil"/>
            </w:tcBorders>
            <w:shd w:val="clear" w:color="auto" w:fill="auto"/>
            <w:noWrap/>
            <w:vAlign w:val="center"/>
          </w:tcPr>
          <w:p w14:paraId="4090FE3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喷雾干燥器</w:t>
            </w:r>
          </w:p>
        </w:tc>
        <w:tc>
          <w:tcPr>
            <w:tcW w:w="314" w:type="pct"/>
            <w:tcBorders>
              <w:tl2br w:val="nil"/>
              <w:tr2bl w:val="nil"/>
            </w:tcBorders>
            <w:shd w:val="clear" w:color="auto" w:fill="auto"/>
            <w:noWrap/>
            <w:vAlign w:val="center"/>
          </w:tcPr>
          <w:p w14:paraId="16A0872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干燥粉尘G2</w:t>
            </w:r>
          </w:p>
        </w:tc>
        <w:tc>
          <w:tcPr>
            <w:tcW w:w="190" w:type="pct"/>
            <w:vMerge w:val="restart"/>
            <w:tcBorders>
              <w:tl2br w:val="nil"/>
              <w:tr2bl w:val="nil"/>
            </w:tcBorders>
            <w:shd w:val="clear" w:color="auto" w:fill="auto"/>
            <w:noWrap/>
            <w:vAlign w:val="center"/>
          </w:tcPr>
          <w:p w14:paraId="2C30862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DA001</w:t>
            </w:r>
          </w:p>
        </w:tc>
        <w:tc>
          <w:tcPr>
            <w:tcW w:w="280" w:type="pct"/>
            <w:tcBorders>
              <w:tl2br w:val="nil"/>
              <w:tr2bl w:val="nil"/>
            </w:tcBorders>
            <w:shd w:val="clear" w:color="auto" w:fill="auto"/>
            <w:noWrap/>
            <w:vAlign w:val="center"/>
          </w:tcPr>
          <w:p w14:paraId="63D9988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颗粒物</w:t>
            </w:r>
          </w:p>
        </w:tc>
        <w:tc>
          <w:tcPr>
            <w:tcW w:w="370" w:type="pct"/>
            <w:tcBorders>
              <w:tl2br w:val="nil"/>
              <w:tr2bl w:val="nil"/>
            </w:tcBorders>
            <w:shd w:val="clear" w:color="auto" w:fill="auto"/>
            <w:noWrap/>
            <w:vAlign w:val="center"/>
          </w:tcPr>
          <w:p w14:paraId="2BD6068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类比</w:t>
            </w:r>
          </w:p>
        </w:tc>
        <w:tc>
          <w:tcPr>
            <w:tcW w:w="351" w:type="pct"/>
            <w:tcBorders>
              <w:tl2br w:val="nil"/>
              <w:tr2bl w:val="nil"/>
            </w:tcBorders>
            <w:shd w:val="clear" w:color="auto" w:fill="auto"/>
            <w:vAlign w:val="center"/>
          </w:tcPr>
          <w:p w14:paraId="7587962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363" w:type="pct"/>
            <w:tcBorders>
              <w:tl2br w:val="nil"/>
              <w:tr2bl w:val="nil"/>
            </w:tcBorders>
            <w:shd w:val="clear" w:color="auto" w:fill="auto"/>
            <w:vAlign w:val="center"/>
          </w:tcPr>
          <w:p w14:paraId="4801A7C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99" w:type="pct"/>
            <w:tcBorders>
              <w:tl2br w:val="nil"/>
              <w:tr2bl w:val="nil"/>
            </w:tcBorders>
            <w:shd w:val="clear" w:color="auto" w:fill="auto"/>
            <w:noWrap/>
            <w:vAlign w:val="center"/>
          </w:tcPr>
          <w:p w14:paraId="716067BE">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 xml:space="preserve">12.36 </w:t>
            </w:r>
          </w:p>
        </w:tc>
        <w:tc>
          <w:tcPr>
            <w:tcW w:w="283" w:type="pct"/>
            <w:tcBorders>
              <w:tl2br w:val="nil"/>
              <w:tr2bl w:val="nil"/>
            </w:tcBorders>
            <w:shd w:val="clear" w:color="auto" w:fill="auto"/>
            <w:noWrap/>
            <w:vAlign w:val="center"/>
          </w:tcPr>
          <w:p w14:paraId="540FA59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0.015 </w:t>
            </w:r>
          </w:p>
        </w:tc>
        <w:tc>
          <w:tcPr>
            <w:tcW w:w="370" w:type="pct"/>
            <w:tcBorders>
              <w:tl2br w:val="nil"/>
              <w:tr2bl w:val="nil"/>
            </w:tcBorders>
            <w:shd w:val="clear" w:color="auto" w:fill="auto"/>
            <w:noWrap/>
            <w:vAlign w:val="center"/>
          </w:tcPr>
          <w:p w14:paraId="28FB8A8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类比</w:t>
            </w:r>
          </w:p>
        </w:tc>
        <w:tc>
          <w:tcPr>
            <w:tcW w:w="351" w:type="pct"/>
            <w:vMerge w:val="restart"/>
            <w:tcBorders>
              <w:tl2br w:val="nil"/>
              <w:tr2bl w:val="nil"/>
            </w:tcBorders>
            <w:shd w:val="clear" w:color="auto" w:fill="auto"/>
            <w:noWrap/>
            <w:vAlign w:val="center"/>
          </w:tcPr>
          <w:p w14:paraId="33EBF36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2000</w:t>
            </w:r>
          </w:p>
        </w:tc>
        <w:tc>
          <w:tcPr>
            <w:tcW w:w="363" w:type="pct"/>
            <w:tcBorders>
              <w:tl2br w:val="nil"/>
              <w:tr2bl w:val="nil"/>
            </w:tcBorders>
            <w:shd w:val="clear" w:color="auto" w:fill="auto"/>
            <w:noWrap/>
            <w:vAlign w:val="center"/>
          </w:tcPr>
          <w:p w14:paraId="368890F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5.0 </w:t>
            </w:r>
          </w:p>
        </w:tc>
        <w:tc>
          <w:tcPr>
            <w:tcW w:w="299" w:type="pct"/>
            <w:tcBorders>
              <w:tl2br w:val="nil"/>
              <w:tr2bl w:val="nil"/>
            </w:tcBorders>
            <w:shd w:val="clear" w:color="auto" w:fill="auto"/>
            <w:noWrap/>
            <w:vAlign w:val="center"/>
          </w:tcPr>
          <w:p w14:paraId="191FCBE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8.03 </w:t>
            </w:r>
          </w:p>
        </w:tc>
        <w:tc>
          <w:tcPr>
            <w:tcW w:w="325" w:type="pct"/>
            <w:tcBorders>
              <w:tl2br w:val="nil"/>
              <w:tr2bl w:val="nil"/>
            </w:tcBorders>
            <w:shd w:val="clear" w:color="auto" w:fill="auto"/>
            <w:noWrap/>
            <w:vAlign w:val="center"/>
          </w:tcPr>
          <w:p w14:paraId="3001428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0.010 </w:t>
            </w:r>
          </w:p>
        </w:tc>
        <w:tc>
          <w:tcPr>
            <w:tcW w:w="198" w:type="pct"/>
            <w:vMerge w:val="restart"/>
            <w:tcBorders>
              <w:tl2br w:val="nil"/>
              <w:tr2bl w:val="nil"/>
            </w:tcBorders>
            <w:shd w:val="clear" w:color="auto" w:fill="auto"/>
            <w:noWrap/>
            <w:vAlign w:val="center"/>
          </w:tcPr>
          <w:p w14:paraId="7E36E8C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800</w:t>
            </w:r>
          </w:p>
        </w:tc>
      </w:tr>
      <w:bookmarkEnd w:id="72"/>
      <w:tr w14:paraId="0E8F399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 w:hRule="atLeast"/>
        </w:trPr>
        <w:tc>
          <w:tcPr>
            <w:tcW w:w="325" w:type="pct"/>
            <w:vMerge w:val="continue"/>
            <w:tcBorders>
              <w:tl2br w:val="nil"/>
              <w:tr2bl w:val="nil"/>
            </w:tcBorders>
            <w:shd w:val="clear" w:color="auto" w:fill="auto"/>
            <w:noWrap/>
            <w:vAlign w:val="center"/>
          </w:tcPr>
          <w:p w14:paraId="0B1D0ABD">
            <w:pPr>
              <w:jc w:val="center"/>
              <w:rPr>
                <w:rFonts w:hint="default" w:ascii="Times New Roman" w:hAnsi="Times New Roman" w:eastAsia="宋体" w:cs="Times New Roman"/>
                <w:i w:val="0"/>
                <w:iCs w:val="0"/>
                <w:color w:val="000000"/>
                <w:sz w:val="18"/>
                <w:szCs w:val="18"/>
                <w:u w:val="none"/>
              </w:rPr>
            </w:pPr>
          </w:p>
        </w:tc>
        <w:tc>
          <w:tcPr>
            <w:tcW w:w="310" w:type="pct"/>
            <w:vMerge w:val="restart"/>
            <w:tcBorders>
              <w:tl2br w:val="nil"/>
              <w:tr2bl w:val="nil"/>
            </w:tcBorders>
            <w:shd w:val="clear" w:color="auto" w:fill="auto"/>
            <w:noWrap/>
            <w:vAlign w:val="center"/>
          </w:tcPr>
          <w:p w14:paraId="013349B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箱式炉</w:t>
            </w:r>
          </w:p>
        </w:tc>
        <w:tc>
          <w:tcPr>
            <w:tcW w:w="314" w:type="pct"/>
            <w:vMerge w:val="restart"/>
            <w:tcBorders>
              <w:tl2br w:val="nil"/>
              <w:tr2bl w:val="nil"/>
            </w:tcBorders>
            <w:shd w:val="clear" w:color="auto" w:fill="auto"/>
            <w:noWrap/>
            <w:vAlign w:val="center"/>
          </w:tcPr>
          <w:p w14:paraId="11AB1AD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煅烧废气G3</w:t>
            </w:r>
          </w:p>
        </w:tc>
        <w:tc>
          <w:tcPr>
            <w:tcW w:w="190" w:type="pct"/>
            <w:vMerge w:val="continue"/>
            <w:tcBorders>
              <w:tl2br w:val="nil"/>
              <w:tr2bl w:val="nil"/>
            </w:tcBorders>
            <w:shd w:val="clear" w:color="auto" w:fill="auto"/>
            <w:noWrap/>
            <w:vAlign w:val="center"/>
          </w:tcPr>
          <w:p w14:paraId="6F8E1E35">
            <w:pPr>
              <w:jc w:val="center"/>
              <w:rPr>
                <w:rFonts w:hint="default" w:ascii="Times New Roman" w:hAnsi="Times New Roman" w:eastAsia="宋体" w:cs="Times New Roman"/>
                <w:i w:val="0"/>
                <w:iCs w:val="0"/>
                <w:color w:val="000000"/>
                <w:sz w:val="18"/>
                <w:szCs w:val="18"/>
                <w:u w:val="none"/>
              </w:rPr>
            </w:pPr>
          </w:p>
        </w:tc>
        <w:tc>
          <w:tcPr>
            <w:tcW w:w="280" w:type="pct"/>
            <w:tcBorders>
              <w:tl2br w:val="nil"/>
              <w:tr2bl w:val="nil"/>
            </w:tcBorders>
            <w:shd w:val="clear" w:color="auto" w:fill="auto"/>
            <w:noWrap/>
            <w:vAlign w:val="center"/>
          </w:tcPr>
          <w:p w14:paraId="6098D0B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颗粒物</w:t>
            </w:r>
          </w:p>
        </w:tc>
        <w:tc>
          <w:tcPr>
            <w:tcW w:w="370" w:type="pct"/>
            <w:tcBorders>
              <w:tl2br w:val="nil"/>
              <w:tr2bl w:val="nil"/>
            </w:tcBorders>
            <w:shd w:val="clear" w:color="auto" w:fill="auto"/>
            <w:noWrap/>
            <w:vAlign w:val="center"/>
          </w:tcPr>
          <w:p w14:paraId="6AE3D55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产污系数、类比</w:t>
            </w:r>
          </w:p>
        </w:tc>
        <w:tc>
          <w:tcPr>
            <w:tcW w:w="351" w:type="pct"/>
            <w:tcBorders>
              <w:tl2br w:val="nil"/>
              <w:tr2bl w:val="nil"/>
            </w:tcBorders>
            <w:shd w:val="clear" w:color="auto" w:fill="auto"/>
            <w:vAlign w:val="center"/>
          </w:tcPr>
          <w:p w14:paraId="56DD70C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363" w:type="pct"/>
            <w:tcBorders>
              <w:tl2br w:val="nil"/>
              <w:tr2bl w:val="nil"/>
            </w:tcBorders>
            <w:shd w:val="clear" w:color="auto" w:fill="auto"/>
            <w:vAlign w:val="center"/>
          </w:tcPr>
          <w:p w14:paraId="7A89EAA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99" w:type="pct"/>
            <w:tcBorders>
              <w:tl2br w:val="nil"/>
              <w:tr2bl w:val="nil"/>
            </w:tcBorders>
            <w:shd w:val="clear" w:color="auto" w:fill="auto"/>
            <w:noWrap/>
            <w:vAlign w:val="center"/>
          </w:tcPr>
          <w:p w14:paraId="101A5C3D">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 xml:space="preserve">2.52 </w:t>
            </w:r>
          </w:p>
        </w:tc>
        <w:tc>
          <w:tcPr>
            <w:tcW w:w="283" w:type="pct"/>
            <w:tcBorders>
              <w:tl2br w:val="nil"/>
              <w:tr2bl w:val="nil"/>
            </w:tcBorders>
            <w:shd w:val="clear" w:color="auto" w:fill="auto"/>
            <w:noWrap/>
            <w:vAlign w:val="center"/>
          </w:tcPr>
          <w:p w14:paraId="54686BC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0.003 </w:t>
            </w:r>
          </w:p>
        </w:tc>
        <w:tc>
          <w:tcPr>
            <w:tcW w:w="370" w:type="pct"/>
            <w:tcBorders>
              <w:tl2br w:val="nil"/>
              <w:tr2bl w:val="nil"/>
            </w:tcBorders>
            <w:shd w:val="clear" w:color="auto" w:fill="auto"/>
            <w:noWrap/>
            <w:vAlign w:val="center"/>
          </w:tcPr>
          <w:p w14:paraId="147D0AF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产污系数、类比</w:t>
            </w:r>
          </w:p>
        </w:tc>
        <w:tc>
          <w:tcPr>
            <w:tcW w:w="351" w:type="pct"/>
            <w:vMerge w:val="continue"/>
            <w:tcBorders>
              <w:tl2br w:val="nil"/>
              <w:tr2bl w:val="nil"/>
            </w:tcBorders>
            <w:shd w:val="clear" w:color="auto" w:fill="auto"/>
            <w:noWrap/>
            <w:vAlign w:val="center"/>
          </w:tcPr>
          <w:p w14:paraId="60B074C6">
            <w:pPr>
              <w:jc w:val="center"/>
              <w:rPr>
                <w:rFonts w:hint="default" w:ascii="Times New Roman" w:hAnsi="Times New Roman" w:eastAsia="宋体" w:cs="Times New Roman"/>
                <w:i w:val="0"/>
                <w:iCs w:val="0"/>
                <w:color w:val="000000"/>
                <w:sz w:val="18"/>
                <w:szCs w:val="18"/>
                <w:u w:val="none"/>
              </w:rPr>
            </w:pPr>
          </w:p>
        </w:tc>
        <w:tc>
          <w:tcPr>
            <w:tcW w:w="363" w:type="pct"/>
            <w:tcBorders>
              <w:tl2br w:val="nil"/>
              <w:tr2bl w:val="nil"/>
            </w:tcBorders>
            <w:shd w:val="clear" w:color="auto" w:fill="auto"/>
            <w:noWrap/>
            <w:vAlign w:val="center"/>
          </w:tcPr>
          <w:p w14:paraId="3EA24CB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1.2 </w:t>
            </w:r>
          </w:p>
        </w:tc>
        <w:tc>
          <w:tcPr>
            <w:tcW w:w="299" w:type="pct"/>
            <w:tcBorders>
              <w:tl2br w:val="nil"/>
              <w:tr2bl w:val="nil"/>
            </w:tcBorders>
            <w:shd w:val="clear" w:color="auto" w:fill="auto"/>
            <w:noWrap/>
            <w:vAlign w:val="center"/>
          </w:tcPr>
          <w:p w14:paraId="207E5C1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1.89 </w:t>
            </w:r>
          </w:p>
        </w:tc>
        <w:tc>
          <w:tcPr>
            <w:tcW w:w="325" w:type="pct"/>
            <w:tcBorders>
              <w:tl2br w:val="nil"/>
              <w:tr2bl w:val="nil"/>
            </w:tcBorders>
            <w:shd w:val="clear" w:color="auto" w:fill="auto"/>
            <w:noWrap/>
            <w:vAlign w:val="center"/>
          </w:tcPr>
          <w:p w14:paraId="7725F84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0.002 </w:t>
            </w:r>
          </w:p>
        </w:tc>
        <w:tc>
          <w:tcPr>
            <w:tcW w:w="198" w:type="pct"/>
            <w:vMerge w:val="continue"/>
            <w:tcBorders>
              <w:tl2br w:val="nil"/>
              <w:tr2bl w:val="nil"/>
            </w:tcBorders>
            <w:shd w:val="clear" w:color="auto" w:fill="auto"/>
            <w:noWrap/>
            <w:vAlign w:val="center"/>
          </w:tcPr>
          <w:p w14:paraId="2A4234F3">
            <w:pPr>
              <w:jc w:val="center"/>
              <w:rPr>
                <w:rFonts w:hint="default" w:ascii="Times New Roman" w:hAnsi="Times New Roman" w:eastAsia="宋体" w:cs="Times New Roman"/>
                <w:i w:val="0"/>
                <w:iCs w:val="0"/>
                <w:color w:val="000000"/>
                <w:sz w:val="18"/>
                <w:szCs w:val="18"/>
                <w:u w:val="none"/>
              </w:rPr>
            </w:pPr>
          </w:p>
        </w:tc>
      </w:tr>
      <w:tr w14:paraId="71C22A7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 w:hRule="atLeast"/>
        </w:trPr>
        <w:tc>
          <w:tcPr>
            <w:tcW w:w="325" w:type="pct"/>
            <w:vMerge w:val="continue"/>
            <w:tcBorders>
              <w:tl2br w:val="nil"/>
              <w:tr2bl w:val="nil"/>
            </w:tcBorders>
            <w:shd w:val="clear" w:color="auto" w:fill="auto"/>
            <w:noWrap/>
            <w:vAlign w:val="center"/>
          </w:tcPr>
          <w:p w14:paraId="72E5CC48">
            <w:pPr>
              <w:jc w:val="center"/>
              <w:rPr>
                <w:rFonts w:hint="default" w:ascii="Times New Roman" w:hAnsi="Times New Roman" w:eastAsia="宋体" w:cs="Times New Roman"/>
                <w:i w:val="0"/>
                <w:iCs w:val="0"/>
                <w:color w:val="000000"/>
                <w:sz w:val="18"/>
                <w:szCs w:val="18"/>
                <w:u w:val="none"/>
              </w:rPr>
            </w:pPr>
          </w:p>
        </w:tc>
        <w:tc>
          <w:tcPr>
            <w:tcW w:w="310" w:type="pct"/>
            <w:vMerge w:val="continue"/>
            <w:tcBorders>
              <w:tl2br w:val="nil"/>
              <w:tr2bl w:val="nil"/>
            </w:tcBorders>
            <w:shd w:val="clear" w:color="auto" w:fill="auto"/>
            <w:noWrap/>
            <w:vAlign w:val="center"/>
          </w:tcPr>
          <w:p w14:paraId="284C6C53">
            <w:pPr>
              <w:jc w:val="center"/>
              <w:rPr>
                <w:rFonts w:hint="default" w:ascii="Times New Roman" w:hAnsi="Times New Roman" w:eastAsia="宋体" w:cs="Times New Roman"/>
                <w:i w:val="0"/>
                <w:iCs w:val="0"/>
                <w:color w:val="000000"/>
                <w:sz w:val="18"/>
                <w:szCs w:val="18"/>
                <w:u w:val="none"/>
              </w:rPr>
            </w:pPr>
          </w:p>
        </w:tc>
        <w:tc>
          <w:tcPr>
            <w:tcW w:w="314" w:type="pct"/>
            <w:vMerge w:val="continue"/>
            <w:tcBorders>
              <w:tl2br w:val="nil"/>
              <w:tr2bl w:val="nil"/>
            </w:tcBorders>
            <w:shd w:val="clear" w:color="auto" w:fill="auto"/>
            <w:noWrap/>
            <w:vAlign w:val="center"/>
          </w:tcPr>
          <w:p w14:paraId="12015B41">
            <w:pPr>
              <w:jc w:val="center"/>
              <w:rPr>
                <w:rFonts w:hint="default" w:ascii="Times New Roman" w:hAnsi="Times New Roman" w:eastAsia="宋体" w:cs="Times New Roman"/>
                <w:i w:val="0"/>
                <w:iCs w:val="0"/>
                <w:color w:val="000000"/>
                <w:sz w:val="18"/>
                <w:szCs w:val="18"/>
                <w:u w:val="none"/>
              </w:rPr>
            </w:pPr>
          </w:p>
        </w:tc>
        <w:tc>
          <w:tcPr>
            <w:tcW w:w="190" w:type="pct"/>
            <w:vMerge w:val="continue"/>
            <w:tcBorders>
              <w:tl2br w:val="nil"/>
              <w:tr2bl w:val="nil"/>
            </w:tcBorders>
            <w:shd w:val="clear" w:color="auto" w:fill="auto"/>
            <w:noWrap/>
            <w:vAlign w:val="center"/>
          </w:tcPr>
          <w:p w14:paraId="70968F52">
            <w:pPr>
              <w:jc w:val="center"/>
              <w:rPr>
                <w:rFonts w:hint="default" w:ascii="Times New Roman" w:hAnsi="Times New Roman" w:eastAsia="宋体" w:cs="Times New Roman"/>
                <w:i w:val="0"/>
                <w:iCs w:val="0"/>
                <w:color w:val="000000"/>
                <w:sz w:val="18"/>
                <w:szCs w:val="18"/>
                <w:u w:val="none"/>
              </w:rPr>
            </w:pPr>
          </w:p>
        </w:tc>
        <w:tc>
          <w:tcPr>
            <w:tcW w:w="280" w:type="pct"/>
            <w:tcBorders>
              <w:tl2br w:val="nil"/>
              <w:tr2bl w:val="nil"/>
            </w:tcBorders>
            <w:shd w:val="clear" w:color="auto" w:fill="auto"/>
            <w:noWrap/>
            <w:vAlign w:val="center"/>
          </w:tcPr>
          <w:p w14:paraId="1F97E1E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非甲烷总烃</w:t>
            </w:r>
          </w:p>
        </w:tc>
        <w:tc>
          <w:tcPr>
            <w:tcW w:w="370" w:type="pct"/>
            <w:tcBorders>
              <w:tl2br w:val="nil"/>
              <w:tr2bl w:val="nil"/>
            </w:tcBorders>
            <w:shd w:val="clear" w:color="auto" w:fill="auto"/>
            <w:noWrap/>
            <w:vAlign w:val="center"/>
          </w:tcPr>
          <w:p w14:paraId="0E3D5A3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类比</w:t>
            </w:r>
          </w:p>
        </w:tc>
        <w:tc>
          <w:tcPr>
            <w:tcW w:w="351" w:type="pct"/>
            <w:tcBorders>
              <w:tl2br w:val="nil"/>
              <w:tr2bl w:val="nil"/>
            </w:tcBorders>
            <w:shd w:val="clear" w:color="auto" w:fill="auto"/>
            <w:vAlign w:val="center"/>
          </w:tcPr>
          <w:p w14:paraId="56EF470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363" w:type="pct"/>
            <w:tcBorders>
              <w:tl2br w:val="nil"/>
              <w:tr2bl w:val="nil"/>
            </w:tcBorders>
            <w:shd w:val="clear" w:color="auto" w:fill="auto"/>
            <w:vAlign w:val="center"/>
          </w:tcPr>
          <w:p w14:paraId="1170D51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99" w:type="pct"/>
            <w:tcBorders>
              <w:tl2br w:val="nil"/>
              <w:tr2bl w:val="nil"/>
            </w:tcBorders>
            <w:shd w:val="clear" w:color="auto" w:fill="auto"/>
            <w:noWrap/>
            <w:vAlign w:val="center"/>
          </w:tcPr>
          <w:p w14:paraId="5083FD91">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 xml:space="preserve">5.82 </w:t>
            </w:r>
          </w:p>
        </w:tc>
        <w:tc>
          <w:tcPr>
            <w:tcW w:w="283" w:type="pct"/>
            <w:tcBorders>
              <w:tl2br w:val="nil"/>
              <w:tr2bl w:val="nil"/>
            </w:tcBorders>
            <w:shd w:val="clear" w:color="auto" w:fill="auto"/>
            <w:noWrap/>
            <w:vAlign w:val="center"/>
          </w:tcPr>
          <w:p w14:paraId="37C3680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0.007 </w:t>
            </w:r>
          </w:p>
        </w:tc>
        <w:tc>
          <w:tcPr>
            <w:tcW w:w="370" w:type="pct"/>
            <w:tcBorders>
              <w:tl2br w:val="nil"/>
              <w:tr2bl w:val="nil"/>
            </w:tcBorders>
            <w:shd w:val="clear" w:color="auto" w:fill="auto"/>
            <w:noWrap/>
            <w:vAlign w:val="center"/>
          </w:tcPr>
          <w:p w14:paraId="328EFD8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类比</w:t>
            </w:r>
          </w:p>
        </w:tc>
        <w:tc>
          <w:tcPr>
            <w:tcW w:w="351" w:type="pct"/>
            <w:vMerge w:val="continue"/>
            <w:tcBorders>
              <w:tl2br w:val="nil"/>
              <w:tr2bl w:val="nil"/>
            </w:tcBorders>
            <w:shd w:val="clear" w:color="auto" w:fill="auto"/>
            <w:noWrap/>
            <w:vAlign w:val="center"/>
          </w:tcPr>
          <w:p w14:paraId="52A0E340">
            <w:pPr>
              <w:jc w:val="center"/>
              <w:rPr>
                <w:rFonts w:hint="default" w:ascii="Times New Roman" w:hAnsi="Times New Roman" w:eastAsia="宋体" w:cs="Times New Roman"/>
                <w:i w:val="0"/>
                <w:iCs w:val="0"/>
                <w:color w:val="000000"/>
                <w:sz w:val="18"/>
                <w:szCs w:val="18"/>
                <w:u w:val="none"/>
              </w:rPr>
            </w:pPr>
          </w:p>
        </w:tc>
        <w:tc>
          <w:tcPr>
            <w:tcW w:w="363" w:type="pct"/>
            <w:tcBorders>
              <w:tl2br w:val="nil"/>
              <w:tr2bl w:val="nil"/>
            </w:tcBorders>
            <w:shd w:val="clear" w:color="auto" w:fill="auto"/>
            <w:noWrap/>
            <w:vAlign w:val="center"/>
          </w:tcPr>
          <w:p w14:paraId="7476893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2.7 </w:t>
            </w:r>
          </w:p>
        </w:tc>
        <w:tc>
          <w:tcPr>
            <w:tcW w:w="299" w:type="pct"/>
            <w:tcBorders>
              <w:tl2br w:val="nil"/>
              <w:tr2bl w:val="nil"/>
            </w:tcBorders>
            <w:shd w:val="clear" w:color="auto" w:fill="auto"/>
            <w:noWrap/>
            <w:vAlign w:val="center"/>
          </w:tcPr>
          <w:p w14:paraId="43FE08C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4.36 </w:t>
            </w:r>
          </w:p>
        </w:tc>
        <w:tc>
          <w:tcPr>
            <w:tcW w:w="325" w:type="pct"/>
            <w:tcBorders>
              <w:tl2br w:val="nil"/>
              <w:tr2bl w:val="nil"/>
            </w:tcBorders>
            <w:shd w:val="clear" w:color="auto" w:fill="auto"/>
            <w:noWrap/>
            <w:vAlign w:val="center"/>
          </w:tcPr>
          <w:p w14:paraId="52B31F9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0.005 </w:t>
            </w:r>
          </w:p>
        </w:tc>
        <w:tc>
          <w:tcPr>
            <w:tcW w:w="198" w:type="pct"/>
            <w:vMerge w:val="continue"/>
            <w:tcBorders>
              <w:tl2br w:val="nil"/>
              <w:tr2bl w:val="nil"/>
            </w:tcBorders>
            <w:shd w:val="clear" w:color="auto" w:fill="auto"/>
            <w:noWrap/>
            <w:vAlign w:val="center"/>
          </w:tcPr>
          <w:p w14:paraId="0E547474">
            <w:pPr>
              <w:jc w:val="center"/>
              <w:rPr>
                <w:rFonts w:hint="default" w:ascii="Times New Roman" w:hAnsi="Times New Roman" w:eastAsia="宋体" w:cs="Times New Roman"/>
                <w:i w:val="0"/>
                <w:iCs w:val="0"/>
                <w:color w:val="000000"/>
                <w:sz w:val="18"/>
                <w:szCs w:val="18"/>
                <w:u w:val="none"/>
              </w:rPr>
            </w:pPr>
          </w:p>
        </w:tc>
      </w:tr>
      <w:tr w14:paraId="7F58FFA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 w:hRule="atLeast"/>
        </w:trPr>
        <w:tc>
          <w:tcPr>
            <w:tcW w:w="325" w:type="pct"/>
            <w:vMerge w:val="continue"/>
            <w:tcBorders>
              <w:tl2br w:val="nil"/>
              <w:tr2bl w:val="nil"/>
            </w:tcBorders>
            <w:shd w:val="clear" w:color="auto" w:fill="auto"/>
            <w:noWrap/>
            <w:vAlign w:val="center"/>
          </w:tcPr>
          <w:p w14:paraId="0753505C">
            <w:pPr>
              <w:jc w:val="center"/>
              <w:rPr>
                <w:rFonts w:hint="default" w:ascii="Times New Roman" w:hAnsi="Times New Roman" w:eastAsia="宋体" w:cs="Times New Roman"/>
                <w:i w:val="0"/>
                <w:iCs w:val="0"/>
                <w:color w:val="000000"/>
                <w:sz w:val="18"/>
                <w:szCs w:val="18"/>
                <w:u w:val="none"/>
              </w:rPr>
            </w:pPr>
          </w:p>
        </w:tc>
        <w:tc>
          <w:tcPr>
            <w:tcW w:w="310" w:type="pct"/>
            <w:tcBorders>
              <w:tl2br w:val="nil"/>
              <w:tr2bl w:val="nil"/>
            </w:tcBorders>
            <w:shd w:val="clear" w:color="auto" w:fill="auto"/>
            <w:noWrap/>
            <w:vAlign w:val="center"/>
          </w:tcPr>
          <w:p w14:paraId="38AAFF2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气流粉碎机</w:t>
            </w:r>
          </w:p>
        </w:tc>
        <w:tc>
          <w:tcPr>
            <w:tcW w:w="314" w:type="pct"/>
            <w:tcBorders>
              <w:tl2br w:val="nil"/>
              <w:tr2bl w:val="nil"/>
            </w:tcBorders>
            <w:shd w:val="clear" w:color="auto" w:fill="auto"/>
            <w:noWrap/>
            <w:vAlign w:val="center"/>
          </w:tcPr>
          <w:p w14:paraId="2D9D02E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气粉粉尘G7</w:t>
            </w:r>
          </w:p>
        </w:tc>
        <w:tc>
          <w:tcPr>
            <w:tcW w:w="190" w:type="pct"/>
            <w:vMerge w:val="continue"/>
            <w:tcBorders>
              <w:tl2br w:val="nil"/>
              <w:tr2bl w:val="nil"/>
            </w:tcBorders>
            <w:shd w:val="clear" w:color="auto" w:fill="auto"/>
            <w:noWrap/>
            <w:vAlign w:val="center"/>
          </w:tcPr>
          <w:p w14:paraId="4E9F96B4">
            <w:pPr>
              <w:jc w:val="center"/>
              <w:rPr>
                <w:rFonts w:hint="default" w:ascii="Times New Roman" w:hAnsi="Times New Roman" w:eastAsia="宋体" w:cs="Times New Roman"/>
                <w:i w:val="0"/>
                <w:iCs w:val="0"/>
                <w:color w:val="000000"/>
                <w:sz w:val="18"/>
                <w:szCs w:val="18"/>
                <w:u w:val="none"/>
              </w:rPr>
            </w:pPr>
          </w:p>
        </w:tc>
        <w:tc>
          <w:tcPr>
            <w:tcW w:w="280" w:type="pct"/>
            <w:tcBorders>
              <w:tl2br w:val="nil"/>
              <w:tr2bl w:val="nil"/>
            </w:tcBorders>
            <w:shd w:val="clear" w:color="auto" w:fill="auto"/>
            <w:noWrap/>
            <w:vAlign w:val="center"/>
          </w:tcPr>
          <w:p w14:paraId="6E255D5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颗粒物</w:t>
            </w:r>
          </w:p>
        </w:tc>
        <w:tc>
          <w:tcPr>
            <w:tcW w:w="370" w:type="pct"/>
            <w:tcBorders>
              <w:tl2br w:val="nil"/>
              <w:tr2bl w:val="nil"/>
            </w:tcBorders>
            <w:shd w:val="clear" w:color="auto" w:fill="auto"/>
            <w:noWrap/>
            <w:vAlign w:val="center"/>
          </w:tcPr>
          <w:p w14:paraId="100D528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产污系数</w:t>
            </w:r>
          </w:p>
        </w:tc>
        <w:tc>
          <w:tcPr>
            <w:tcW w:w="351" w:type="pct"/>
            <w:tcBorders>
              <w:tl2br w:val="nil"/>
              <w:tr2bl w:val="nil"/>
            </w:tcBorders>
            <w:shd w:val="clear" w:color="auto" w:fill="auto"/>
            <w:vAlign w:val="center"/>
          </w:tcPr>
          <w:p w14:paraId="346CF97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363" w:type="pct"/>
            <w:tcBorders>
              <w:tl2br w:val="nil"/>
              <w:tr2bl w:val="nil"/>
            </w:tcBorders>
            <w:shd w:val="clear" w:color="auto" w:fill="auto"/>
            <w:vAlign w:val="center"/>
          </w:tcPr>
          <w:p w14:paraId="3B17376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99" w:type="pct"/>
            <w:tcBorders>
              <w:tl2br w:val="nil"/>
              <w:tr2bl w:val="nil"/>
            </w:tcBorders>
            <w:shd w:val="clear" w:color="auto" w:fill="auto"/>
            <w:noWrap/>
            <w:vAlign w:val="center"/>
          </w:tcPr>
          <w:p w14:paraId="2403BE2F">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 xml:space="preserve">1.19 </w:t>
            </w:r>
          </w:p>
        </w:tc>
        <w:tc>
          <w:tcPr>
            <w:tcW w:w="283" w:type="pct"/>
            <w:tcBorders>
              <w:tl2br w:val="nil"/>
              <w:tr2bl w:val="nil"/>
            </w:tcBorders>
            <w:shd w:val="clear" w:color="auto" w:fill="auto"/>
            <w:noWrap/>
            <w:vAlign w:val="center"/>
          </w:tcPr>
          <w:p w14:paraId="7E26632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0.001 </w:t>
            </w:r>
          </w:p>
        </w:tc>
        <w:tc>
          <w:tcPr>
            <w:tcW w:w="370" w:type="pct"/>
            <w:tcBorders>
              <w:tl2br w:val="nil"/>
              <w:tr2bl w:val="nil"/>
            </w:tcBorders>
            <w:shd w:val="clear" w:color="auto" w:fill="auto"/>
            <w:noWrap/>
            <w:vAlign w:val="center"/>
          </w:tcPr>
          <w:p w14:paraId="5CA6520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产污系数</w:t>
            </w:r>
          </w:p>
        </w:tc>
        <w:tc>
          <w:tcPr>
            <w:tcW w:w="351" w:type="pct"/>
            <w:vMerge w:val="continue"/>
            <w:tcBorders>
              <w:tl2br w:val="nil"/>
              <w:tr2bl w:val="nil"/>
            </w:tcBorders>
            <w:shd w:val="clear" w:color="auto" w:fill="auto"/>
            <w:noWrap/>
            <w:vAlign w:val="center"/>
          </w:tcPr>
          <w:p w14:paraId="354985D2">
            <w:pPr>
              <w:jc w:val="center"/>
              <w:rPr>
                <w:rFonts w:hint="default" w:ascii="Times New Roman" w:hAnsi="Times New Roman" w:eastAsia="宋体" w:cs="Times New Roman"/>
                <w:i w:val="0"/>
                <w:iCs w:val="0"/>
                <w:color w:val="000000"/>
                <w:sz w:val="18"/>
                <w:szCs w:val="18"/>
                <w:u w:val="none"/>
              </w:rPr>
            </w:pPr>
          </w:p>
        </w:tc>
        <w:tc>
          <w:tcPr>
            <w:tcW w:w="363" w:type="pct"/>
            <w:tcBorders>
              <w:tl2br w:val="nil"/>
              <w:tr2bl w:val="nil"/>
            </w:tcBorders>
            <w:shd w:val="clear" w:color="auto" w:fill="auto"/>
            <w:noWrap/>
            <w:vAlign w:val="center"/>
          </w:tcPr>
          <w:p w14:paraId="519B910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0.5 </w:t>
            </w:r>
          </w:p>
        </w:tc>
        <w:tc>
          <w:tcPr>
            <w:tcW w:w="299" w:type="pct"/>
            <w:tcBorders>
              <w:tl2br w:val="nil"/>
              <w:tr2bl w:val="nil"/>
            </w:tcBorders>
            <w:shd w:val="clear" w:color="auto" w:fill="auto"/>
            <w:noWrap/>
            <w:vAlign w:val="center"/>
          </w:tcPr>
          <w:p w14:paraId="04ACA9A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0.77 </w:t>
            </w:r>
          </w:p>
        </w:tc>
        <w:tc>
          <w:tcPr>
            <w:tcW w:w="325" w:type="pct"/>
            <w:tcBorders>
              <w:tl2br w:val="nil"/>
              <w:tr2bl w:val="nil"/>
            </w:tcBorders>
            <w:shd w:val="clear" w:color="auto" w:fill="auto"/>
            <w:noWrap/>
            <w:vAlign w:val="center"/>
          </w:tcPr>
          <w:p w14:paraId="60EE949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0.0010 </w:t>
            </w:r>
          </w:p>
        </w:tc>
        <w:tc>
          <w:tcPr>
            <w:tcW w:w="198" w:type="pct"/>
            <w:vMerge w:val="continue"/>
            <w:tcBorders>
              <w:tl2br w:val="nil"/>
              <w:tr2bl w:val="nil"/>
            </w:tcBorders>
            <w:shd w:val="clear" w:color="auto" w:fill="auto"/>
            <w:noWrap/>
            <w:vAlign w:val="center"/>
          </w:tcPr>
          <w:p w14:paraId="20E0C9F4">
            <w:pPr>
              <w:jc w:val="center"/>
              <w:rPr>
                <w:rFonts w:hint="default" w:ascii="Times New Roman" w:hAnsi="Times New Roman" w:eastAsia="宋体" w:cs="Times New Roman"/>
                <w:i w:val="0"/>
                <w:iCs w:val="0"/>
                <w:color w:val="000000"/>
                <w:sz w:val="18"/>
                <w:szCs w:val="18"/>
                <w:u w:val="none"/>
              </w:rPr>
            </w:pPr>
          </w:p>
        </w:tc>
      </w:tr>
      <w:tr w14:paraId="180A118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 w:hRule="atLeast"/>
        </w:trPr>
        <w:tc>
          <w:tcPr>
            <w:tcW w:w="325" w:type="pct"/>
            <w:tcBorders>
              <w:tl2br w:val="nil"/>
              <w:tr2bl w:val="nil"/>
            </w:tcBorders>
            <w:shd w:val="clear" w:color="auto" w:fill="auto"/>
            <w:noWrap/>
            <w:vAlign w:val="center"/>
          </w:tcPr>
          <w:p w14:paraId="15E6E53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扣电组装测试</w:t>
            </w:r>
          </w:p>
        </w:tc>
        <w:tc>
          <w:tcPr>
            <w:tcW w:w="310" w:type="pct"/>
            <w:tcBorders>
              <w:tl2br w:val="nil"/>
              <w:tr2bl w:val="nil"/>
            </w:tcBorders>
            <w:shd w:val="clear" w:color="auto" w:fill="auto"/>
            <w:noWrap/>
            <w:vAlign w:val="center"/>
          </w:tcPr>
          <w:p w14:paraId="1465CA4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平板涂覆机</w:t>
            </w:r>
          </w:p>
        </w:tc>
        <w:tc>
          <w:tcPr>
            <w:tcW w:w="314" w:type="pct"/>
            <w:tcBorders>
              <w:tl2br w:val="nil"/>
              <w:tr2bl w:val="nil"/>
            </w:tcBorders>
            <w:shd w:val="clear" w:color="auto" w:fill="auto"/>
            <w:noWrap/>
            <w:vAlign w:val="center"/>
          </w:tcPr>
          <w:p w14:paraId="6CFEC73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涂布废气G10</w:t>
            </w:r>
          </w:p>
        </w:tc>
        <w:tc>
          <w:tcPr>
            <w:tcW w:w="190" w:type="pct"/>
            <w:vMerge w:val="continue"/>
            <w:tcBorders>
              <w:tl2br w:val="nil"/>
              <w:tr2bl w:val="nil"/>
            </w:tcBorders>
            <w:shd w:val="clear" w:color="auto" w:fill="auto"/>
            <w:noWrap/>
            <w:vAlign w:val="center"/>
          </w:tcPr>
          <w:p w14:paraId="4AD0A0AD">
            <w:pPr>
              <w:jc w:val="center"/>
              <w:rPr>
                <w:rFonts w:hint="default" w:ascii="Times New Roman" w:hAnsi="Times New Roman" w:eastAsia="宋体" w:cs="Times New Roman"/>
                <w:i w:val="0"/>
                <w:iCs w:val="0"/>
                <w:color w:val="000000"/>
                <w:sz w:val="18"/>
                <w:szCs w:val="18"/>
                <w:u w:val="none"/>
              </w:rPr>
            </w:pPr>
          </w:p>
        </w:tc>
        <w:tc>
          <w:tcPr>
            <w:tcW w:w="280" w:type="pct"/>
            <w:tcBorders>
              <w:tl2br w:val="nil"/>
              <w:tr2bl w:val="nil"/>
            </w:tcBorders>
            <w:shd w:val="clear" w:color="auto" w:fill="auto"/>
            <w:noWrap/>
            <w:vAlign w:val="center"/>
          </w:tcPr>
          <w:p w14:paraId="564DAEE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非甲烷总烃</w:t>
            </w:r>
          </w:p>
        </w:tc>
        <w:tc>
          <w:tcPr>
            <w:tcW w:w="370" w:type="pct"/>
            <w:tcBorders>
              <w:tl2br w:val="nil"/>
              <w:tr2bl w:val="nil"/>
            </w:tcBorders>
            <w:shd w:val="clear" w:color="auto" w:fill="auto"/>
            <w:noWrap/>
            <w:vAlign w:val="center"/>
          </w:tcPr>
          <w:p w14:paraId="7261CA9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物料衡算</w:t>
            </w:r>
          </w:p>
        </w:tc>
        <w:tc>
          <w:tcPr>
            <w:tcW w:w="351" w:type="pct"/>
            <w:tcBorders>
              <w:tl2br w:val="nil"/>
              <w:tr2bl w:val="nil"/>
            </w:tcBorders>
            <w:shd w:val="clear" w:color="auto" w:fill="auto"/>
            <w:vAlign w:val="center"/>
          </w:tcPr>
          <w:p w14:paraId="37630BA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363" w:type="pct"/>
            <w:tcBorders>
              <w:tl2br w:val="nil"/>
              <w:tr2bl w:val="nil"/>
            </w:tcBorders>
            <w:shd w:val="clear" w:color="auto" w:fill="auto"/>
            <w:vAlign w:val="center"/>
          </w:tcPr>
          <w:p w14:paraId="18F56FA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99" w:type="pct"/>
            <w:tcBorders>
              <w:tl2br w:val="nil"/>
              <w:tr2bl w:val="nil"/>
            </w:tcBorders>
            <w:shd w:val="clear" w:color="auto" w:fill="auto"/>
            <w:noWrap/>
            <w:vAlign w:val="center"/>
          </w:tcPr>
          <w:p w14:paraId="20F05168">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 xml:space="preserve">0.82 </w:t>
            </w:r>
          </w:p>
        </w:tc>
        <w:tc>
          <w:tcPr>
            <w:tcW w:w="283" w:type="pct"/>
            <w:tcBorders>
              <w:tl2br w:val="nil"/>
              <w:tr2bl w:val="nil"/>
            </w:tcBorders>
            <w:shd w:val="clear" w:color="auto" w:fill="auto"/>
            <w:noWrap/>
            <w:vAlign w:val="center"/>
          </w:tcPr>
          <w:p w14:paraId="3F1D863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0.001 </w:t>
            </w:r>
          </w:p>
        </w:tc>
        <w:tc>
          <w:tcPr>
            <w:tcW w:w="370" w:type="pct"/>
            <w:tcBorders>
              <w:tl2br w:val="nil"/>
              <w:tr2bl w:val="nil"/>
            </w:tcBorders>
            <w:shd w:val="clear" w:color="auto" w:fill="auto"/>
            <w:noWrap/>
            <w:vAlign w:val="center"/>
          </w:tcPr>
          <w:p w14:paraId="4CEFFEE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物料衡算</w:t>
            </w:r>
          </w:p>
        </w:tc>
        <w:tc>
          <w:tcPr>
            <w:tcW w:w="351" w:type="pct"/>
            <w:vMerge w:val="continue"/>
            <w:tcBorders>
              <w:tl2br w:val="nil"/>
              <w:tr2bl w:val="nil"/>
            </w:tcBorders>
            <w:shd w:val="clear" w:color="auto" w:fill="auto"/>
            <w:noWrap/>
            <w:vAlign w:val="center"/>
          </w:tcPr>
          <w:p w14:paraId="6621CB7F">
            <w:pPr>
              <w:jc w:val="center"/>
              <w:rPr>
                <w:rFonts w:hint="default" w:ascii="Times New Roman" w:hAnsi="Times New Roman" w:eastAsia="宋体" w:cs="Times New Roman"/>
                <w:i w:val="0"/>
                <w:iCs w:val="0"/>
                <w:color w:val="000000"/>
                <w:sz w:val="18"/>
                <w:szCs w:val="18"/>
                <w:u w:val="none"/>
              </w:rPr>
            </w:pPr>
          </w:p>
        </w:tc>
        <w:tc>
          <w:tcPr>
            <w:tcW w:w="363" w:type="pct"/>
            <w:tcBorders>
              <w:tl2br w:val="nil"/>
              <w:tr2bl w:val="nil"/>
            </w:tcBorders>
            <w:shd w:val="clear" w:color="auto" w:fill="auto"/>
            <w:noWrap/>
            <w:vAlign w:val="center"/>
          </w:tcPr>
          <w:p w14:paraId="7A7788F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0.4 </w:t>
            </w:r>
          </w:p>
        </w:tc>
        <w:tc>
          <w:tcPr>
            <w:tcW w:w="299" w:type="pct"/>
            <w:tcBorders>
              <w:tl2br w:val="nil"/>
              <w:tr2bl w:val="nil"/>
            </w:tcBorders>
            <w:shd w:val="clear" w:color="auto" w:fill="auto"/>
            <w:noWrap/>
            <w:vAlign w:val="center"/>
          </w:tcPr>
          <w:p w14:paraId="2D51258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0.62 </w:t>
            </w:r>
          </w:p>
        </w:tc>
        <w:tc>
          <w:tcPr>
            <w:tcW w:w="325" w:type="pct"/>
            <w:tcBorders>
              <w:tl2br w:val="nil"/>
              <w:tr2bl w:val="nil"/>
            </w:tcBorders>
            <w:shd w:val="clear" w:color="auto" w:fill="auto"/>
            <w:noWrap/>
            <w:vAlign w:val="center"/>
          </w:tcPr>
          <w:p w14:paraId="35C28AC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0.001 </w:t>
            </w:r>
          </w:p>
        </w:tc>
        <w:tc>
          <w:tcPr>
            <w:tcW w:w="198" w:type="pct"/>
            <w:vMerge w:val="continue"/>
            <w:tcBorders>
              <w:tl2br w:val="nil"/>
              <w:tr2bl w:val="nil"/>
            </w:tcBorders>
            <w:shd w:val="clear" w:color="auto" w:fill="auto"/>
            <w:noWrap/>
            <w:vAlign w:val="center"/>
          </w:tcPr>
          <w:p w14:paraId="3DFEB24B">
            <w:pPr>
              <w:jc w:val="center"/>
              <w:rPr>
                <w:rFonts w:hint="default" w:ascii="Times New Roman" w:hAnsi="Times New Roman" w:eastAsia="宋体" w:cs="Times New Roman"/>
                <w:i w:val="0"/>
                <w:iCs w:val="0"/>
                <w:color w:val="000000"/>
                <w:sz w:val="18"/>
                <w:szCs w:val="18"/>
                <w:u w:val="none"/>
              </w:rPr>
            </w:pPr>
          </w:p>
        </w:tc>
      </w:tr>
      <w:tr w14:paraId="79429F9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 w:hRule="atLeast"/>
        </w:trPr>
        <w:tc>
          <w:tcPr>
            <w:tcW w:w="325" w:type="pct"/>
            <w:vMerge w:val="restart"/>
            <w:tcBorders>
              <w:tl2br w:val="nil"/>
              <w:tr2bl w:val="nil"/>
            </w:tcBorders>
            <w:shd w:val="clear" w:color="auto" w:fill="auto"/>
            <w:noWrap/>
            <w:vAlign w:val="center"/>
          </w:tcPr>
          <w:p w14:paraId="3908075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正极材料制备</w:t>
            </w:r>
          </w:p>
        </w:tc>
        <w:tc>
          <w:tcPr>
            <w:tcW w:w="310" w:type="pct"/>
            <w:tcBorders>
              <w:tl2br w:val="nil"/>
              <w:tr2bl w:val="nil"/>
            </w:tcBorders>
            <w:shd w:val="clear" w:color="auto" w:fill="auto"/>
            <w:noWrap/>
            <w:vAlign w:val="center"/>
          </w:tcPr>
          <w:p w14:paraId="34750D3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对辊机</w:t>
            </w:r>
          </w:p>
        </w:tc>
        <w:tc>
          <w:tcPr>
            <w:tcW w:w="314" w:type="pct"/>
            <w:tcBorders>
              <w:tl2br w:val="nil"/>
              <w:tr2bl w:val="nil"/>
            </w:tcBorders>
            <w:shd w:val="clear" w:color="auto" w:fill="auto"/>
            <w:noWrap/>
            <w:vAlign w:val="center"/>
          </w:tcPr>
          <w:p w14:paraId="79913C3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粗破粉尘G5</w:t>
            </w:r>
          </w:p>
        </w:tc>
        <w:tc>
          <w:tcPr>
            <w:tcW w:w="190" w:type="pct"/>
            <w:tcBorders>
              <w:tl2br w:val="nil"/>
              <w:tr2bl w:val="nil"/>
            </w:tcBorders>
            <w:shd w:val="clear" w:color="auto" w:fill="auto"/>
            <w:noWrap/>
            <w:vAlign w:val="center"/>
          </w:tcPr>
          <w:p w14:paraId="1002E37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无组织</w:t>
            </w:r>
          </w:p>
        </w:tc>
        <w:tc>
          <w:tcPr>
            <w:tcW w:w="280" w:type="pct"/>
            <w:tcBorders>
              <w:tl2br w:val="nil"/>
              <w:tr2bl w:val="nil"/>
            </w:tcBorders>
            <w:shd w:val="clear" w:color="auto" w:fill="auto"/>
            <w:noWrap/>
            <w:vAlign w:val="center"/>
          </w:tcPr>
          <w:p w14:paraId="248C37C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颗粒物</w:t>
            </w:r>
          </w:p>
        </w:tc>
        <w:tc>
          <w:tcPr>
            <w:tcW w:w="370" w:type="pct"/>
            <w:tcBorders>
              <w:tl2br w:val="nil"/>
              <w:tr2bl w:val="nil"/>
            </w:tcBorders>
            <w:shd w:val="clear" w:color="auto" w:fill="auto"/>
            <w:noWrap/>
            <w:vAlign w:val="center"/>
          </w:tcPr>
          <w:p w14:paraId="1D84BA5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产污系数</w:t>
            </w:r>
          </w:p>
        </w:tc>
        <w:tc>
          <w:tcPr>
            <w:tcW w:w="351" w:type="pct"/>
            <w:tcBorders>
              <w:tl2br w:val="nil"/>
              <w:tr2bl w:val="nil"/>
            </w:tcBorders>
            <w:shd w:val="clear" w:color="auto" w:fill="auto"/>
            <w:vAlign w:val="center"/>
          </w:tcPr>
          <w:p w14:paraId="1CF8B95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363" w:type="pct"/>
            <w:tcBorders>
              <w:tl2br w:val="nil"/>
              <w:tr2bl w:val="nil"/>
            </w:tcBorders>
            <w:shd w:val="clear" w:color="auto" w:fill="auto"/>
            <w:vAlign w:val="center"/>
          </w:tcPr>
          <w:p w14:paraId="7F0C7F2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99" w:type="pct"/>
            <w:tcBorders>
              <w:tl2br w:val="nil"/>
              <w:tr2bl w:val="nil"/>
            </w:tcBorders>
            <w:shd w:val="clear" w:color="auto" w:fill="auto"/>
            <w:noWrap/>
            <w:vAlign w:val="center"/>
          </w:tcPr>
          <w:p w14:paraId="2A8CCB0B">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 xml:space="preserve">1.13 </w:t>
            </w:r>
          </w:p>
        </w:tc>
        <w:tc>
          <w:tcPr>
            <w:tcW w:w="283" w:type="pct"/>
            <w:tcBorders>
              <w:tl2br w:val="nil"/>
              <w:tr2bl w:val="nil"/>
            </w:tcBorders>
            <w:shd w:val="clear" w:color="auto" w:fill="auto"/>
            <w:noWrap/>
            <w:vAlign w:val="center"/>
          </w:tcPr>
          <w:p w14:paraId="1AA03A6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0.001 </w:t>
            </w:r>
          </w:p>
        </w:tc>
        <w:tc>
          <w:tcPr>
            <w:tcW w:w="370" w:type="pct"/>
            <w:tcBorders>
              <w:tl2br w:val="nil"/>
              <w:tr2bl w:val="nil"/>
            </w:tcBorders>
            <w:shd w:val="clear" w:color="auto" w:fill="auto"/>
            <w:noWrap/>
            <w:vAlign w:val="center"/>
          </w:tcPr>
          <w:p w14:paraId="06448B1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产污系数</w:t>
            </w:r>
          </w:p>
        </w:tc>
        <w:tc>
          <w:tcPr>
            <w:tcW w:w="351" w:type="pct"/>
            <w:tcBorders>
              <w:tl2br w:val="nil"/>
              <w:tr2bl w:val="nil"/>
            </w:tcBorders>
            <w:shd w:val="clear" w:color="auto" w:fill="auto"/>
            <w:noWrap/>
            <w:vAlign w:val="center"/>
          </w:tcPr>
          <w:p w14:paraId="2597531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363" w:type="pct"/>
            <w:tcBorders>
              <w:tl2br w:val="nil"/>
              <w:tr2bl w:val="nil"/>
            </w:tcBorders>
            <w:shd w:val="clear" w:color="auto" w:fill="auto"/>
            <w:noWrap/>
            <w:vAlign w:val="center"/>
          </w:tcPr>
          <w:p w14:paraId="376735D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99" w:type="pct"/>
            <w:tcBorders>
              <w:tl2br w:val="nil"/>
              <w:tr2bl w:val="nil"/>
            </w:tcBorders>
            <w:shd w:val="clear" w:color="auto" w:fill="auto"/>
            <w:noWrap/>
            <w:vAlign w:val="center"/>
          </w:tcPr>
          <w:p w14:paraId="0F94A8E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1.13 </w:t>
            </w:r>
          </w:p>
        </w:tc>
        <w:tc>
          <w:tcPr>
            <w:tcW w:w="325" w:type="pct"/>
            <w:tcBorders>
              <w:tl2br w:val="nil"/>
              <w:tr2bl w:val="nil"/>
            </w:tcBorders>
            <w:shd w:val="clear" w:color="auto" w:fill="auto"/>
            <w:noWrap/>
            <w:vAlign w:val="center"/>
          </w:tcPr>
          <w:p w14:paraId="349470A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0.001 </w:t>
            </w:r>
          </w:p>
        </w:tc>
        <w:tc>
          <w:tcPr>
            <w:tcW w:w="198" w:type="pct"/>
            <w:tcBorders>
              <w:tl2br w:val="nil"/>
              <w:tr2bl w:val="nil"/>
            </w:tcBorders>
            <w:shd w:val="clear" w:color="auto" w:fill="auto"/>
            <w:noWrap/>
            <w:vAlign w:val="center"/>
          </w:tcPr>
          <w:p w14:paraId="75A00DA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800</w:t>
            </w:r>
          </w:p>
        </w:tc>
      </w:tr>
      <w:tr w14:paraId="36B7461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 w:hRule="atLeast"/>
        </w:trPr>
        <w:tc>
          <w:tcPr>
            <w:tcW w:w="325" w:type="pct"/>
            <w:vMerge w:val="continue"/>
            <w:tcBorders>
              <w:tl2br w:val="nil"/>
              <w:tr2bl w:val="nil"/>
            </w:tcBorders>
            <w:shd w:val="clear" w:color="auto" w:fill="auto"/>
            <w:noWrap/>
            <w:vAlign w:val="center"/>
          </w:tcPr>
          <w:p w14:paraId="4D548E58">
            <w:pPr>
              <w:jc w:val="center"/>
              <w:rPr>
                <w:rFonts w:hint="default" w:ascii="Times New Roman" w:hAnsi="Times New Roman" w:eastAsia="宋体" w:cs="Times New Roman"/>
                <w:i w:val="0"/>
                <w:iCs w:val="0"/>
                <w:color w:val="000000"/>
                <w:sz w:val="18"/>
                <w:szCs w:val="18"/>
                <w:u w:val="none"/>
              </w:rPr>
            </w:pPr>
          </w:p>
        </w:tc>
        <w:tc>
          <w:tcPr>
            <w:tcW w:w="310" w:type="pct"/>
            <w:tcBorders>
              <w:tl2br w:val="nil"/>
              <w:tr2bl w:val="nil"/>
            </w:tcBorders>
            <w:shd w:val="clear" w:color="auto" w:fill="auto"/>
            <w:noWrap/>
            <w:vAlign w:val="center"/>
          </w:tcPr>
          <w:p w14:paraId="50F5676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振动筛分机</w:t>
            </w:r>
          </w:p>
        </w:tc>
        <w:tc>
          <w:tcPr>
            <w:tcW w:w="314" w:type="pct"/>
            <w:tcBorders>
              <w:tl2br w:val="nil"/>
              <w:tr2bl w:val="nil"/>
            </w:tcBorders>
            <w:shd w:val="clear" w:color="auto" w:fill="auto"/>
            <w:noWrap/>
            <w:vAlign w:val="center"/>
          </w:tcPr>
          <w:p w14:paraId="64387BE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筛分粉尘G9</w:t>
            </w:r>
          </w:p>
        </w:tc>
        <w:tc>
          <w:tcPr>
            <w:tcW w:w="190" w:type="pct"/>
            <w:tcBorders>
              <w:tl2br w:val="nil"/>
              <w:tr2bl w:val="nil"/>
            </w:tcBorders>
            <w:shd w:val="clear" w:color="auto" w:fill="auto"/>
            <w:noWrap/>
            <w:vAlign w:val="center"/>
          </w:tcPr>
          <w:p w14:paraId="1BAB371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无组织</w:t>
            </w:r>
          </w:p>
        </w:tc>
        <w:tc>
          <w:tcPr>
            <w:tcW w:w="280" w:type="pct"/>
            <w:tcBorders>
              <w:tl2br w:val="nil"/>
              <w:tr2bl w:val="nil"/>
            </w:tcBorders>
            <w:shd w:val="clear" w:color="auto" w:fill="auto"/>
            <w:noWrap/>
            <w:vAlign w:val="center"/>
          </w:tcPr>
          <w:p w14:paraId="63353E2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颗粒物</w:t>
            </w:r>
          </w:p>
        </w:tc>
        <w:tc>
          <w:tcPr>
            <w:tcW w:w="370" w:type="pct"/>
            <w:tcBorders>
              <w:tl2br w:val="nil"/>
              <w:tr2bl w:val="nil"/>
            </w:tcBorders>
            <w:shd w:val="clear" w:color="auto" w:fill="auto"/>
            <w:noWrap/>
            <w:vAlign w:val="center"/>
          </w:tcPr>
          <w:p w14:paraId="068F969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产污系数</w:t>
            </w:r>
          </w:p>
        </w:tc>
        <w:tc>
          <w:tcPr>
            <w:tcW w:w="351" w:type="pct"/>
            <w:tcBorders>
              <w:tl2br w:val="nil"/>
              <w:tr2bl w:val="nil"/>
            </w:tcBorders>
            <w:shd w:val="clear" w:color="auto" w:fill="auto"/>
            <w:vAlign w:val="center"/>
          </w:tcPr>
          <w:p w14:paraId="17AFDE9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363" w:type="pct"/>
            <w:tcBorders>
              <w:tl2br w:val="nil"/>
              <w:tr2bl w:val="nil"/>
            </w:tcBorders>
            <w:shd w:val="clear" w:color="auto" w:fill="auto"/>
            <w:vAlign w:val="center"/>
          </w:tcPr>
          <w:p w14:paraId="2B63FCE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99" w:type="pct"/>
            <w:tcBorders>
              <w:tl2br w:val="nil"/>
              <w:tr2bl w:val="nil"/>
            </w:tcBorders>
            <w:shd w:val="clear" w:color="auto" w:fill="auto"/>
            <w:noWrap/>
            <w:vAlign w:val="center"/>
          </w:tcPr>
          <w:p w14:paraId="0BF3F723">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 xml:space="preserve">1.13 </w:t>
            </w:r>
          </w:p>
        </w:tc>
        <w:tc>
          <w:tcPr>
            <w:tcW w:w="283" w:type="pct"/>
            <w:tcBorders>
              <w:tl2br w:val="nil"/>
              <w:tr2bl w:val="nil"/>
            </w:tcBorders>
            <w:shd w:val="clear" w:color="auto" w:fill="auto"/>
            <w:noWrap/>
            <w:vAlign w:val="center"/>
          </w:tcPr>
          <w:p w14:paraId="5BDDEED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0.001 </w:t>
            </w:r>
          </w:p>
        </w:tc>
        <w:tc>
          <w:tcPr>
            <w:tcW w:w="370" w:type="pct"/>
            <w:tcBorders>
              <w:tl2br w:val="nil"/>
              <w:tr2bl w:val="nil"/>
            </w:tcBorders>
            <w:shd w:val="clear" w:color="auto" w:fill="auto"/>
            <w:noWrap/>
            <w:vAlign w:val="center"/>
          </w:tcPr>
          <w:p w14:paraId="46F6792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产污系数</w:t>
            </w:r>
          </w:p>
        </w:tc>
        <w:tc>
          <w:tcPr>
            <w:tcW w:w="351" w:type="pct"/>
            <w:tcBorders>
              <w:tl2br w:val="nil"/>
              <w:tr2bl w:val="nil"/>
            </w:tcBorders>
            <w:shd w:val="clear" w:color="auto" w:fill="auto"/>
            <w:noWrap/>
            <w:vAlign w:val="center"/>
          </w:tcPr>
          <w:p w14:paraId="2201577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363" w:type="pct"/>
            <w:tcBorders>
              <w:tl2br w:val="nil"/>
              <w:tr2bl w:val="nil"/>
            </w:tcBorders>
            <w:shd w:val="clear" w:color="auto" w:fill="auto"/>
            <w:noWrap/>
            <w:vAlign w:val="center"/>
          </w:tcPr>
          <w:p w14:paraId="12FAC26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99" w:type="pct"/>
            <w:tcBorders>
              <w:tl2br w:val="nil"/>
              <w:tr2bl w:val="nil"/>
            </w:tcBorders>
            <w:shd w:val="clear" w:color="auto" w:fill="auto"/>
            <w:noWrap/>
            <w:vAlign w:val="center"/>
          </w:tcPr>
          <w:p w14:paraId="3C00463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1.13 </w:t>
            </w:r>
          </w:p>
        </w:tc>
        <w:tc>
          <w:tcPr>
            <w:tcW w:w="325" w:type="pct"/>
            <w:tcBorders>
              <w:tl2br w:val="nil"/>
              <w:tr2bl w:val="nil"/>
            </w:tcBorders>
            <w:shd w:val="clear" w:color="auto" w:fill="auto"/>
            <w:noWrap/>
            <w:vAlign w:val="center"/>
          </w:tcPr>
          <w:p w14:paraId="1957F1F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0.001 </w:t>
            </w:r>
          </w:p>
        </w:tc>
        <w:tc>
          <w:tcPr>
            <w:tcW w:w="198" w:type="pct"/>
            <w:tcBorders>
              <w:tl2br w:val="nil"/>
              <w:tr2bl w:val="nil"/>
            </w:tcBorders>
            <w:shd w:val="clear" w:color="auto" w:fill="auto"/>
            <w:noWrap/>
            <w:vAlign w:val="center"/>
          </w:tcPr>
          <w:p w14:paraId="25DB40A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800</w:t>
            </w:r>
          </w:p>
        </w:tc>
      </w:tr>
      <w:tr w14:paraId="2E2ED1C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 w:hRule="atLeast"/>
        </w:trPr>
        <w:tc>
          <w:tcPr>
            <w:tcW w:w="325" w:type="pct"/>
            <w:tcBorders>
              <w:tl2br w:val="nil"/>
              <w:tr2bl w:val="nil"/>
            </w:tcBorders>
            <w:shd w:val="clear" w:color="auto" w:fill="auto"/>
            <w:noWrap/>
            <w:vAlign w:val="center"/>
          </w:tcPr>
          <w:p w14:paraId="38A5830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bookmarkStart w:id="73" w:name="_GoBack" w:colFirst="8" w:colLast="8"/>
            <w:r>
              <w:rPr>
                <w:rFonts w:hint="default" w:ascii="Times New Roman" w:hAnsi="Times New Roman" w:eastAsia="宋体" w:cs="Times New Roman"/>
                <w:i w:val="0"/>
                <w:iCs w:val="0"/>
                <w:color w:val="000000"/>
                <w:kern w:val="0"/>
                <w:sz w:val="18"/>
                <w:szCs w:val="18"/>
                <w:u w:val="none"/>
                <w:lang w:val="en-US" w:eastAsia="zh-CN" w:bidi="ar"/>
              </w:rPr>
              <w:t>扣电组装测试</w:t>
            </w:r>
          </w:p>
        </w:tc>
        <w:tc>
          <w:tcPr>
            <w:tcW w:w="310" w:type="pct"/>
            <w:tcBorders>
              <w:tl2br w:val="nil"/>
              <w:tr2bl w:val="nil"/>
            </w:tcBorders>
            <w:shd w:val="clear" w:color="auto" w:fill="auto"/>
            <w:noWrap/>
            <w:vAlign w:val="center"/>
          </w:tcPr>
          <w:p w14:paraId="0BE5FE9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平板涂覆机</w:t>
            </w:r>
          </w:p>
        </w:tc>
        <w:tc>
          <w:tcPr>
            <w:tcW w:w="314" w:type="pct"/>
            <w:tcBorders>
              <w:tl2br w:val="nil"/>
              <w:tr2bl w:val="nil"/>
            </w:tcBorders>
            <w:shd w:val="clear" w:color="auto" w:fill="auto"/>
            <w:noWrap/>
            <w:vAlign w:val="center"/>
          </w:tcPr>
          <w:p w14:paraId="6CA3757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涂布废气G10</w:t>
            </w:r>
          </w:p>
        </w:tc>
        <w:tc>
          <w:tcPr>
            <w:tcW w:w="190" w:type="pct"/>
            <w:tcBorders>
              <w:tl2br w:val="nil"/>
              <w:tr2bl w:val="nil"/>
            </w:tcBorders>
            <w:shd w:val="clear" w:color="auto" w:fill="auto"/>
            <w:noWrap/>
            <w:vAlign w:val="center"/>
          </w:tcPr>
          <w:p w14:paraId="5590379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无组织</w:t>
            </w:r>
          </w:p>
        </w:tc>
        <w:tc>
          <w:tcPr>
            <w:tcW w:w="280" w:type="pct"/>
            <w:tcBorders>
              <w:tl2br w:val="nil"/>
              <w:tr2bl w:val="nil"/>
            </w:tcBorders>
            <w:shd w:val="clear" w:color="auto" w:fill="auto"/>
            <w:noWrap/>
            <w:vAlign w:val="center"/>
          </w:tcPr>
          <w:p w14:paraId="1A912C4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非甲烷总烃</w:t>
            </w:r>
          </w:p>
        </w:tc>
        <w:tc>
          <w:tcPr>
            <w:tcW w:w="370" w:type="pct"/>
            <w:tcBorders>
              <w:tl2br w:val="nil"/>
              <w:tr2bl w:val="nil"/>
            </w:tcBorders>
            <w:shd w:val="clear" w:color="auto" w:fill="auto"/>
            <w:noWrap/>
            <w:vAlign w:val="center"/>
          </w:tcPr>
          <w:p w14:paraId="0781008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物料衡算</w:t>
            </w:r>
          </w:p>
        </w:tc>
        <w:tc>
          <w:tcPr>
            <w:tcW w:w="351" w:type="pct"/>
            <w:tcBorders>
              <w:tl2br w:val="nil"/>
              <w:tr2bl w:val="nil"/>
            </w:tcBorders>
            <w:shd w:val="clear" w:color="auto" w:fill="auto"/>
            <w:vAlign w:val="center"/>
          </w:tcPr>
          <w:p w14:paraId="51D687F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363" w:type="pct"/>
            <w:tcBorders>
              <w:tl2br w:val="nil"/>
              <w:tr2bl w:val="nil"/>
            </w:tcBorders>
            <w:shd w:val="clear" w:color="auto" w:fill="auto"/>
            <w:vAlign w:val="center"/>
          </w:tcPr>
          <w:p w14:paraId="530B6D8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99" w:type="pct"/>
            <w:tcBorders>
              <w:tl2br w:val="nil"/>
              <w:tr2bl w:val="nil"/>
            </w:tcBorders>
            <w:shd w:val="clear" w:color="auto" w:fill="auto"/>
            <w:noWrap/>
            <w:vAlign w:val="center"/>
          </w:tcPr>
          <w:p w14:paraId="7E488974">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 xml:space="preserve">0.21 </w:t>
            </w:r>
          </w:p>
        </w:tc>
        <w:tc>
          <w:tcPr>
            <w:tcW w:w="283" w:type="pct"/>
            <w:tcBorders>
              <w:tl2br w:val="nil"/>
              <w:tr2bl w:val="nil"/>
            </w:tcBorders>
            <w:shd w:val="clear" w:color="auto" w:fill="auto"/>
            <w:noWrap/>
            <w:vAlign w:val="center"/>
          </w:tcPr>
          <w:p w14:paraId="264001B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0.0003 </w:t>
            </w:r>
          </w:p>
        </w:tc>
        <w:tc>
          <w:tcPr>
            <w:tcW w:w="370" w:type="pct"/>
            <w:tcBorders>
              <w:tl2br w:val="nil"/>
              <w:tr2bl w:val="nil"/>
            </w:tcBorders>
            <w:shd w:val="clear" w:color="auto" w:fill="auto"/>
            <w:noWrap/>
            <w:vAlign w:val="center"/>
          </w:tcPr>
          <w:p w14:paraId="71C2D55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物料衡算</w:t>
            </w:r>
          </w:p>
        </w:tc>
        <w:tc>
          <w:tcPr>
            <w:tcW w:w="351" w:type="pct"/>
            <w:tcBorders>
              <w:tl2br w:val="nil"/>
              <w:tr2bl w:val="nil"/>
            </w:tcBorders>
            <w:shd w:val="clear" w:color="auto" w:fill="auto"/>
            <w:noWrap/>
            <w:vAlign w:val="center"/>
          </w:tcPr>
          <w:p w14:paraId="73A2B1D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363" w:type="pct"/>
            <w:tcBorders>
              <w:tl2br w:val="nil"/>
              <w:tr2bl w:val="nil"/>
            </w:tcBorders>
            <w:shd w:val="clear" w:color="auto" w:fill="auto"/>
            <w:noWrap/>
            <w:vAlign w:val="center"/>
          </w:tcPr>
          <w:p w14:paraId="4B4D456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99" w:type="pct"/>
            <w:tcBorders>
              <w:tl2br w:val="nil"/>
              <w:tr2bl w:val="nil"/>
            </w:tcBorders>
            <w:shd w:val="clear" w:color="auto" w:fill="auto"/>
            <w:noWrap/>
            <w:vAlign w:val="center"/>
          </w:tcPr>
          <w:p w14:paraId="2C75C91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0.21 </w:t>
            </w:r>
          </w:p>
        </w:tc>
        <w:tc>
          <w:tcPr>
            <w:tcW w:w="325" w:type="pct"/>
            <w:tcBorders>
              <w:tl2br w:val="nil"/>
              <w:tr2bl w:val="nil"/>
            </w:tcBorders>
            <w:shd w:val="clear" w:color="auto" w:fill="auto"/>
            <w:noWrap/>
            <w:vAlign w:val="center"/>
          </w:tcPr>
          <w:p w14:paraId="071898F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0.0003 </w:t>
            </w:r>
          </w:p>
        </w:tc>
        <w:tc>
          <w:tcPr>
            <w:tcW w:w="198" w:type="pct"/>
            <w:tcBorders>
              <w:tl2br w:val="nil"/>
              <w:tr2bl w:val="nil"/>
            </w:tcBorders>
            <w:shd w:val="clear" w:color="auto" w:fill="auto"/>
            <w:noWrap/>
            <w:vAlign w:val="center"/>
          </w:tcPr>
          <w:p w14:paraId="25B5658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800</w:t>
            </w:r>
          </w:p>
        </w:tc>
      </w:tr>
      <w:tr w14:paraId="7A86D33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 w:hRule="atLeast"/>
        </w:trPr>
        <w:tc>
          <w:tcPr>
            <w:tcW w:w="636" w:type="pct"/>
            <w:gridSpan w:val="2"/>
            <w:vMerge w:val="restart"/>
            <w:tcBorders>
              <w:tl2br w:val="nil"/>
              <w:tr2bl w:val="nil"/>
            </w:tcBorders>
            <w:shd w:val="clear" w:color="auto" w:fill="auto"/>
            <w:noWrap/>
            <w:vAlign w:val="center"/>
          </w:tcPr>
          <w:p w14:paraId="14C87B2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504" w:type="pct"/>
            <w:gridSpan w:val="2"/>
            <w:vMerge w:val="restart"/>
            <w:tcBorders>
              <w:tl2br w:val="nil"/>
              <w:tr2bl w:val="nil"/>
            </w:tcBorders>
            <w:shd w:val="clear" w:color="auto" w:fill="auto"/>
            <w:noWrap/>
            <w:vAlign w:val="center"/>
          </w:tcPr>
          <w:p w14:paraId="13E2519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DA001</w:t>
            </w:r>
          </w:p>
        </w:tc>
        <w:tc>
          <w:tcPr>
            <w:tcW w:w="280" w:type="pct"/>
            <w:tcBorders>
              <w:tl2br w:val="nil"/>
              <w:tr2bl w:val="nil"/>
            </w:tcBorders>
            <w:shd w:val="clear" w:color="auto" w:fill="auto"/>
            <w:noWrap/>
            <w:vAlign w:val="center"/>
          </w:tcPr>
          <w:p w14:paraId="2A4E281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颗粒物</w:t>
            </w:r>
          </w:p>
        </w:tc>
        <w:tc>
          <w:tcPr>
            <w:tcW w:w="370" w:type="pct"/>
            <w:tcBorders>
              <w:tl2br w:val="nil"/>
              <w:tr2bl w:val="nil"/>
            </w:tcBorders>
            <w:shd w:val="clear" w:color="auto" w:fill="auto"/>
            <w:vAlign w:val="center"/>
          </w:tcPr>
          <w:p w14:paraId="4412BBD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351" w:type="pct"/>
            <w:tcBorders>
              <w:tl2br w:val="nil"/>
              <w:tr2bl w:val="nil"/>
            </w:tcBorders>
            <w:shd w:val="clear" w:color="auto" w:fill="auto"/>
            <w:vAlign w:val="center"/>
          </w:tcPr>
          <w:p w14:paraId="47404DB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363" w:type="pct"/>
            <w:tcBorders>
              <w:tl2br w:val="nil"/>
              <w:tr2bl w:val="nil"/>
            </w:tcBorders>
            <w:shd w:val="clear" w:color="auto" w:fill="auto"/>
            <w:vAlign w:val="center"/>
          </w:tcPr>
          <w:p w14:paraId="1989D91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99" w:type="pct"/>
            <w:tcBorders>
              <w:tl2br w:val="nil"/>
              <w:tr2bl w:val="nil"/>
            </w:tcBorders>
            <w:shd w:val="clear" w:color="auto" w:fill="auto"/>
            <w:noWrap/>
            <w:vAlign w:val="center"/>
          </w:tcPr>
          <w:p w14:paraId="458C6E3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16.07 </w:t>
            </w:r>
          </w:p>
        </w:tc>
        <w:tc>
          <w:tcPr>
            <w:tcW w:w="283" w:type="pct"/>
            <w:tcBorders>
              <w:tl2br w:val="nil"/>
              <w:tr2bl w:val="nil"/>
            </w:tcBorders>
            <w:shd w:val="clear" w:color="auto" w:fill="auto"/>
            <w:noWrap/>
            <w:vAlign w:val="center"/>
          </w:tcPr>
          <w:p w14:paraId="1B05999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0.020 </w:t>
            </w:r>
          </w:p>
        </w:tc>
        <w:tc>
          <w:tcPr>
            <w:tcW w:w="370" w:type="pct"/>
            <w:tcBorders>
              <w:tl2br w:val="nil"/>
              <w:tr2bl w:val="nil"/>
            </w:tcBorders>
            <w:shd w:val="clear" w:color="auto" w:fill="auto"/>
            <w:vAlign w:val="center"/>
          </w:tcPr>
          <w:p w14:paraId="0D24B01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351" w:type="pct"/>
            <w:vMerge w:val="restart"/>
            <w:tcBorders>
              <w:tl2br w:val="nil"/>
              <w:tr2bl w:val="nil"/>
            </w:tcBorders>
            <w:shd w:val="clear" w:color="auto" w:fill="auto"/>
            <w:noWrap/>
            <w:vAlign w:val="center"/>
          </w:tcPr>
          <w:p w14:paraId="109FFA2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2000</w:t>
            </w:r>
          </w:p>
        </w:tc>
        <w:tc>
          <w:tcPr>
            <w:tcW w:w="363" w:type="pct"/>
            <w:tcBorders>
              <w:tl2br w:val="nil"/>
              <w:tr2bl w:val="nil"/>
            </w:tcBorders>
            <w:shd w:val="clear" w:color="auto" w:fill="auto"/>
            <w:noWrap/>
            <w:vAlign w:val="center"/>
          </w:tcPr>
          <w:p w14:paraId="2897C0E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6.7 </w:t>
            </w:r>
          </w:p>
        </w:tc>
        <w:tc>
          <w:tcPr>
            <w:tcW w:w="299" w:type="pct"/>
            <w:tcBorders>
              <w:tl2br w:val="nil"/>
              <w:tr2bl w:val="nil"/>
            </w:tcBorders>
            <w:shd w:val="clear" w:color="auto" w:fill="auto"/>
            <w:noWrap/>
            <w:vAlign w:val="center"/>
          </w:tcPr>
          <w:p w14:paraId="0D7A5BB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10.70 </w:t>
            </w:r>
          </w:p>
        </w:tc>
        <w:tc>
          <w:tcPr>
            <w:tcW w:w="325" w:type="pct"/>
            <w:tcBorders>
              <w:tl2br w:val="nil"/>
              <w:tr2bl w:val="nil"/>
            </w:tcBorders>
            <w:shd w:val="clear" w:color="auto" w:fill="auto"/>
            <w:noWrap/>
            <w:vAlign w:val="center"/>
          </w:tcPr>
          <w:p w14:paraId="11AA1ED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0.013 </w:t>
            </w:r>
          </w:p>
        </w:tc>
        <w:tc>
          <w:tcPr>
            <w:tcW w:w="198" w:type="pct"/>
            <w:tcBorders>
              <w:tl2br w:val="nil"/>
              <w:tr2bl w:val="nil"/>
            </w:tcBorders>
            <w:shd w:val="clear" w:color="auto" w:fill="auto"/>
            <w:noWrap/>
            <w:vAlign w:val="center"/>
          </w:tcPr>
          <w:p w14:paraId="312F006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800</w:t>
            </w:r>
          </w:p>
        </w:tc>
      </w:tr>
      <w:tr w14:paraId="145BF37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 w:hRule="atLeast"/>
        </w:trPr>
        <w:tc>
          <w:tcPr>
            <w:tcW w:w="636" w:type="pct"/>
            <w:gridSpan w:val="2"/>
            <w:vMerge w:val="continue"/>
            <w:tcBorders>
              <w:tl2br w:val="nil"/>
              <w:tr2bl w:val="nil"/>
            </w:tcBorders>
            <w:shd w:val="clear" w:color="auto" w:fill="auto"/>
            <w:noWrap/>
            <w:vAlign w:val="center"/>
          </w:tcPr>
          <w:p w14:paraId="5E39A9E8">
            <w:pPr>
              <w:jc w:val="center"/>
              <w:rPr>
                <w:rFonts w:hint="default" w:ascii="Times New Roman" w:hAnsi="Times New Roman" w:eastAsia="宋体" w:cs="Times New Roman"/>
                <w:i w:val="0"/>
                <w:iCs w:val="0"/>
                <w:color w:val="000000"/>
                <w:sz w:val="18"/>
                <w:szCs w:val="18"/>
                <w:u w:val="none"/>
              </w:rPr>
            </w:pPr>
          </w:p>
        </w:tc>
        <w:tc>
          <w:tcPr>
            <w:tcW w:w="504" w:type="pct"/>
            <w:gridSpan w:val="2"/>
            <w:vMerge w:val="continue"/>
            <w:tcBorders>
              <w:tl2br w:val="nil"/>
              <w:tr2bl w:val="nil"/>
            </w:tcBorders>
            <w:shd w:val="clear" w:color="auto" w:fill="auto"/>
            <w:noWrap/>
            <w:vAlign w:val="center"/>
          </w:tcPr>
          <w:p w14:paraId="27337E9B">
            <w:pPr>
              <w:jc w:val="center"/>
              <w:rPr>
                <w:rFonts w:hint="default" w:ascii="Times New Roman" w:hAnsi="Times New Roman" w:eastAsia="宋体" w:cs="Times New Roman"/>
                <w:i w:val="0"/>
                <w:iCs w:val="0"/>
                <w:color w:val="000000"/>
                <w:sz w:val="18"/>
                <w:szCs w:val="18"/>
                <w:u w:val="none"/>
              </w:rPr>
            </w:pPr>
          </w:p>
        </w:tc>
        <w:tc>
          <w:tcPr>
            <w:tcW w:w="280" w:type="pct"/>
            <w:tcBorders>
              <w:tl2br w:val="nil"/>
              <w:tr2bl w:val="nil"/>
            </w:tcBorders>
            <w:shd w:val="clear" w:color="auto" w:fill="auto"/>
            <w:noWrap/>
            <w:vAlign w:val="center"/>
          </w:tcPr>
          <w:p w14:paraId="2DD3490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非甲烷总烃</w:t>
            </w:r>
          </w:p>
        </w:tc>
        <w:tc>
          <w:tcPr>
            <w:tcW w:w="370" w:type="pct"/>
            <w:tcBorders>
              <w:tl2br w:val="nil"/>
              <w:tr2bl w:val="nil"/>
            </w:tcBorders>
            <w:shd w:val="clear" w:color="auto" w:fill="auto"/>
            <w:vAlign w:val="center"/>
          </w:tcPr>
          <w:p w14:paraId="3A2B998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351" w:type="pct"/>
            <w:tcBorders>
              <w:tl2br w:val="nil"/>
              <w:tr2bl w:val="nil"/>
            </w:tcBorders>
            <w:shd w:val="clear" w:color="auto" w:fill="auto"/>
            <w:vAlign w:val="center"/>
          </w:tcPr>
          <w:p w14:paraId="1D1D924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363" w:type="pct"/>
            <w:tcBorders>
              <w:tl2br w:val="nil"/>
              <w:tr2bl w:val="nil"/>
            </w:tcBorders>
            <w:shd w:val="clear" w:color="auto" w:fill="auto"/>
            <w:vAlign w:val="center"/>
          </w:tcPr>
          <w:p w14:paraId="190928D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99" w:type="pct"/>
            <w:tcBorders>
              <w:tl2br w:val="nil"/>
              <w:tr2bl w:val="nil"/>
            </w:tcBorders>
            <w:shd w:val="clear" w:color="auto" w:fill="auto"/>
            <w:noWrap/>
            <w:vAlign w:val="center"/>
          </w:tcPr>
          <w:p w14:paraId="415CBBD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6.64 </w:t>
            </w:r>
          </w:p>
        </w:tc>
        <w:tc>
          <w:tcPr>
            <w:tcW w:w="283" w:type="pct"/>
            <w:tcBorders>
              <w:tl2br w:val="nil"/>
              <w:tr2bl w:val="nil"/>
            </w:tcBorders>
            <w:shd w:val="clear" w:color="auto" w:fill="auto"/>
            <w:noWrap/>
            <w:vAlign w:val="center"/>
          </w:tcPr>
          <w:p w14:paraId="516052A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0.008 </w:t>
            </w:r>
          </w:p>
        </w:tc>
        <w:tc>
          <w:tcPr>
            <w:tcW w:w="370" w:type="pct"/>
            <w:tcBorders>
              <w:tl2br w:val="nil"/>
              <w:tr2bl w:val="nil"/>
            </w:tcBorders>
            <w:shd w:val="clear" w:color="auto" w:fill="auto"/>
            <w:vAlign w:val="center"/>
          </w:tcPr>
          <w:p w14:paraId="388D5F4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351" w:type="pct"/>
            <w:vMerge w:val="continue"/>
            <w:tcBorders>
              <w:tl2br w:val="nil"/>
              <w:tr2bl w:val="nil"/>
            </w:tcBorders>
            <w:shd w:val="clear" w:color="auto" w:fill="auto"/>
            <w:noWrap/>
            <w:vAlign w:val="center"/>
          </w:tcPr>
          <w:p w14:paraId="6B21CB08">
            <w:pPr>
              <w:jc w:val="center"/>
              <w:rPr>
                <w:rFonts w:hint="default" w:ascii="Times New Roman" w:hAnsi="Times New Roman" w:eastAsia="宋体" w:cs="Times New Roman"/>
                <w:i w:val="0"/>
                <w:iCs w:val="0"/>
                <w:color w:val="000000"/>
                <w:sz w:val="18"/>
                <w:szCs w:val="18"/>
                <w:u w:val="none"/>
              </w:rPr>
            </w:pPr>
          </w:p>
        </w:tc>
        <w:tc>
          <w:tcPr>
            <w:tcW w:w="363" w:type="pct"/>
            <w:tcBorders>
              <w:tl2br w:val="nil"/>
              <w:tr2bl w:val="nil"/>
            </w:tcBorders>
            <w:shd w:val="clear" w:color="auto" w:fill="auto"/>
            <w:noWrap/>
            <w:vAlign w:val="center"/>
          </w:tcPr>
          <w:p w14:paraId="7543DBB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3.1 </w:t>
            </w:r>
          </w:p>
        </w:tc>
        <w:tc>
          <w:tcPr>
            <w:tcW w:w="299" w:type="pct"/>
            <w:tcBorders>
              <w:tl2br w:val="nil"/>
              <w:tr2bl w:val="nil"/>
            </w:tcBorders>
            <w:shd w:val="clear" w:color="auto" w:fill="auto"/>
            <w:noWrap/>
            <w:vAlign w:val="center"/>
          </w:tcPr>
          <w:p w14:paraId="013CEEB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4.98 </w:t>
            </w:r>
          </w:p>
        </w:tc>
        <w:tc>
          <w:tcPr>
            <w:tcW w:w="325" w:type="pct"/>
            <w:tcBorders>
              <w:tl2br w:val="nil"/>
              <w:tr2bl w:val="nil"/>
            </w:tcBorders>
            <w:shd w:val="clear" w:color="auto" w:fill="auto"/>
            <w:noWrap/>
            <w:vAlign w:val="center"/>
          </w:tcPr>
          <w:p w14:paraId="5960D08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0.006 </w:t>
            </w:r>
          </w:p>
        </w:tc>
        <w:tc>
          <w:tcPr>
            <w:tcW w:w="198" w:type="pct"/>
            <w:tcBorders>
              <w:tl2br w:val="nil"/>
              <w:tr2bl w:val="nil"/>
            </w:tcBorders>
            <w:shd w:val="clear" w:color="auto" w:fill="auto"/>
            <w:noWrap/>
            <w:vAlign w:val="center"/>
          </w:tcPr>
          <w:p w14:paraId="22221F7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800</w:t>
            </w:r>
          </w:p>
        </w:tc>
      </w:tr>
      <w:tr w14:paraId="11DD54E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 w:hRule="atLeast"/>
        </w:trPr>
        <w:tc>
          <w:tcPr>
            <w:tcW w:w="636" w:type="pct"/>
            <w:gridSpan w:val="2"/>
            <w:vMerge w:val="continue"/>
            <w:tcBorders>
              <w:tl2br w:val="nil"/>
              <w:tr2bl w:val="nil"/>
            </w:tcBorders>
            <w:shd w:val="clear" w:color="auto" w:fill="auto"/>
            <w:noWrap/>
            <w:vAlign w:val="center"/>
          </w:tcPr>
          <w:p w14:paraId="66D7CB55">
            <w:pPr>
              <w:jc w:val="center"/>
              <w:rPr>
                <w:rFonts w:hint="default" w:ascii="Times New Roman" w:hAnsi="Times New Roman" w:eastAsia="宋体" w:cs="Times New Roman"/>
                <w:i w:val="0"/>
                <w:iCs w:val="0"/>
                <w:color w:val="000000"/>
                <w:sz w:val="18"/>
                <w:szCs w:val="18"/>
                <w:u w:val="none"/>
              </w:rPr>
            </w:pPr>
          </w:p>
        </w:tc>
        <w:tc>
          <w:tcPr>
            <w:tcW w:w="504" w:type="pct"/>
            <w:gridSpan w:val="2"/>
            <w:vMerge w:val="restart"/>
            <w:tcBorders>
              <w:tl2br w:val="nil"/>
              <w:tr2bl w:val="nil"/>
            </w:tcBorders>
            <w:shd w:val="clear" w:color="auto" w:fill="auto"/>
            <w:noWrap/>
            <w:vAlign w:val="center"/>
          </w:tcPr>
          <w:p w14:paraId="25F62D4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无组织</w:t>
            </w:r>
          </w:p>
        </w:tc>
        <w:tc>
          <w:tcPr>
            <w:tcW w:w="280" w:type="pct"/>
            <w:tcBorders>
              <w:tl2br w:val="nil"/>
              <w:tr2bl w:val="nil"/>
            </w:tcBorders>
            <w:shd w:val="clear" w:color="auto" w:fill="auto"/>
            <w:noWrap/>
            <w:vAlign w:val="center"/>
          </w:tcPr>
          <w:p w14:paraId="5B51CF7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颗粒物</w:t>
            </w:r>
          </w:p>
        </w:tc>
        <w:tc>
          <w:tcPr>
            <w:tcW w:w="370" w:type="pct"/>
            <w:tcBorders>
              <w:tl2br w:val="nil"/>
              <w:tr2bl w:val="nil"/>
            </w:tcBorders>
            <w:shd w:val="clear" w:color="auto" w:fill="auto"/>
            <w:vAlign w:val="center"/>
          </w:tcPr>
          <w:p w14:paraId="700BA71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351" w:type="pct"/>
            <w:tcBorders>
              <w:tl2br w:val="nil"/>
              <w:tr2bl w:val="nil"/>
            </w:tcBorders>
            <w:shd w:val="clear" w:color="auto" w:fill="auto"/>
            <w:vAlign w:val="center"/>
          </w:tcPr>
          <w:p w14:paraId="2BE590D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363" w:type="pct"/>
            <w:tcBorders>
              <w:tl2br w:val="nil"/>
              <w:tr2bl w:val="nil"/>
            </w:tcBorders>
            <w:shd w:val="clear" w:color="auto" w:fill="auto"/>
            <w:vAlign w:val="center"/>
          </w:tcPr>
          <w:p w14:paraId="574ED57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99" w:type="pct"/>
            <w:tcBorders>
              <w:tl2br w:val="nil"/>
              <w:tr2bl w:val="nil"/>
            </w:tcBorders>
            <w:shd w:val="clear" w:color="auto" w:fill="auto"/>
            <w:noWrap/>
            <w:vAlign w:val="center"/>
          </w:tcPr>
          <w:p w14:paraId="3B24129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2.26 </w:t>
            </w:r>
          </w:p>
        </w:tc>
        <w:tc>
          <w:tcPr>
            <w:tcW w:w="283" w:type="pct"/>
            <w:tcBorders>
              <w:tl2br w:val="nil"/>
              <w:tr2bl w:val="nil"/>
            </w:tcBorders>
            <w:shd w:val="clear" w:color="auto" w:fill="auto"/>
            <w:noWrap/>
            <w:vAlign w:val="center"/>
          </w:tcPr>
          <w:p w14:paraId="02EAD77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0.003 </w:t>
            </w:r>
          </w:p>
        </w:tc>
        <w:tc>
          <w:tcPr>
            <w:tcW w:w="370" w:type="pct"/>
            <w:tcBorders>
              <w:tl2br w:val="nil"/>
              <w:tr2bl w:val="nil"/>
            </w:tcBorders>
            <w:shd w:val="clear" w:color="auto" w:fill="auto"/>
            <w:vAlign w:val="center"/>
          </w:tcPr>
          <w:p w14:paraId="5C72121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351" w:type="pct"/>
            <w:tcBorders>
              <w:tl2br w:val="nil"/>
              <w:tr2bl w:val="nil"/>
            </w:tcBorders>
            <w:shd w:val="clear" w:color="auto" w:fill="auto"/>
            <w:noWrap/>
            <w:vAlign w:val="center"/>
          </w:tcPr>
          <w:p w14:paraId="3CBB39D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363" w:type="pct"/>
            <w:tcBorders>
              <w:tl2br w:val="nil"/>
              <w:tr2bl w:val="nil"/>
            </w:tcBorders>
            <w:shd w:val="clear" w:color="auto" w:fill="auto"/>
            <w:noWrap/>
            <w:vAlign w:val="center"/>
          </w:tcPr>
          <w:p w14:paraId="00F99AC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99" w:type="pct"/>
            <w:tcBorders>
              <w:tl2br w:val="nil"/>
              <w:tr2bl w:val="nil"/>
            </w:tcBorders>
            <w:shd w:val="clear" w:color="auto" w:fill="auto"/>
            <w:noWrap/>
            <w:vAlign w:val="center"/>
          </w:tcPr>
          <w:p w14:paraId="4A7A517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2.26 </w:t>
            </w:r>
          </w:p>
        </w:tc>
        <w:tc>
          <w:tcPr>
            <w:tcW w:w="325" w:type="pct"/>
            <w:tcBorders>
              <w:tl2br w:val="nil"/>
              <w:tr2bl w:val="nil"/>
            </w:tcBorders>
            <w:shd w:val="clear" w:color="auto" w:fill="auto"/>
            <w:noWrap/>
            <w:vAlign w:val="center"/>
          </w:tcPr>
          <w:p w14:paraId="4F26D11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0.003 </w:t>
            </w:r>
          </w:p>
        </w:tc>
        <w:tc>
          <w:tcPr>
            <w:tcW w:w="198" w:type="pct"/>
            <w:tcBorders>
              <w:tl2br w:val="nil"/>
              <w:tr2bl w:val="nil"/>
            </w:tcBorders>
            <w:shd w:val="clear" w:color="auto" w:fill="auto"/>
            <w:noWrap/>
            <w:vAlign w:val="center"/>
          </w:tcPr>
          <w:p w14:paraId="0886BB6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800</w:t>
            </w:r>
          </w:p>
        </w:tc>
      </w:tr>
      <w:tr w14:paraId="2B896EC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 w:hRule="atLeast"/>
        </w:trPr>
        <w:tc>
          <w:tcPr>
            <w:tcW w:w="636" w:type="pct"/>
            <w:gridSpan w:val="2"/>
            <w:vMerge w:val="continue"/>
            <w:tcBorders>
              <w:tl2br w:val="nil"/>
              <w:tr2bl w:val="nil"/>
            </w:tcBorders>
            <w:shd w:val="clear" w:color="auto" w:fill="auto"/>
            <w:noWrap/>
            <w:vAlign w:val="center"/>
          </w:tcPr>
          <w:p w14:paraId="7E3B6632">
            <w:pPr>
              <w:jc w:val="center"/>
              <w:rPr>
                <w:rFonts w:hint="default" w:ascii="Times New Roman" w:hAnsi="Times New Roman" w:eastAsia="宋体" w:cs="Times New Roman"/>
                <w:i w:val="0"/>
                <w:iCs w:val="0"/>
                <w:color w:val="000000"/>
                <w:sz w:val="18"/>
                <w:szCs w:val="18"/>
                <w:u w:val="none"/>
              </w:rPr>
            </w:pPr>
          </w:p>
        </w:tc>
        <w:tc>
          <w:tcPr>
            <w:tcW w:w="504" w:type="pct"/>
            <w:gridSpan w:val="2"/>
            <w:vMerge w:val="continue"/>
            <w:tcBorders>
              <w:tl2br w:val="nil"/>
              <w:tr2bl w:val="nil"/>
            </w:tcBorders>
            <w:shd w:val="clear" w:color="auto" w:fill="auto"/>
            <w:noWrap/>
            <w:vAlign w:val="center"/>
          </w:tcPr>
          <w:p w14:paraId="1B0454BE">
            <w:pPr>
              <w:jc w:val="center"/>
              <w:rPr>
                <w:rFonts w:hint="default" w:ascii="Times New Roman" w:hAnsi="Times New Roman" w:eastAsia="宋体" w:cs="Times New Roman"/>
                <w:i w:val="0"/>
                <w:iCs w:val="0"/>
                <w:color w:val="000000"/>
                <w:sz w:val="18"/>
                <w:szCs w:val="18"/>
                <w:u w:val="none"/>
              </w:rPr>
            </w:pPr>
          </w:p>
        </w:tc>
        <w:tc>
          <w:tcPr>
            <w:tcW w:w="280" w:type="pct"/>
            <w:tcBorders>
              <w:tl2br w:val="nil"/>
              <w:tr2bl w:val="nil"/>
            </w:tcBorders>
            <w:shd w:val="clear" w:color="auto" w:fill="auto"/>
            <w:noWrap/>
            <w:vAlign w:val="center"/>
          </w:tcPr>
          <w:p w14:paraId="043D171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非甲烷总烃</w:t>
            </w:r>
          </w:p>
        </w:tc>
        <w:tc>
          <w:tcPr>
            <w:tcW w:w="370" w:type="pct"/>
            <w:tcBorders>
              <w:tl2br w:val="nil"/>
              <w:tr2bl w:val="nil"/>
            </w:tcBorders>
            <w:shd w:val="clear" w:color="auto" w:fill="auto"/>
            <w:vAlign w:val="center"/>
          </w:tcPr>
          <w:p w14:paraId="7E8F200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351" w:type="pct"/>
            <w:tcBorders>
              <w:tl2br w:val="nil"/>
              <w:tr2bl w:val="nil"/>
            </w:tcBorders>
            <w:shd w:val="clear" w:color="auto" w:fill="auto"/>
            <w:vAlign w:val="center"/>
          </w:tcPr>
          <w:p w14:paraId="18A9B64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363" w:type="pct"/>
            <w:tcBorders>
              <w:tl2br w:val="nil"/>
              <w:tr2bl w:val="nil"/>
            </w:tcBorders>
            <w:shd w:val="clear" w:color="auto" w:fill="auto"/>
            <w:vAlign w:val="center"/>
          </w:tcPr>
          <w:p w14:paraId="4AD0F0D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99" w:type="pct"/>
            <w:tcBorders>
              <w:tl2br w:val="nil"/>
              <w:tr2bl w:val="nil"/>
            </w:tcBorders>
            <w:shd w:val="clear" w:color="auto" w:fill="auto"/>
            <w:noWrap/>
            <w:vAlign w:val="center"/>
          </w:tcPr>
          <w:p w14:paraId="477FC89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0.21 </w:t>
            </w:r>
          </w:p>
        </w:tc>
        <w:tc>
          <w:tcPr>
            <w:tcW w:w="283" w:type="pct"/>
            <w:tcBorders>
              <w:tl2br w:val="nil"/>
              <w:tr2bl w:val="nil"/>
            </w:tcBorders>
            <w:shd w:val="clear" w:color="auto" w:fill="auto"/>
            <w:noWrap/>
            <w:vAlign w:val="center"/>
          </w:tcPr>
          <w:p w14:paraId="52CDFCA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0.0003 </w:t>
            </w:r>
          </w:p>
        </w:tc>
        <w:tc>
          <w:tcPr>
            <w:tcW w:w="370" w:type="pct"/>
            <w:tcBorders>
              <w:tl2br w:val="nil"/>
              <w:tr2bl w:val="nil"/>
            </w:tcBorders>
            <w:shd w:val="clear" w:color="auto" w:fill="auto"/>
            <w:vAlign w:val="center"/>
          </w:tcPr>
          <w:p w14:paraId="70A844D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351" w:type="pct"/>
            <w:tcBorders>
              <w:tl2br w:val="nil"/>
              <w:tr2bl w:val="nil"/>
            </w:tcBorders>
            <w:shd w:val="clear" w:color="auto" w:fill="auto"/>
            <w:noWrap/>
            <w:vAlign w:val="center"/>
          </w:tcPr>
          <w:p w14:paraId="4996DA6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363" w:type="pct"/>
            <w:tcBorders>
              <w:tl2br w:val="nil"/>
              <w:tr2bl w:val="nil"/>
            </w:tcBorders>
            <w:shd w:val="clear" w:color="auto" w:fill="auto"/>
            <w:noWrap/>
            <w:vAlign w:val="center"/>
          </w:tcPr>
          <w:p w14:paraId="6384B6A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99" w:type="pct"/>
            <w:tcBorders>
              <w:tl2br w:val="nil"/>
              <w:tr2bl w:val="nil"/>
            </w:tcBorders>
            <w:shd w:val="clear" w:color="auto" w:fill="auto"/>
            <w:noWrap/>
            <w:vAlign w:val="center"/>
          </w:tcPr>
          <w:p w14:paraId="4040D96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0.21 </w:t>
            </w:r>
          </w:p>
        </w:tc>
        <w:tc>
          <w:tcPr>
            <w:tcW w:w="325" w:type="pct"/>
            <w:tcBorders>
              <w:tl2br w:val="nil"/>
              <w:tr2bl w:val="nil"/>
            </w:tcBorders>
            <w:shd w:val="clear" w:color="auto" w:fill="auto"/>
            <w:noWrap/>
            <w:vAlign w:val="center"/>
          </w:tcPr>
          <w:p w14:paraId="13CE334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0.0003 </w:t>
            </w:r>
          </w:p>
        </w:tc>
        <w:tc>
          <w:tcPr>
            <w:tcW w:w="198" w:type="pct"/>
            <w:tcBorders>
              <w:tl2br w:val="nil"/>
              <w:tr2bl w:val="nil"/>
            </w:tcBorders>
            <w:shd w:val="clear" w:color="auto" w:fill="auto"/>
            <w:noWrap/>
            <w:vAlign w:val="center"/>
          </w:tcPr>
          <w:p w14:paraId="1596798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800</w:t>
            </w:r>
          </w:p>
        </w:tc>
      </w:tr>
    </w:tbl>
    <w:p w14:paraId="5C69237E">
      <w:pPr>
        <w:adjustRightInd w:val="0"/>
        <w:snapToGrid w:val="0"/>
        <w:spacing w:line="360" w:lineRule="auto"/>
        <w:rPr>
          <w:b/>
          <w:color w:val="auto"/>
          <w:kern w:val="0"/>
          <w:sz w:val="28"/>
          <w:szCs w:val="28"/>
          <w:highlight w:val="none"/>
        </w:rPr>
      </w:pPr>
    </w:p>
    <w:p w14:paraId="3B54F38F">
      <w:pPr>
        <w:adjustRightInd w:val="0"/>
        <w:snapToGrid w:val="0"/>
        <w:spacing w:line="360" w:lineRule="auto"/>
        <w:rPr>
          <w:rFonts w:ascii="Times New Roman" w:hAnsi="Times New Roman" w:cs="Times New Roman"/>
          <w:b/>
          <w:color w:val="auto"/>
          <w:kern w:val="0"/>
          <w:sz w:val="28"/>
          <w:szCs w:val="28"/>
          <w:highlight w:val="none"/>
        </w:rPr>
      </w:pPr>
    </w:p>
    <w:p w14:paraId="4A38A9BF">
      <w:pPr>
        <w:adjustRightInd w:val="0"/>
        <w:snapToGrid w:val="0"/>
        <w:spacing w:line="360" w:lineRule="auto"/>
        <w:rPr>
          <w:rFonts w:ascii="Times New Roman" w:hAnsi="Times New Roman" w:cs="Times New Roman"/>
          <w:b/>
          <w:color w:val="auto"/>
          <w:kern w:val="0"/>
          <w:sz w:val="28"/>
          <w:szCs w:val="28"/>
          <w:highlight w:val="none"/>
        </w:rPr>
        <w:sectPr>
          <w:pgSz w:w="23811" w:h="16838" w:orient="landscape"/>
          <w:pgMar w:top="1531" w:right="1701" w:bottom="1531" w:left="2127" w:header="851" w:footer="851" w:gutter="0"/>
          <w:pgBorders>
            <w:top w:val="none" w:sz="0" w:space="0"/>
            <w:left w:val="none" w:sz="0" w:space="0"/>
            <w:bottom w:val="none" w:sz="0" w:space="0"/>
            <w:right w:val="none" w:sz="0" w:space="0"/>
          </w:pgBorders>
          <w:cols w:space="720" w:num="1"/>
          <w:docGrid w:linePitch="312" w:charSpace="0"/>
        </w:sectPr>
      </w:pPr>
    </w:p>
    <w:tbl>
      <w:tblPr>
        <w:tblStyle w:val="2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8"/>
        <w:gridCol w:w="7847"/>
      </w:tblGrid>
      <w:tr w14:paraId="3B232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15" w:hRule="atLeast"/>
        </w:trPr>
        <w:tc>
          <w:tcPr>
            <w:tcW w:w="988" w:type="dxa"/>
            <w:vAlign w:val="center"/>
          </w:tcPr>
          <w:p w14:paraId="25763E27">
            <w:pPr>
              <w:adjustRightInd w:val="0"/>
              <w:snapToGrid w:val="0"/>
              <w:jc w:val="center"/>
              <w:rPr>
                <w:bCs/>
                <w:color w:val="auto"/>
                <w:szCs w:val="21"/>
                <w:highlight w:val="none"/>
              </w:rPr>
            </w:pPr>
            <w:r>
              <w:rPr>
                <w:bCs/>
                <w:color w:val="auto"/>
                <w:szCs w:val="21"/>
                <w:highlight w:val="none"/>
              </w:rPr>
              <w:t>运营</w:t>
            </w:r>
          </w:p>
          <w:p w14:paraId="443B2F51">
            <w:pPr>
              <w:adjustRightInd w:val="0"/>
              <w:snapToGrid w:val="0"/>
              <w:jc w:val="center"/>
              <w:rPr>
                <w:bCs/>
                <w:color w:val="auto"/>
                <w:szCs w:val="21"/>
                <w:highlight w:val="none"/>
              </w:rPr>
            </w:pPr>
            <w:r>
              <w:rPr>
                <w:bCs/>
                <w:color w:val="auto"/>
                <w:szCs w:val="21"/>
                <w:highlight w:val="none"/>
              </w:rPr>
              <w:t>期环</w:t>
            </w:r>
          </w:p>
          <w:p w14:paraId="2D930567">
            <w:pPr>
              <w:adjustRightInd w:val="0"/>
              <w:snapToGrid w:val="0"/>
              <w:jc w:val="center"/>
              <w:rPr>
                <w:bCs/>
                <w:color w:val="auto"/>
                <w:szCs w:val="21"/>
                <w:highlight w:val="none"/>
              </w:rPr>
            </w:pPr>
            <w:r>
              <w:rPr>
                <w:bCs/>
                <w:color w:val="auto"/>
                <w:szCs w:val="21"/>
                <w:highlight w:val="none"/>
              </w:rPr>
              <w:t>境影</w:t>
            </w:r>
          </w:p>
          <w:p w14:paraId="7C430520">
            <w:pPr>
              <w:adjustRightInd w:val="0"/>
              <w:snapToGrid w:val="0"/>
              <w:jc w:val="center"/>
              <w:rPr>
                <w:bCs/>
                <w:color w:val="auto"/>
                <w:szCs w:val="21"/>
                <w:highlight w:val="none"/>
              </w:rPr>
            </w:pPr>
            <w:r>
              <w:rPr>
                <w:bCs/>
                <w:color w:val="auto"/>
                <w:szCs w:val="21"/>
                <w:highlight w:val="none"/>
              </w:rPr>
              <w:t>响和</w:t>
            </w:r>
          </w:p>
          <w:p w14:paraId="32288C1F">
            <w:pPr>
              <w:adjustRightInd w:val="0"/>
              <w:snapToGrid w:val="0"/>
              <w:jc w:val="center"/>
              <w:rPr>
                <w:bCs/>
                <w:color w:val="auto"/>
                <w:szCs w:val="21"/>
                <w:highlight w:val="none"/>
              </w:rPr>
            </w:pPr>
            <w:r>
              <w:rPr>
                <w:bCs/>
                <w:color w:val="auto"/>
                <w:szCs w:val="21"/>
                <w:highlight w:val="none"/>
              </w:rPr>
              <w:t>保护</w:t>
            </w:r>
          </w:p>
          <w:p w14:paraId="58943F87">
            <w:pPr>
              <w:adjustRightInd w:val="0"/>
              <w:snapToGrid w:val="0"/>
              <w:spacing w:line="360" w:lineRule="auto"/>
              <w:jc w:val="center"/>
              <w:rPr>
                <w:b/>
                <w:color w:val="auto"/>
                <w:kern w:val="0"/>
                <w:sz w:val="28"/>
                <w:szCs w:val="28"/>
                <w:highlight w:val="none"/>
              </w:rPr>
            </w:pPr>
            <w:r>
              <w:rPr>
                <w:bCs/>
                <w:color w:val="auto"/>
                <w:szCs w:val="21"/>
                <w:highlight w:val="none"/>
              </w:rPr>
              <w:t>措施</w:t>
            </w:r>
          </w:p>
        </w:tc>
        <w:tc>
          <w:tcPr>
            <w:tcW w:w="7847" w:type="dxa"/>
          </w:tcPr>
          <w:p w14:paraId="79F6AB35">
            <w:pPr>
              <w:numPr>
                <w:ilvl w:val="0"/>
                <w:numId w:val="7"/>
              </w:numPr>
              <w:adjustRightInd w:val="0"/>
              <w:snapToGrid w:val="0"/>
              <w:spacing w:line="360" w:lineRule="auto"/>
              <w:rPr>
                <w:b/>
                <w:color w:val="auto"/>
                <w:kern w:val="0"/>
                <w:szCs w:val="21"/>
                <w:highlight w:val="none"/>
              </w:rPr>
            </w:pPr>
            <w:r>
              <w:rPr>
                <w:rFonts w:hint="default"/>
                <w:b/>
                <w:color w:val="auto"/>
                <w:kern w:val="0"/>
                <w:szCs w:val="21"/>
                <w:highlight w:val="none"/>
              </w:rPr>
              <w:t>非正常工况分析</w:t>
            </w:r>
          </w:p>
          <w:p w14:paraId="1DF92B30">
            <w:pPr>
              <w:spacing w:line="360" w:lineRule="auto"/>
              <w:ind w:firstLine="420" w:firstLineChars="200"/>
              <w:rPr>
                <w:rFonts w:hint="default"/>
                <w:color w:val="auto"/>
                <w:szCs w:val="21"/>
                <w:highlight w:val="none"/>
              </w:rPr>
            </w:pPr>
            <w:r>
              <w:rPr>
                <w:rFonts w:hint="default"/>
                <w:color w:val="auto"/>
                <w:szCs w:val="21"/>
                <w:highlight w:val="none"/>
              </w:rPr>
              <w:t>本项目各类生产设施开启以后，配套废气处理装置同步开启，基本可以确保废气收集及处理。本项目非正常工况可能性主要是各类废气处理设施发生故障，净化效率降低50%，则非正常工况下废气源强见表</w:t>
            </w:r>
            <w:r>
              <w:rPr>
                <w:rFonts w:hint="default"/>
                <w:color w:val="auto"/>
                <w:szCs w:val="21"/>
                <w:highlight w:val="none"/>
                <w:lang w:val="en-US" w:eastAsia="zh-CN"/>
              </w:rPr>
              <w:t>4-</w:t>
            </w:r>
            <w:r>
              <w:rPr>
                <w:rFonts w:hint="eastAsia" w:ascii="Times New Roman" w:hAnsi="Times New Roman" w:cs="Times New Roman"/>
                <w:color w:val="auto"/>
                <w:szCs w:val="21"/>
                <w:highlight w:val="none"/>
                <w:lang w:val="en-US" w:eastAsia="zh-CN"/>
              </w:rPr>
              <w:t>3</w:t>
            </w:r>
            <w:r>
              <w:rPr>
                <w:rFonts w:hint="default"/>
                <w:color w:val="auto"/>
                <w:szCs w:val="21"/>
                <w:highlight w:val="none"/>
                <w:lang w:val="en-US" w:eastAsia="zh-CN"/>
              </w:rPr>
              <w:t>。</w:t>
            </w:r>
          </w:p>
          <w:p w14:paraId="5BAF9063">
            <w:pPr>
              <w:numPr>
                <w:ilvl w:val="0"/>
                <w:numId w:val="8"/>
              </w:numPr>
              <w:spacing w:line="360" w:lineRule="auto"/>
              <w:jc w:val="center"/>
              <w:rPr>
                <w:b/>
                <w:bCs/>
                <w:color w:val="auto"/>
                <w:spacing w:val="-10"/>
                <w:szCs w:val="21"/>
                <w:highlight w:val="none"/>
              </w:rPr>
            </w:pPr>
            <w:r>
              <w:rPr>
                <w:rFonts w:hint="default" w:ascii="Times New Roman" w:hAnsi="Times New Roman" w:eastAsia="黑体" w:cs="Times New Roman"/>
                <w:b w:val="0"/>
                <w:bCs w:val="0"/>
                <w:color w:val="auto"/>
                <w:spacing w:val="-10"/>
                <w:szCs w:val="21"/>
                <w:highlight w:val="none"/>
                <w:lang w:val="en-US" w:eastAsia="zh-CN"/>
              </w:rPr>
              <w:t xml:space="preserve"> </w:t>
            </w:r>
            <w:r>
              <w:rPr>
                <w:rFonts w:hint="default" w:ascii="Times New Roman" w:hAnsi="Times New Roman" w:eastAsia="黑体" w:cs="Times New Roman"/>
                <w:b w:val="0"/>
                <w:bCs w:val="0"/>
                <w:color w:val="auto"/>
                <w:spacing w:val="-10"/>
                <w:szCs w:val="21"/>
                <w:highlight w:val="none"/>
                <w:lang w:val="zh-CN"/>
              </w:rPr>
              <w:t>项目</w:t>
            </w:r>
            <w:r>
              <w:rPr>
                <w:rFonts w:hint="default" w:ascii="Times New Roman" w:hAnsi="Times New Roman" w:eastAsia="黑体" w:cs="Times New Roman"/>
                <w:b w:val="0"/>
                <w:bCs w:val="0"/>
                <w:color w:val="auto"/>
                <w:spacing w:val="-10"/>
                <w:szCs w:val="21"/>
                <w:highlight w:val="none"/>
                <w:lang w:val="en-US" w:eastAsia="zh-CN"/>
              </w:rPr>
              <w:t>污染源非正常排放量核算表</w:t>
            </w:r>
          </w:p>
          <w:tbl>
            <w:tblPr>
              <w:tblStyle w:val="25"/>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707"/>
              <w:gridCol w:w="1726"/>
              <w:gridCol w:w="751"/>
              <w:gridCol w:w="1485"/>
              <w:gridCol w:w="1375"/>
              <w:gridCol w:w="837"/>
              <w:gridCol w:w="720"/>
            </w:tblGrid>
            <w:tr w14:paraId="315F8E8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707" w:type="dxa"/>
                  <w:tcBorders>
                    <w:tl2br w:val="nil"/>
                    <w:tr2bl w:val="nil"/>
                  </w:tcBorders>
                  <w:vAlign w:val="center"/>
                </w:tcPr>
                <w:p w14:paraId="1CD5BB01">
                  <w:pPr>
                    <w:adjustRightInd w:val="0"/>
                    <w:snapToGrid w:val="0"/>
                    <w:jc w:val="center"/>
                    <w:rPr>
                      <w:color w:val="auto"/>
                      <w:spacing w:val="-10"/>
                      <w:sz w:val="18"/>
                      <w:szCs w:val="18"/>
                      <w:highlight w:val="none"/>
                    </w:rPr>
                  </w:pPr>
                  <w:r>
                    <w:rPr>
                      <w:color w:val="auto"/>
                      <w:spacing w:val="-10"/>
                      <w:sz w:val="18"/>
                      <w:szCs w:val="18"/>
                      <w:highlight w:val="none"/>
                    </w:rPr>
                    <w:t>污染源</w:t>
                  </w:r>
                </w:p>
              </w:tc>
              <w:tc>
                <w:tcPr>
                  <w:tcW w:w="1733" w:type="dxa"/>
                  <w:tcBorders>
                    <w:tl2br w:val="nil"/>
                    <w:tr2bl w:val="nil"/>
                  </w:tcBorders>
                  <w:vAlign w:val="center"/>
                </w:tcPr>
                <w:p w14:paraId="699C2108">
                  <w:pPr>
                    <w:adjustRightInd w:val="0"/>
                    <w:snapToGrid w:val="0"/>
                    <w:jc w:val="center"/>
                    <w:rPr>
                      <w:color w:val="auto"/>
                      <w:spacing w:val="-10"/>
                      <w:sz w:val="18"/>
                      <w:szCs w:val="18"/>
                      <w:highlight w:val="none"/>
                    </w:rPr>
                  </w:pPr>
                  <w:r>
                    <w:rPr>
                      <w:color w:val="auto"/>
                      <w:spacing w:val="-10"/>
                      <w:sz w:val="18"/>
                      <w:szCs w:val="18"/>
                      <w:highlight w:val="none"/>
                    </w:rPr>
                    <w:t>非正常排放原因</w:t>
                  </w:r>
                </w:p>
              </w:tc>
              <w:tc>
                <w:tcPr>
                  <w:tcW w:w="753" w:type="dxa"/>
                  <w:tcBorders>
                    <w:tl2br w:val="nil"/>
                    <w:tr2bl w:val="nil"/>
                  </w:tcBorders>
                  <w:vAlign w:val="center"/>
                </w:tcPr>
                <w:p w14:paraId="3E14648A">
                  <w:pPr>
                    <w:adjustRightInd w:val="0"/>
                    <w:snapToGrid w:val="0"/>
                    <w:jc w:val="center"/>
                    <w:rPr>
                      <w:color w:val="auto"/>
                      <w:spacing w:val="-10"/>
                      <w:sz w:val="18"/>
                      <w:szCs w:val="18"/>
                      <w:highlight w:val="none"/>
                    </w:rPr>
                  </w:pPr>
                  <w:r>
                    <w:rPr>
                      <w:color w:val="auto"/>
                      <w:spacing w:val="-10"/>
                      <w:sz w:val="18"/>
                      <w:szCs w:val="18"/>
                      <w:highlight w:val="none"/>
                    </w:rPr>
                    <w:t>污染物</w:t>
                  </w:r>
                </w:p>
              </w:tc>
              <w:tc>
                <w:tcPr>
                  <w:tcW w:w="1488" w:type="dxa"/>
                  <w:tcBorders>
                    <w:tl2br w:val="nil"/>
                    <w:tr2bl w:val="nil"/>
                  </w:tcBorders>
                  <w:vAlign w:val="center"/>
                </w:tcPr>
                <w:p w14:paraId="703B7ECD">
                  <w:pPr>
                    <w:adjustRightInd w:val="0"/>
                    <w:snapToGrid w:val="0"/>
                    <w:jc w:val="center"/>
                    <w:rPr>
                      <w:color w:val="auto"/>
                      <w:spacing w:val="-10"/>
                      <w:sz w:val="18"/>
                      <w:szCs w:val="18"/>
                      <w:highlight w:val="none"/>
                    </w:rPr>
                  </w:pPr>
                  <w:r>
                    <w:rPr>
                      <w:color w:val="auto"/>
                      <w:spacing w:val="-10"/>
                      <w:sz w:val="18"/>
                      <w:szCs w:val="18"/>
                      <w:highlight w:val="none"/>
                    </w:rPr>
                    <w:t>非正常排放浓度/</w:t>
                  </w:r>
                  <w:r>
                    <w:rPr>
                      <w:color w:val="auto"/>
                      <w:kern w:val="0"/>
                      <w:sz w:val="18"/>
                      <w:szCs w:val="18"/>
                      <w:highlight w:val="none"/>
                      <w:lang w:bidi="ar"/>
                    </w:rPr>
                    <w:t>（mg/m</w:t>
                  </w:r>
                  <w:r>
                    <w:rPr>
                      <w:color w:val="auto"/>
                      <w:kern w:val="0"/>
                      <w:sz w:val="18"/>
                      <w:szCs w:val="18"/>
                      <w:highlight w:val="none"/>
                      <w:vertAlign w:val="superscript"/>
                      <w:lang w:bidi="ar"/>
                    </w:rPr>
                    <w:t>3</w:t>
                  </w:r>
                  <w:r>
                    <w:rPr>
                      <w:color w:val="auto"/>
                      <w:kern w:val="0"/>
                      <w:sz w:val="18"/>
                      <w:szCs w:val="18"/>
                      <w:highlight w:val="none"/>
                      <w:lang w:bidi="ar"/>
                    </w:rPr>
                    <w:t>）</w:t>
                  </w:r>
                </w:p>
              </w:tc>
              <w:tc>
                <w:tcPr>
                  <w:tcW w:w="1378" w:type="dxa"/>
                  <w:tcBorders>
                    <w:tl2br w:val="nil"/>
                    <w:tr2bl w:val="nil"/>
                  </w:tcBorders>
                  <w:vAlign w:val="center"/>
                </w:tcPr>
                <w:p w14:paraId="65E9CB16">
                  <w:pPr>
                    <w:adjustRightInd w:val="0"/>
                    <w:snapToGrid w:val="0"/>
                    <w:jc w:val="center"/>
                    <w:rPr>
                      <w:color w:val="auto"/>
                      <w:spacing w:val="-10"/>
                      <w:sz w:val="18"/>
                      <w:szCs w:val="18"/>
                      <w:highlight w:val="none"/>
                    </w:rPr>
                  </w:pPr>
                  <w:r>
                    <w:rPr>
                      <w:color w:val="auto"/>
                      <w:kern w:val="0"/>
                      <w:sz w:val="18"/>
                      <w:szCs w:val="18"/>
                      <w:highlight w:val="none"/>
                      <w:lang w:bidi="ar"/>
                    </w:rPr>
                    <w:t>非正常排放速率/（kg/h）</w:t>
                  </w:r>
                </w:p>
              </w:tc>
              <w:tc>
                <w:tcPr>
                  <w:tcW w:w="840" w:type="dxa"/>
                  <w:tcBorders>
                    <w:tl2br w:val="nil"/>
                    <w:tr2bl w:val="nil"/>
                  </w:tcBorders>
                  <w:vAlign w:val="center"/>
                </w:tcPr>
                <w:p w14:paraId="34874702">
                  <w:pPr>
                    <w:adjustRightInd w:val="0"/>
                    <w:snapToGrid w:val="0"/>
                    <w:jc w:val="center"/>
                    <w:rPr>
                      <w:color w:val="auto"/>
                      <w:spacing w:val="-10"/>
                      <w:sz w:val="18"/>
                      <w:szCs w:val="18"/>
                      <w:highlight w:val="none"/>
                      <w:lang w:val="zh-CN"/>
                    </w:rPr>
                  </w:pPr>
                  <w:r>
                    <w:rPr>
                      <w:color w:val="auto"/>
                      <w:kern w:val="0"/>
                      <w:sz w:val="18"/>
                      <w:szCs w:val="18"/>
                      <w:highlight w:val="none"/>
                      <w:lang w:bidi="ar"/>
                    </w:rPr>
                    <w:t>单次持续时间/h</w:t>
                  </w:r>
                </w:p>
              </w:tc>
              <w:tc>
                <w:tcPr>
                  <w:tcW w:w="722" w:type="dxa"/>
                  <w:tcBorders>
                    <w:tl2br w:val="nil"/>
                    <w:tr2bl w:val="nil"/>
                  </w:tcBorders>
                  <w:vAlign w:val="center"/>
                </w:tcPr>
                <w:p w14:paraId="2DC6274D">
                  <w:pPr>
                    <w:adjustRightInd w:val="0"/>
                    <w:snapToGrid w:val="0"/>
                    <w:jc w:val="center"/>
                    <w:rPr>
                      <w:color w:val="auto"/>
                      <w:spacing w:val="-10"/>
                      <w:sz w:val="18"/>
                      <w:szCs w:val="18"/>
                      <w:highlight w:val="none"/>
                      <w:lang w:val="zh-CN"/>
                    </w:rPr>
                  </w:pPr>
                  <w:r>
                    <w:rPr>
                      <w:color w:val="auto"/>
                      <w:kern w:val="0"/>
                      <w:sz w:val="18"/>
                      <w:szCs w:val="18"/>
                      <w:highlight w:val="none"/>
                      <w:lang w:bidi="ar"/>
                    </w:rPr>
                    <w:t>年发生频次</w:t>
                  </w:r>
                </w:p>
              </w:tc>
            </w:tr>
            <w:tr w14:paraId="2B86AF9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707" w:type="dxa"/>
                  <w:vMerge w:val="restart"/>
                  <w:tcBorders>
                    <w:tl2br w:val="nil"/>
                    <w:tr2bl w:val="nil"/>
                  </w:tcBorders>
                  <w:vAlign w:val="center"/>
                </w:tcPr>
                <w:p w14:paraId="70C7CB04">
                  <w:pPr>
                    <w:adjustRightInd w:val="0"/>
                    <w:snapToGrid w:val="0"/>
                    <w:jc w:val="center"/>
                    <w:rPr>
                      <w:color w:val="auto"/>
                      <w:spacing w:val="-10"/>
                      <w:sz w:val="18"/>
                      <w:szCs w:val="18"/>
                      <w:highlight w:val="none"/>
                    </w:rPr>
                  </w:pPr>
                  <w:r>
                    <w:rPr>
                      <w:color w:val="auto"/>
                      <w:spacing w:val="-10"/>
                      <w:sz w:val="18"/>
                      <w:szCs w:val="18"/>
                      <w:highlight w:val="none"/>
                    </w:rPr>
                    <w:t>DA001</w:t>
                  </w:r>
                </w:p>
              </w:tc>
              <w:tc>
                <w:tcPr>
                  <w:tcW w:w="1733" w:type="dxa"/>
                  <w:vMerge w:val="restart"/>
                  <w:tcBorders>
                    <w:tl2br w:val="nil"/>
                    <w:tr2bl w:val="nil"/>
                  </w:tcBorders>
                  <w:vAlign w:val="center"/>
                </w:tcPr>
                <w:p w14:paraId="01D09FDC">
                  <w:pPr>
                    <w:adjustRightInd w:val="0"/>
                    <w:snapToGrid w:val="0"/>
                    <w:jc w:val="center"/>
                    <w:rPr>
                      <w:color w:val="auto"/>
                      <w:spacing w:val="-10"/>
                      <w:sz w:val="18"/>
                      <w:szCs w:val="18"/>
                      <w:highlight w:val="none"/>
                    </w:rPr>
                  </w:pPr>
                  <w:r>
                    <w:rPr>
                      <w:color w:val="auto"/>
                      <w:kern w:val="0"/>
                      <w:sz w:val="18"/>
                      <w:szCs w:val="18"/>
                      <w:highlight w:val="none"/>
                      <w:lang w:bidi="ar"/>
                    </w:rPr>
                    <w:t>废气处理装置故障（净化效率降低50%）</w:t>
                  </w:r>
                </w:p>
              </w:tc>
              <w:tc>
                <w:tcPr>
                  <w:tcW w:w="753" w:type="dxa"/>
                  <w:tcBorders>
                    <w:tl2br w:val="nil"/>
                    <w:tr2bl w:val="nil"/>
                  </w:tcBorders>
                  <w:vAlign w:val="center"/>
                </w:tcPr>
                <w:p w14:paraId="05D15A80">
                  <w:pPr>
                    <w:adjustRightInd w:val="0"/>
                    <w:snapToGrid w:val="0"/>
                    <w:jc w:val="center"/>
                    <w:rPr>
                      <w:color w:val="auto"/>
                      <w:spacing w:val="-10"/>
                      <w:sz w:val="18"/>
                      <w:szCs w:val="18"/>
                      <w:highlight w:val="none"/>
                    </w:rPr>
                  </w:pPr>
                  <w:r>
                    <w:rPr>
                      <w:color w:val="auto"/>
                      <w:spacing w:val="-10"/>
                      <w:sz w:val="18"/>
                      <w:szCs w:val="18"/>
                      <w:highlight w:val="none"/>
                    </w:rPr>
                    <w:t>颗粒物</w:t>
                  </w:r>
                </w:p>
              </w:tc>
              <w:tc>
                <w:tcPr>
                  <w:tcW w:w="1488" w:type="dxa"/>
                  <w:tcBorders>
                    <w:tl2br w:val="nil"/>
                    <w:tr2bl w:val="nil"/>
                  </w:tcBorders>
                  <w:vAlign w:val="center"/>
                </w:tcPr>
                <w:p w14:paraId="775C9628">
                  <w:pPr>
                    <w:adjustRightInd w:val="0"/>
                    <w:snapToGrid w:val="0"/>
                    <w:jc w:val="center"/>
                    <w:rPr>
                      <w:rFonts w:hint="default" w:eastAsia="宋体"/>
                      <w:color w:val="auto"/>
                      <w:spacing w:val="-10"/>
                      <w:sz w:val="18"/>
                      <w:szCs w:val="18"/>
                      <w:highlight w:val="none"/>
                      <w:lang w:val="en-US" w:eastAsia="zh-CN"/>
                    </w:rPr>
                  </w:pPr>
                  <w:r>
                    <w:rPr>
                      <w:rFonts w:hint="eastAsia"/>
                      <w:color w:val="auto"/>
                      <w:spacing w:val="-10"/>
                      <w:sz w:val="18"/>
                      <w:szCs w:val="18"/>
                      <w:highlight w:val="none"/>
                      <w:lang w:val="en-US" w:eastAsia="zh-CN"/>
                    </w:rPr>
                    <w:t>6.7</w:t>
                  </w:r>
                </w:p>
              </w:tc>
              <w:tc>
                <w:tcPr>
                  <w:tcW w:w="1378" w:type="dxa"/>
                  <w:tcBorders>
                    <w:tl2br w:val="nil"/>
                    <w:tr2bl w:val="nil"/>
                  </w:tcBorders>
                  <w:vAlign w:val="center"/>
                </w:tcPr>
                <w:p w14:paraId="362D5360">
                  <w:pPr>
                    <w:adjustRightInd w:val="0"/>
                    <w:snapToGrid w:val="0"/>
                    <w:jc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0.013</w:t>
                  </w:r>
                </w:p>
              </w:tc>
              <w:tc>
                <w:tcPr>
                  <w:tcW w:w="840" w:type="dxa"/>
                  <w:tcBorders>
                    <w:tl2br w:val="nil"/>
                    <w:tr2bl w:val="nil"/>
                  </w:tcBorders>
                  <w:vAlign w:val="center"/>
                </w:tcPr>
                <w:p w14:paraId="67D121F4">
                  <w:pPr>
                    <w:adjustRightInd w:val="0"/>
                    <w:snapToGrid w:val="0"/>
                    <w:jc w:val="center"/>
                    <w:rPr>
                      <w:rFonts w:hint="default" w:eastAsia="宋体"/>
                      <w:color w:val="auto"/>
                      <w:kern w:val="0"/>
                      <w:sz w:val="18"/>
                      <w:szCs w:val="18"/>
                      <w:highlight w:val="none"/>
                      <w:lang w:eastAsia="zh-CN" w:bidi="ar"/>
                    </w:rPr>
                  </w:pPr>
                  <w:r>
                    <w:rPr>
                      <w:rFonts w:hint="default"/>
                      <w:color w:val="auto"/>
                      <w:kern w:val="0"/>
                      <w:sz w:val="18"/>
                      <w:szCs w:val="18"/>
                      <w:highlight w:val="none"/>
                      <w:lang w:val="en-US" w:eastAsia="zh-CN" w:bidi="ar"/>
                    </w:rPr>
                    <w:t>1</w:t>
                  </w:r>
                </w:p>
              </w:tc>
              <w:tc>
                <w:tcPr>
                  <w:tcW w:w="722" w:type="dxa"/>
                  <w:tcBorders>
                    <w:tl2br w:val="nil"/>
                    <w:tr2bl w:val="nil"/>
                  </w:tcBorders>
                  <w:vAlign w:val="center"/>
                </w:tcPr>
                <w:p w14:paraId="1616819D">
                  <w:pPr>
                    <w:adjustRightInd w:val="0"/>
                    <w:snapToGrid w:val="0"/>
                    <w:jc w:val="center"/>
                    <w:rPr>
                      <w:rFonts w:hint="default" w:eastAsia="宋体"/>
                      <w:color w:val="auto"/>
                      <w:kern w:val="0"/>
                      <w:sz w:val="18"/>
                      <w:szCs w:val="18"/>
                      <w:highlight w:val="none"/>
                      <w:lang w:eastAsia="zh-CN" w:bidi="ar"/>
                    </w:rPr>
                  </w:pPr>
                  <w:r>
                    <w:rPr>
                      <w:rFonts w:hint="default"/>
                      <w:color w:val="auto"/>
                      <w:kern w:val="0"/>
                      <w:sz w:val="18"/>
                      <w:szCs w:val="18"/>
                      <w:highlight w:val="none"/>
                      <w:lang w:val="en-US" w:eastAsia="zh-CN" w:bidi="ar"/>
                    </w:rPr>
                    <w:t>1</w:t>
                  </w:r>
                </w:p>
              </w:tc>
            </w:tr>
            <w:tr w14:paraId="1D7C184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707" w:type="dxa"/>
                  <w:vMerge w:val="continue"/>
                  <w:tcBorders>
                    <w:tl2br w:val="nil"/>
                    <w:tr2bl w:val="nil"/>
                  </w:tcBorders>
                  <w:vAlign w:val="center"/>
                </w:tcPr>
                <w:p w14:paraId="50D22B51">
                  <w:pPr>
                    <w:adjustRightInd w:val="0"/>
                    <w:snapToGrid w:val="0"/>
                    <w:jc w:val="center"/>
                    <w:rPr>
                      <w:color w:val="auto"/>
                      <w:spacing w:val="-10"/>
                      <w:sz w:val="18"/>
                      <w:szCs w:val="18"/>
                      <w:highlight w:val="none"/>
                    </w:rPr>
                  </w:pPr>
                </w:p>
              </w:tc>
              <w:tc>
                <w:tcPr>
                  <w:tcW w:w="1733" w:type="dxa"/>
                  <w:vMerge w:val="continue"/>
                  <w:tcBorders>
                    <w:tl2br w:val="nil"/>
                    <w:tr2bl w:val="nil"/>
                  </w:tcBorders>
                  <w:vAlign w:val="center"/>
                </w:tcPr>
                <w:p w14:paraId="245096A4">
                  <w:pPr>
                    <w:adjustRightInd w:val="0"/>
                    <w:snapToGrid w:val="0"/>
                    <w:jc w:val="center"/>
                    <w:rPr>
                      <w:color w:val="auto"/>
                      <w:kern w:val="0"/>
                      <w:sz w:val="18"/>
                      <w:szCs w:val="18"/>
                      <w:highlight w:val="none"/>
                      <w:lang w:bidi="ar"/>
                    </w:rPr>
                  </w:pPr>
                </w:p>
              </w:tc>
              <w:tc>
                <w:tcPr>
                  <w:tcW w:w="753" w:type="dxa"/>
                  <w:tcBorders>
                    <w:tl2br w:val="nil"/>
                    <w:tr2bl w:val="nil"/>
                  </w:tcBorders>
                  <w:vAlign w:val="center"/>
                </w:tcPr>
                <w:p w14:paraId="31A39C42">
                  <w:pPr>
                    <w:adjustRightInd w:val="0"/>
                    <w:snapToGrid w:val="0"/>
                    <w:jc w:val="center"/>
                    <w:rPr>
                      <w:rFonts w:hint="default" w:eastAsia="宋体"/>
                      <w:color w:val="auto"/>
                      <w:spacing w:val="-10"/>
                      <w:sz w:val="18"/>
                      <w:szCs w:val="18"/>
                      <w:highlight w:val="none"/>
                      <w:lang w:val="en-US" w:eastAsia="zh-CN"/>
                    </w:rPr>
                  </w:pPr>
                  <w:r>
                    <w:rPr>
                      <w:rFonts w:hint="default"/>
                      <w:color w:val="auto"/>
                      <w:spacing w:val="-10"/>
                      <w:sz w:val="18"/>
                      <w:szCs w:val="18"/>
                      <w:highlight w:val="none"/>
                      <w:lang w:val="en-US" w:eastAsia="zh-CN"/>
                    </w:rPr>
                    <w:t>非甲烷总烃</w:t>
                  </w:r>
                </w:p>
              </w:tc>
              <w:tc>
                <w:tcPr>
                  <w:tcW w:w="1488" w:type="dxa"/>
                  <w:tcBorders>
                    <w:tl2br w:val="nil"/>
                    <w:tr2bl w:val="nil"/>
                  </w:tcBorders>
                  <w:vAlign w:val="center"/>
                </w:tcPr>
                <w:p w14:paraId="599CDED7">
                  <w:pPr>
                    <w:adjustRightInd w:val="0"/>
                    <w:snapToGrid w:val="0"/>
                    <w:jc w:val="center"/>
                    <w:rPr>
                      <w:rFonts w:hint="default" w:eastAsia="宋体"/>
                      <w:color w:val="auto"/>
                      <w:spacing w:val="-10"/>
                      <w:sz w:val="18"/>
                      <w:szCs w:val="18"/>
                      <w:highlight w:val="none"/>
                      <w:lang w:val="en-US" w:eastAsia="zh-CN"/>
                    </w:rPr>
                  </w:pPr>
                  <w:r>
                    <w:rPr>
                      <w:rFonts w:hint="eastAsia"/>
                      <w:color w:val="auto"/>
                      <w:spacing w:val="-10"/>
                      <w:sz w:val="18"/>
                      <w:szCs w:val="18"/>
                      <w:highlight w:val="none"/>
                      <w:lang w:val="en-US" w:eastAsia="zh-CN"/>
                    </w:rPr>
                    <w:t>3.1</w:t>
                  </w:r>
                </w:p>
              </w:tc>
              <w:tc>
                <w:tcPr>
                  <w:tcW w:w="1378" w:type="dxa"/>
                  <w:tcBorders>
                    <w:tl2br w:val="nil"/>
                    <w:tr2bl w:val="nil"/>
                  </w:tcBorders>
                  <w:vAlign w:val="center"/>
                </w:tcPr>
                <w:p w14:paraId="0350FEE4">
                  <w:pPr>
                    <w:adjustRightInd w:val="0"/>
                    <w:snapToGrid w:val="0"/>
                    <w:jc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0.006</w:t>
                  </w:r>
                </w:p>
              </w:tc>
              <w:tc>
                <w:tcPr>
                  <w:tcW w:w="840" w:type="dxa"/>
                  <w:tcBorders>
                    <w:tl2br w:val="nil"/>
                    <w:tr2bl w:val="nil"/>
                  </w:tcBorders>
                  <w:shd w:val="clear" w:color="auto" w:fill="auto"/>
                  <w:vAlign w:val="center"/>
                </w:tcPr>
                <w:p w14:paraId="27569EEF">
                  <w:pPr>
                    <w:adjustRightInd w:val="0"/>
                    <w:snapToGrid w:val="0"/>
                    <w:jc w:val="center"/>
                    <w:rPr>
                      <w:rFonts w:hint="default" w:ascii="Times New Roman" w:hAnsi="Times New Roman" w:eastAsia="宋体" w:cs="Times New Roman"/>
                      <w:color w:val="auto"/>
                      <w:kern w:val="0"/>
                      <w:sz w:val="18"/>
                      <w:szCs w:val="18"/>
                      <w:highlight w:val="none"/>
                      <w:lang w:val="en-US" w:eastAsia="zh-CN" w:bidi="ar"/>
                    </w:rPr>
                  </w:pPr>
                  <w:r>
                    <w:rPr>
                      <w:rFonts w:hint="default"/>
                      <w:color w:val="auto"/>
                      <w:kern w:val="0"/>
                      <w:sz w:val="18"/>
                      <w:szCs w:val="18"/>
                      <w:highlight w:val="none"/>
                      <w:lang w:val="en-US" w:eastAsia="zh-CN" w:bidi="ar"/>
                    </w:rPr>
                    <w:t>1</w:t>
                  </w:r>
                </w:p>
              </w:tc>
              <w:tc>
                <w:tcPr>
                  <w:tcW w:w="722" w:type="dxa"/>
                  <w:tcBorders>
                    <w:tl2br w:val="nil"/>
                    <w:tr2bl w:val="nil"/>
                  </w:tcBorders>
                  <w:shd w:val="clear" w:color="auto" w:fill="auto"/>
                  <w:vAlign w:val="center"/>
                </w:tcPr>
                <w:p w14:paraId="1414458F">
                  <w:pPr>
                    <w:adjustRightInd w:val="0"/>
                    <w:snapToGrid w:val="0"/>
                    <w:jc w:val="center"/>
                    <w:rPr>
                      <w:rFonts w:hint="default" w:ascii="Times New Roman" w:hAnsi="Times New Roman" w:eastAsia="宋体" w:cs="Times New Roman"/>
                      <w:color w:val="auto"/>
                      <w:kern w:val="0"/>
                      <w:sz w:val="18"/>
                      <w:szCs w:val="18"/>
                      <w:highlight w:val="none"/>
                      <w:lang w:val="en-US" w:eastAsia="zh-CN" w:bidi="ar"/>
                    </w:rPr>
                  </w:pPr>
                  <w:r>
                    <w:rPr>
                      <w:rFonts w:hint="default"/>
                      <w:color w:val="auto"/>
                      <w:kern w:val="0"/>
                      <w:sz w:val="18"/>
                      <w:szCs w:val="18"/>
                      <w:highlight w:val="none"/>
                      <w:lang w:val="en-US" w:eastAsia="zh-CN" w:bidi="ar"/>
                    </w:rPr>
                    <w:t>1</w:t>
                  </w:r>
                </w:p>
              </w:tc>
            </w:tr>
          </w:tbl>
          <w:p w14:paraId="19DD03E5">
            <w:pPr>
              <w:adjustRightInd w:val="0"/>
              <w:snapToGrid w:val="0"/>
              <w:spacing w:line="360" w:lineRule="auto"/>
              <w:ind w:firstLine="420" w:firstLineChars="200"/>
              <w:rPr>
                <w:b/>
                <w:color w:val="auto"/>
                <w:kern w:val="0"/>
                <w:szCs w:val="21"/>
                <w:highlight w:val="none"/>
              </w:rPr>
            </w:pPr>
            <w:r>
              <w:rPr>
                <w:rFonts w:hint="default"/>
                <w:color w:val="auto"/>
                <w:szCs w:val="21"/>
                <w:highlight w:val="none"/>
              </w:rPr>
              <w:t>环评要求企业一旦发现非正常运行情况，必须立即停止生产，防止污染物非正常排放。</w:t>
            </w:r>
          </w:p>
          <w:p w14:paraId="66B18972">
            <w:pPr>
              <w:numPr>
                <w:ilvl w:val="0"/>
                <w:numId w:val="7"/>
              </w:numPr>
              <w:adjustRightInd w:val="0"/>
              <w:snapToGrid w:val="0"/>
              <w:spacing w:line="360" w:lineRule="auto"/>
              <w:rPr>
                <w:b/>
                <w:color w:val="auto"/>
                <w:kern w:val="0"/>
                <w:szCs w:val="21"/>
                <w:highlight w:val="none"/>
              </w:rPr>
            </w:pPr>
            <w:r>
              <w:rPr>
                <w:rFonts w:hint="default"/>
                <w:b/>
                <w:color w:val="auto"/>
                <w:kern w:val="0"/>
                <w:szCs w:val="21"/>
                <w:highlight w:val="none"/>
              </w:rPr>
              <w:t>废气达标排放分析</w:t>
            </w:r>
          </w:p>
          <w:p w14:paraId="31719A2B">
            <w:pPr>
              <w:spacing w:line="360" w:lineRule="auto"/>
              <w:ind w:firstLine="420" w:firstLineChars="200"/>
              <w:rPr>
                <w:rFonts w:hint="default"/>
                <w:color w:val="auto"/>
                <w:szCs w:val="21"/>
                <w:highlight w:val="none"/>
                <w:lang w:val="en-US" w:eastAsia="zh-CN"/>
              </w:rPr>
            </w:pPr>
            <w:r>
              <w:rPr>
                <w:rFonts w:hint="default"/>
                <w:color w:val="auto"/>
                <w:szCs w:val="21"/>
                <w:highlight w:val="none"/>
              </w:rPr>
              <w:t>经采取相应的污染防治措施后，项目主要废气污染物排放情况见表</w:t>
            </w:r>
            <w:r>
              <w:rPr>
                <w:rFonts w:hint="default"/>
                <w:color w:val="auto"/>
                <w:szCs w:val="21"/>
                <w:highlight w:val="none"/>
                <w:lang w:val="en-US" w:eastAsia="zh-CN"/>
              </w:rPr>
              <w:t>4-</w:t>
            </w:r>
            <w:r>
              <w:rPr>
                <w:rFonts w:hint="eastAsia" w:ascii="Times New Roman" w:hAnsi="Times New Roman" w:cs="Times New Roman"/>
                <w:color w:val="auto"/>
                <w:szCs w:val="21"/>
                <w:highlight w:val="none"/>
                <w:lang w:val="en-US" w:eastAsia="zh-CN"/>
              </w:rPr>
              <w:t>4</w:t>
            </w:r>
            <w:r>
              <w:rPr>
                <w:rFonts w:hint="default"/>
                <w:color w:val="auto"/>
                <w:szCs w:val="21"/>
                <w:highlight w:val="none"/>
                <w:lang w:val="en-US" w:eastAsia="zh-CN"/>
              </w:rPr>
              <w:t>。</w:t>
            </w:r>
          </w:p>
          <w:p w14:paraId="04BDF76F">
            <w:pPr>
              <w:numPr>
                <w:ilvl w:val="0"/>
                <w:numId w:val="8"/>
              </w:numPr>
              <w:spacing w:line="360" w:lineRule="auto"/>
              <w:jc w:val="center"/>
              <w:rPr>
                <w:b/>
                <w:bCs/>
                <w:color w:val="auto"/>
                <w:spacing w:val="-10"/>
                <w:szCs w:val="21"/>
                <w:highlight w:val="none"/>
              </w:rPr>
            </w:pPr>
            <w:r>
              <w:rPr>
                <w:rFonts w:hint="default" w:ascii="Times New Roman" w:hAnsi="Times New Roman" w:eastAsia="黑体" w:cs="Times New Roman"/>
                <w:b w:val="0"/>
                <w:bCs w:val="0"/>
                <w:color w:val="auto"/>
                <w:spacing w:val="-10"/>
                <w:szCs w:val="21"/>
                <w:highlight w:val="none"/>
                <w:lang w:val="en-US" w:eastAsia="zh-CN"/>
              </w:rPr>
              <w:t xml:space="preserve"> </w:t>
            </w:r>
            <w:r>
              <w:rPr>
                <w:rFonts w:hint="default" w:ascii="Times New Roman" w:hAnsi="Times New Roman" w:eastAsia="黑体" w:cs="Times New Roman"/>
                <w:b w:val="0"/>
                <w:bCs w:val="0"/>
                <w:color w:val="auto"/>
                <w:spacing w:val="-10"/>
                <w:szCs w:val="21"/>
                <w:highlight w:val="none"/>
                <w:lang w:val="zh-CN"/>
              </w:rPr>
              <w:t>项目</w:t>
            </w:r>
            <w:r>
              <w:rPr>
                <w:rFonts w:hint="default" w:ascii="Times New Roman" w:hAnsi="Times New Roman" w:eastAsia="黑体" w:cs="Times New Roman"/>
                <w:b w:val="0"/>
                <w:bCs w:val="0"/>
                <w:color w:val="auto"/>
                <w:spacing w:val="-10"/>
                <w:szCs w:val="21"/>
                <w:highlight w:val="none"/>
                <w:lang w:val="en-US" w:eastAsia="zh-CN"/>
              </w:rPr>
              <w:t>废气达标性分析一览表</w:t>
            </w:r>
          </w:p>
          <w:tbl>
            <w:tblPr>
              <w:tblStyle w:val="25"/>
              <w:tblW w:w="4998"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350"/>
              <w:gridCol w:w="1128"/>
              <w:gridCol w:w="1093"/>
              <w:gridCol w:w="1101"/>
              <w:gridCol w:w="1093"/>
              <w:gridCol w:w="1101"/>
              <w:gridCol w:w="732"/>
            </w:tblGrid>
            <w:tr w14:paraId="6F17650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88" w:type="pct"/>
                  <w:vMerge w:val="restart"/>
                  <w:tcBorders>
                    <w:tl2br w:val="nil"/>
                    <w:tr2bl w:val="nil"/>
                  </w:tcBorders>
                  <w:vAlign w:val="center"/>
                </w:tcPr>
                <w:p w14:paraId="565DD5FC">
                  <w:pPr>
                    <w:jc w:val="center"/>
                    <w:rPr>
                      <w:color w:val="auto"/>
                      <w:sz w:val="18"/>
                      <w:szCs w:val="18"/>
                      <w:highlight w:val="none"/>
                    </w:rPr>
                  </w:pPr>
                  <w:r>
                    <w:rPr>
                      <w:color w:val="auto"/>
                      <w:sz w:val="18"/>
                      <w:szCs w:val="18"/>
                      <w:highlight w:val="none"/>
                    </w:rPr>
                    <w:t>排气筒编号</w:t>
                  </w:r>
                </w:p>
              </w:tc>
              <w:tc>
                <w:tcPr>
                  <w:tcW w:w="742" w:type="pct"/>
                  <w:vMerge w:val="restart"/>
                  <w:tcBorders>
                    <w:tl2br w:val="nil"/>
                    <w:tr2bl w:val="nil"/>
                  </w:tcBorders>
                  <w:vAlign w:val="center"/>
                </w:tcPr>
                <w:p w14:paraId="617C599E">
                  <w:pPr>
                    <w:jc w:val="center"/>
                    <w:rPr>
                      <w:color w:val="auto"/>
                      <w:sz w:val="18"/>
                      <w:szCs w:val="18"/>
                      <w:highlight w:val="none"/>
                    </w:rPr>
                  </w:pPr>
                  <w:r>
                    <w:rPr>
                      <w:color w:val="auto"/>
                      <w:sz w:val="18"/>
                      <w:szCs w:val="18"/>
                      <w:highlight w:val="none"/>
                    </w:rPr>
                    <w:t>污染物</w:t>
                  </w:r>
                </w:p>
              </w:tc>
              <w:tc>
                <w:tcPr>
                  <w:tcW w:w="1443" w:type="pct"/>
                  <w:gridSpan w:val="2"/>
                  <w:tcBorders>
                    <w:tl2br w:val="nil"/>
                    <w:tr2bl w:val="nil"/>
                  </w:tcBorders>
                  <w:vAlign w:val="center"/>
                </w:tcPr>
                <w:p w14:paraId="1F6A05E3">
                  <w:pPr>
                    <w:widowControl/>
                    <w:jc w:val="center"/>
                    <w:textAlignment w:val="center"/>
                    <w:rPr>
                      <w:color w:val="auto"/>
                      <w:sz w:val="18"/>
                      <w:szCs w:val="18"/>
                      <w:highlight w:val="none"/>
                    </w:rPr>
                  </w:pPr>
                  <w:r>
                    <w:rPr>
                      <w:color w:val="auto"/>
                      <w:kern w:val="0"/>
                      <w:sz w:val="18"/>
                      <w:szCs w:val="18"/>
                      <w:highlight w:val="none"/>
                      <w:lang w:bidi="ar"/>
                    </w:rPr>
                    <w:t>排放速率（kg/h）</w:t>
                  </w:r>
                </w:p>
              </w:tc>
              <w:tc>
                <w:tcPr>
                  <w:tcW w:w="1443" w:type="pct"/>
                  <w:gridSpan w:val="2"/>
                  <w:tcBorders>
                    <w:tl2br w:val="nil"/>
                    <w:tr2bl w:val="nil"/>
                  </w:tcBorders>
                  <w:vAlign w:val="center"/>
                </w:tcPr>
                <w:p w14:paraId="1DCD2206">
                  <w:pPr>
                    <w:jc w:val="center"/>
                    <w:rPr>
                      <w:color w:val="auto"/>
                      <w:sz w:val="18"/>
                      <w:szCs w:val="18"/>
                      <w:highlight w:val="none"/>
                    </w:rPr>
                  </w:pPr>
                  <w:r>
                    <w:rPr>
                      <w:color w:val="auto"/>
                      <w:kern w:val="0"/>
                      <w:sz w:val="18"/>
                      <w:szCs w:val="18"/>
                      <w:highlight w:val="none"/>
                      <w:lang w:bidi="ar"/>
                    </w:rPr>
                    <w:t>排放浓</w:t>
                  </w:r>
                  <w:r>
                    <w:rPr>
                      <w:rFonts w:hint="default"/>
                      <w:color w:val="auto"/>
                      <w:kern w:val="0"/>
                      <w:sz w:val="18"/>
                      <w:szCs w:val="18"/>
                      <w:highlight w:val="none"/>
                      <w:lang w:bidi="ar"/>
                    </w:rPr>
                    <w:t>度</w:t>
                  </w:r>
                  <w:r>
                    <w:rPr>
                      <w:color w:val="auto"/>
                      <w:kern w:val="0"/>
                      <w:sz w:val="18"/>
                      <w:szCs w:val="18"/>
                      <w:highlight w:val="none"/>
                      <w:lang w:bidi="ar"/>
                    </w:rPr>
                    <w:t>（mg/m</w:t>
                  </w:r>
                  <w:r>
                    <w:rPr>
                      <w:color w:val="auto"/>
                      <w:kern w:val="0"/>
                      <w:sz w:val="18"/>
                      <w:szCs w:val="18"/>
                      <w:highlight w:val="none"/>
                      <w:vertAlign w:val="superscript"/>
                      <w:lang w:bidi="ar"/>
                    </w:rPr>
                    <w:t>3</w:t>
                  </w:r>
                  <w:r>
                    <w:rPr>
                      <w:color w:val="auto"/>
                      <w:kern w:val="0"/>
                      <w:sz w:val="18"/>
                      <w:szCs w:val="18"/>
                      <w:highlight w:val="none"/>
                      <w:lang w:bidi="ar"/>
                    </w:rPr>
                    <w:t>）</w:t>
                  </w:r>
                </w:p>
              </w:tc>
              <w:tc>
                <w:tcPr>
                  <w:tcW w:w="481" w:type="pct"/>
                  <w:vMerge w:val="restart"/>
                  <w:tcBorders>
                    <w:tl2br w:val="nil"/>
                    <w:tr2bl w:val="nil"/>
                  </w:tcBorders>
                  <w:vAlign w:val="center"/>
                </w:tcPr>
                <w:p w14:paraId="79B6A0D0">
                  <w:pPr>
                    <w:jc w:val="center"/>
                    <w:rPr>
                      <w:color w:val="auto"/>
                      <w:sz w:val="18"/>
                      <w:szCs w:val="18"/>
                      <w:highlight w:val="none"/>
                    </w:rPr>
                  </w:pPr>
                  <w:r>
                    <w:rPr>
                      <w:color w:val="auto"/>
                      <w:kern w:val="0"/>
                      <w:sz w:val="18"/>
                      <w:szCs w:val="18"/>
                      <w:highlight w:val="none"/>
                      <w:lang w:bidi="ar"/>
                    </w:rPr>
                    <w:t>是否达标</w:t>
                  </w:r>
                </w:p>
              </w:tc>
            </w:tr>
            <w:tr w14:paraId="5760736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88" w:type="pct"/>
                  <w:vMerge w:val="continue"/>
                  <w:tcBorders>
                    <w:tl2br w:val="nil"/>
                    <w:tr2bl w:val="nil"/>
                  </w:tcBorders>
                  <w:vAlign w:val="center"/>
                </w:tcPr>
                <w:p w14:paraId="378E591B">
                  <w:pPr>
                    <w:jc w:val="center"/>
                    <w:rPr>
                      <w:color w:val="auto"/>
                      <w:sz w:val="18"/>
                      <w:szCs w:val="18"/>
                      <w:highlight w:val="none"/>
                    </w:rPr>
                  </w:pPr>
                </w:p>
              </w:tc>
              <w:tc>
                <w:tcPr>
                  <w:tcW w:w="742" w:type="pct"/>
                  <w:vMerge w:val="continue"/>
                  <w:tcBorders>
                    <w:tl2br w:val="nil"/>
                    <w:tr2bl w:val="nil"/>
                  </w:tcBorders>
                  <w:vAlign w:val="center"/>
                </w:tcPr>
                <w:p w14:paraId="234B7C2D">
                  <w:pPr>
                    <w:jc w:val="center"/>
                    <w:rPr>
                      <w:color w:val="auto"/>
                      <w:sz w:val="18"/>
                      <w:szCs w:val="18"/>
                      <w:highlight w:val="none"/>
                    </w:rPr>
                  </w:pPr>
                </w:p>
              </w:tc>
              <w:tc>
                <w:tcPr>
                  <w:tcW w:w="719" w:type="pct"/>
                  <w:tcBorders>
                    <w:tl2br w:val="nil"/>
                    <w:tr2bl w:val="nil"/>
                  </w:tcBorders>
                  <w:vAlign w:val="center"/>
                </w:tcPr>
                <w:p w14:paraId="33E0786F">
                  <w:pPr>
                    <w:widowControl/>
                    <w:jc w:val="center"/>
                    <w:textAlignment w:val="center"/>
                    <w:rPr>
                      <w:color w:val="auto"/>
                      <w:sz w:val="18"/>
                      <w:szCs w:val="18"/>
                      <w:highlight w:val="none"/>
                    </w:rPr>
                  </w:pPr>
                  <w:r>
                    <w:rPr>
                      <w:color w:val="auto"/>
                      <w:kern w:val="0"/>
                      <w:sz w:val="18"/>
                      <w:szCs w:val="18"/>
                      <w:highlight w:val="none"/>
                      <w:lang w:bidi="ar"/>
                    </w:rPr>
                    <w:t>本项目</w:t>
                  </w:r>
                </w:p>
              </w:tc>
              <w:tc>
                <w:tcPr>
                  <w:tcW w:w="724" w:type="pct"/>
                  <w:tcBorders>
                    <w:tl2br w:val="nil"/>
                    <w:tr2bl w:val="nil"/>
                  </w:tcBorders>
                  <w:vAlign w:val="center"/>
                </w:tcPr>
                <w:p w14:paraId="6B1C518B">
                  <w:pPr>
                    <w:widowControl/>
                    <w:jc w:val="center"/>
                    <w:textAlignment w:val="center"/>
                    <w:rPr>
                      <w:color w:val="auto"/>
                      <w:sz w:val="18"/>
                      <w:szCs w:val="18"/>
                      <w:highlight w:val="none"/>
                    </w:rPr>
                  </w:pPr>
                  <w:r>
                    <w:rPr>
                      <w:color w:val="auto"/>
                      <w:kern w:val="0"/>
                      <w:sz w:val="18"/>
                      <w:szCs w:val="18"/>
                      <w:highlight w:val="none"/>
                      <w:lang w:bidi="ar"/>
                    </w:rPr>
                    <w:t>标准值</w:t>
                  </w:r>
                </w:p>
              </w:tc>
              <w:tc>
                <w:tcPr>
                  <w:tcW w:w="719" w:type="pct"/>
                  <w:tcBorders>
                    <w:tl2br w:val="nil"/>
                    <w:tr2bl w:val="nil"/>
                  </w:tcBorders>
                  <w:vAlign w:val="center"/>
                </w:tcPr>
                <w:p w14:paraId="4436A5DC">
                  <w:pPr>
                    <w:widowControl/>
                    <w:jc w:val="center"/>
                    <w:textAlignment w:val="center"/>
                    <w:rPr>
                      <w:color w:val="auto"/>
                      <w:sz w:val="18"/>
                      <w:szCs w:val="18"/>
                      <w:highlight w:val="none"/>
                    </w:rPr>
                  </w:pPr>
                  <w:r>
                    <w:rPr>
                      <w:color w:val="auto"/>
                      <w:kern w:val="0"/>
                      <w:sz w:val="18"/>
                      <w:szCs w:val="18"/>
                      <w:highlight w:val="none"/>
                      <w:lang w:bidi="ar"/>
                    </w:rPr>
                    <w:t>本项目</w:t>
                  </w:r>
                </w:p>
              </w:tc>
              <w:tc>
                <w:tcPr>
                  <w:tcW w:w="724" w:type="pct"/>
                  <w:tcBorders>
                    <w:tl2br w:val="nil"/>
                    <w:tr2bl w:val="nil"/>
                  </w:tcBorders>
                  <w:vAlign w:val="center"/>
                </w:tcPr>
                <w:p w14:paraId="3ADF5D1B">
                  <w:pPr>
                    <w:widowControl/>
                    <w:jc w:val="center"/>
                    <w:textAlignment w:val="center"/>
                    <w:rPr>
                      <w:color w:val="auto"/>
                      <w:sz w:val="18"/>
                      <w:szCs w:val="18"/>
                      <w:highlight w:val="none"/>
                    </w:rPr>
                  </w:pPr>
                  <w:r>
                    <w:rPr>
                      <w:color w:val="auto"/>
                      <w:kern w:val="0"/>
                      <w:sz w:val="18"/>
                      <w:szCs w:val="18"/>
                      <w:highlight w:val="none"/>
                      <w:lang w:bidi="ar"/>
                    </w:rPr>
                    <w:t>标准值</w:t>
                  </w:r>
                </w:p>
              </w:tc>
              <w:tc>
                <w:tcPr>
                  <w:tcW w:w="481" w:type="pct"/>
                  <w:vMerge w:val="continue"/>
                  <w:tcBorders>
                    <w:tl2br w:val="nil"/>
                    <w:tr2bl w:val="nil"/>
                  </w:tcBorders>
                  <w:vAlign w:val="center"/>
                </w:tcPr>
                <w:p w14:paraId="3C66BC89">
                  <w:pPr>
                    <w:jc w:val="center"/>
                    <w:rPr>
                      <w:color w:val="auto"/>
                      <w:sz w:val="18"/>
                      <w:szCs w:val="18"/>
                      <w:highlight w:val="none"/>
                    </w:rPr>
                  </w:pPr>
                </w:p>
              </w:tc>
            </w:tr>
            <w:tr w14:paraId="3136DF7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88" w:type="pct"/>
                  <w:vMerge w:val="restart"/>
                  <w:tcBorders>
                    <w:tl2br w:val="nil"/>
                    <w:tr2bl w:val="nil"/>
                  </w:tcBorders>
                  <w:vAlign w:val="center"/>
                </w:tcPr>
                <w:p w14:paraId="30381BD1">
                  <w:pPr>
                    <w:jc w:val="center"/>
                    <w:rPr>
                      <w:color w:val="auto"/>
                      <w:sz w:val="18"/>
                      <w:szCs w:val="18"/>
                      <w:highlight w:val="none"/>
                    </w:rPr>
                  </w:pPr>
                  <w:r>
                    <w:rPr>
                      <w:color w:val="auto"/>
                      <w:sz w:val="18"/>
                      <w:szCs w:val="18"/>
                      <w:highlight w:val="none"/>
                    </w:rPr>
                    <w:t>DA001</w:t>
                  </w:r>
                </w:p>
              </w:tc>
              <w:tc>
                <w:tcPr>
                  <w:tcW w:w="742" w:type="pct"/>
                  <w:tcBorders>
                    <w:tl2br w:val="nil"/>
                    <w:tr2bl w:val="nil"/>
                  </w:tcBorders>
                  <w:vAlign w:val="center"/>
                </w:tcPr>
                <w:p w14:paraId="464F564C">
                  <w:pPr>
                    <w:jc w:val="center"/>
                    <w:rPr>
                      <w:color w:val="auto"/>
                      <w:sz w:val="18"/>
                      <w:szCs w:val="18"/>
                      <w:highlight w:val="none"/>
                    </w:rPr>
                  </w:pPr>
                  <w:r>
                    <w:rPr>
                      <w:color w:val="auto"/>
                      <w:sz w:val="18"/>
                      <w:szCs w:val="18"/>
                      <w:highlight w:val="none"/>
                    </w:rPr>
                    <w:t>颗粒物</w:t>
                  </w:r>
                </w:p>
              </w:tc>
              <w:tc>
                <w:tcPr>
                  <w:tcW w:w="719" w:type="pct"/>
                  <w:tcBorders>
                    <w:tl2br w:val="nil"/>
                    <w:tr2bl w:val="nil"/>
                  </w:tcBorders>
                  <w:vAlign w:val="center"/>
                </w:tcPr>
                <w:p w14:paraId="2A8B2B5B">
                  <w:pPr>
                    <w:jc w:val="center"/>
                    <w:rPr>
                      <w:rFonts w:hint="default" w:eastAsia="宋体"/>
                      <w:color w:val="auto"/>
                      <w:sz w:val="18"/>
                      <w:szCs w:val="18"/>
                      <w:highlight w:val="none"/>
                      <w:lang w:val="en-US" w:eastAsia="zh-CN"/>
                    </w:rPr>
                  </w:pPr>
                  <w:r>
                    <w:rPr>
                      <w:rFonts w:hint="eastAsia"/>
                      <w:color w:val="auto"/>
                      <w:sz w:val="18"/>
                      <w:szCs w:val="18"/>
                      <w:highlight w:val="none"/>
                      <w:lang w:val="en-US" w:eastAsia="zh-CN"/>
                    </w:rPr>
                    <w:t>0.007</w:t>
                  </w:r>
                </w:p>
              </w:tc>
              <w:tc>
                <w:tcPr>
                  <w:tcW w:w="724" w:type="pct"/>
                  <w:tcBorders>
                    <w:tl2br w:val="nil"/>
                    <w:tr2bl w:val="nil"/>
                  </w:tcBorders>
                  <w:vAlign w:val="center"/>
                </w:tcPr>
                <w:p w14:paraId="590A9F4F">
                  <w:pPr>
                    <w:jc w:val="center"/>
                    <w:rPr>
                      <w:rFonts w:hint="default" w:eastAsia="宋体"/>
                      <w:color w:val="auto"/>
                      <w:sz w:val="18"/>
                      <w:szCs w:val="18"/>
                      <w:highlight w:val="none"/>
                      <w:lang w:val="en-US" w:eastAsia="zh-CN"/>
                    </w:rPr>
                  </w:pPr>
                  <w:r>
                    <w:rPr>
                      <w:rFonts w:hint="default"/>
                      <w:color w:val="auto"/>
                      <w:sz w:val="18"/>
                      <w:szCs w:val="18"/>
                      <w:highlight w:val="none"/>
                      <w:lang w:val="en-US" w:eastAsia="zh-CN"/>
                    </w:rPr>
                    <w:t>30</w:t>
                  </w:r>
                </w:p>
              </w:tc>
              <w:tc>
                <w:tcPr>
                  <w:tcW w:w="719" w:type="pct"/>
                  <w:tcBorders>
                    <w:tl2br w:val="nil"/>
                    <w:tr2bl w:val="nil"/>
                  </w:tcBorders>
                  <w:vAlign w:val="center"/>
                </w:tcPr>
                <w:p w14:paraId="36465590">
                  <w:pPr>
                    <w:jc w:val="center"/>
                    <w:rPr>
                      <w:rFonts w:hint="default" w:eastAsia="宋体"/>
                      <w:color w:val="auto"/>
                      <w:sz w:val="18"/>
                      <w:szCs w:val="18"/>
                      <w:highlight w:val="none"/>
                      <w:lang w:val="en-US" w:eastAsia="zh-CN"/>
                    </w:rPr>
                  </w:pPr>
                  <w:r>
                    <w:rPr>
                      <w:rFonts w:hint="eastAsia"/>
                      <w:color w:val="auto"/>
                      <w:sz w:val="18"/>
                      <w:szCs w:val="18"/>
                      <w:highlight w:val="none"/>
                      <w:lang w:val="en-US" w:eastAsia="zh-CN"/>
                    </w:rPr>
                    <w:t>3.3</w:t>
                  </w:r>
                </w:p>
              </w:tc>
              <w:tc>
                <w:tcPr>
                  <w:tcW w:w="724" w:type="pct"/>
                  <w:tcBorders>
                    <w:tl2br w:val="nil"/>
                    <w:tr2bl w:val="nil"/>
                  </w:tcBorders>
                  <w:vAlign w:val="center"/>
                </w:tcPr>
                <w:p w14:paraId="4D1BABE6">
                  <w:pPr>
                    <w:jc w:val="center"/>
                    <w:rPr>
                      <w:color w:val="auto"/>
                      <w:sz w:val="18"/>
                      <w:szCs w:val="18"/>
                      <w:highlight w:val="none"/>
                    </w:rPr>
                  </w:pPr>
                  <w:r>
                    <w:rPr>
                      <w:color w:val="auto"/>
                      <w:sz w:val="18"/>
                      <w:szCs w:val="18"/>
                      <w:highlight w:val="none"/>
                    </w:rPr>
                    <w:t>120</w:t>
                  </w:r>
                </w:p>
              </w:tc>
              <w:tc>
                <w:tcPr>
                  <w:tcW w:w="481" w:type="pct"/>
                  <w:vMerge w:val="restart"/>
                  <w:tcBorders>
                    <w:tl2br w:val="nil"/>
                    <w:tr2bl w:val="nil"/>
                  </w:tcBorders>
                  <w:vAlign w:val="center"/>
                </w:tcPr>
                <w:p w14:paraId="6A36582C">
                  <w:pPr>
                    <w:jc w:val="center"/>
                    <w:rPr>
                      <w:color w:val="auto"/>
                      <w:sz w:val="18"/>
                      <w:szCs w:val="18"/>
                      <w:highlight w:val="none"/>
                    </w:rPr>
                  </w:pPr>
                  <w:r>
                    <w:rPr>
                      <w:color w:val="auto"/>
                      <w:sz w:val="18"/>
                      <w:szCs w:val="18"/>
                      <w:highlight w:val="none"/>
                    </w:rPr>
                    <w:t>达标</w:t>
                  </w:r>
                </w:p>
              </w:tc>
            </w:tr>
            <w:tr w14:paraId="4A1FD4A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88" w:type="pct"/>
                  <w:vMerge w:val="continue"/>
                  <w:tcBorders>
                    <w:tl2br w:val="nil"/>
                    <w:tr2bl w:val="nil"/>
                  </w:tcBorders>
                  <w:vAlign w:val="center"/>
                </w:tcPr>
                <w:p w14:paraId="61BFFFB1">
                  <w:pPr>
                    <w:jc w:val="center"/>
                    <w:rPr>
                      <w:color w:val="auto"/>
                      <w:sz w:val="18"/>
                      <w:szCs w:val="18"/>
                      <w:highlight w:val="none"/>
                    </w:rPr>
                  </w:pPr>
                </w:p>
              </w:tc>
              <w:tc>
                <w:tcPr>
                  <w:tcW w:w="742" w:type="pct"/>
                  <w:tcBorders>
                    <w:tl2br w:val="nil"/>
                    <w:tr2bl w:val="nil"/>
                  </w:tcBorders>
                  <w:vAlign w:val="center"/>
                </w:tcPr>
                <w:p w14:paraId="50859F4A">
                  <w:pPr>
                    <w:jc w:val="center"/>
                    <w:rPr>
                      <w:rFonts w:hint="default" w:eastAsia="宋体"/>
                      <w:color w:val="auto"/>
                      <w:sz w:val="18"/>
                      <w:szCs w:val="18"/>
                      <w:highlight w:val="none"/>
                      <w:lang w:val="en-US" w:eastAsia="zh-CN"/>
                    </w:rPr>
                  </w:pPr>
                  <w:r>
                    <w:rPr>
                      <w:rFonts w:hint="default"/>
                      <w:color w:val="auto"/>
                      <w:sz w:val="18"/>
                      <w:szCs w:val="18"/>
                      <w:highlight w:val="none"/>
                      <w:lang w:val="en-US" w:eastAsia="zh-CN"/>
                    </w:rPr>
                    <w:t>非甲烷总烃</w:t>
                  </w:r>
                </w:p>
              </w:tc>
              <w:tc>
                <w:tcPr>
                  <w:tcW w:w="719" w:type="pct"/>
                  <w:tcBorders>
                    <w:tl2br w:val="nil"/>
                    <w:tr2bl w:val="nil"/>
                  </w:tcBorders>
                  <w:vAlign w:val="center"/>
                </w:tcPr>
                <w:p w14:paraId="47BC20E5">
                  <w:pPr>
                    <w:jc w:val="center"/>
                    <w:rPr>
                      <w:rFonts w:hint="default" w:eastAsia="宋体"/>
                      <w:color w:val="auto"/>
                      <w:sz w:val="18"/>
                      <w:szCs w:val="18"/>
                      <w:highlight w:val="none"/>
                      <w:lang w:val="en-US" w:eastAsia="zh-CN"/>
                    </w:rPr>
                  </w:pPr>
                  <w:r>
                    <w:rPr>
                      <w:rFonts w:hint="eastAsia"/>
                      <w:color w:val="auto"/>
                      <w:sz w:val="18"/>
                      <w:szCs w:val="18"/>
                      <w:highlight w:val="none"/>
                      <w:lang w:val="en-US" w:eastAsia="zh-CN"/>
                    </w:rPr>
                    <w:t>0.004</w:t>
                  </w:r>
                </w:p>
              </w:tc>
              <w:tc>
                <w:tcPr>
                  <w:tcW w:w="724" w:type="pct"/>
                  <w:tcBorders>
                    <w:tl2br w:val="nil"/>
                    <w:tr2bl w:val="nil"/>
                  </w:tcBorders>
                  <w:vAlign w:val="center"/>
                </w:tcPr>
                <w:p w14:paraId="3DA32CF6">
                  <w:pPr>
                    <w:jc w:val="center"/>
                    <w:rPr>
                      <w:rFonts w:hint="default" w:eastAsia="宋体"/>
                      <w:color w:val="auto"/>
                      <w:sz w:val="18"/>
                      <w:szCs w:val="18"/>
                      <w:highlight w:val="none"/>
                      <w:lang w:val="en-US" w:eastAsia="zh-CN"/>
                    </w:rPr>
                  </w:pPr>
                  <w:r>
                    <w:rPr>
                      <w:rFonts w:hint="default"/>
                      <w:color w:val="auto"/>
                      <w:sz w:val="18"/>
                      <w:szCs w:val="18"/>
                      <w:highlight w:val="none"/>
                      <w:lang w:val="en-US" w:eastAsia="zh-CN"/>
                    </w:rPr>
                    <w:t>78.125</w:t>
                  </w:r>
                </w:p>
              </w:tc>
              <w:tc>
                <w:tcPr>
                  <w:tcW w:w="719" w:type="pct"/>
                  <w:tcBorders>
                    <w:tl2br w:val="nil"/>
                    <w:tr2bl w:val="nil"/>
                  </w:tcBorders>
                  <w:vAlign w:val="center"/>
                </w:tcPr>
                <w:p w14:paraId="786DCF2C">
                  <w:pPr>
                    <w:jc w:val="center"/>
                    <w:rPr>
                      <w:rFonts w:hint="default" w:eastAsia="宋体"/>
                      <w:color w:val="auto"/>
                      <w:sz w:val="18"/>
                      <w:szCs w:val="18"/>
                      <w:highlight w:val="none"/>
                      <w:lang w:val="en-US" w:eastAsia="zh-CN"/>
                    </w:rPr>
                  </w:pPr>
                  <w:r>
                    <w:rPr>
                      <w:rFonts w:hint="eastAsia"/>
                      <w:color w:val="auto"/>
                      <w:sz w:val="18"/>
                      <w:szCs w:val="18"/>
                      <w:highlight w:val="none"/>
                      <w:lang w:val="en-US" w:eastAsia="zh-CN"/>
                    </w:rPr>
                    <w:t>2.1</w:t>
                  </w:r>
                </w:p>
              </w:tc>
              <w:tc>
                <w:tcPr>
                  <w:tcW w:w="724" w:type="pct"/>
                  <w:tcBorders>
                    <w:tl2br w:val="nil"/>
                    <w:tr2bl w:val="nil"/>
                  </w:tcBorders>
                  <w:vAlign w:val="center"/>
                </w:tcPr>
                <w:p w14:paraId="6D0D8FB5">
                  <w:pPr>
                    <w:jc w:val="center"/>
                    <w:rPr>
                      <w:rFonts w:hint="default" w:eastAsia="宋体"/>
                      <w:color w:val="auto"/>
                      <w:sz w:val="18"/>
                      <w:szCs w:val="18"/>
                      <w:highlight w:val="none"/>
                      <w:lang w:val="en-US" w:eastAsia="zh-CN"/>
                    </w:rPr>
                  </w:pPr>
                  <w:r>
                    <w:rPr>
                      <w:rFonts w:hint="default"/>
                      <w:color w:val="auto"/>
                      <w:sz w:val="18"/>
                      <w:szCs w:val="18"/>
                      <w:highlight w:val="none"/>
                      <w:lang w:val="en-US" w:eastAsia="zh-CN"/>
                    </w:rPr>
                    <w:t>120</w:t>
                  </w:r>
                </w:p>
              </w:tc>
              <w:tc>
                <w:tcPr>
                  <w:tcW w:w="481" w:type="pct"/>
                  <w:vMerge w:val="continue"/>
                  <w:tcBorders>
                    <w:tl2br w:val="nil"/>
                    <w:tr2bl w:val="nil"/>
                  </w:tcBorders>
                  <w:vAlign w:val="center"/>
                </w:tcPr>
                <w:p w14:paraId="50C292F3">
                  <w:pPr>
                    <w:jc w:val="center"/>
                    <w:rPr>
                      <w:color w:val="auto"/>
                      <w:sz w:val="18"/>
                      <w:szCs w:val="18"/>
                      <w:highlight w:val="none"/>
                    </w:rPr>
                  </w:pPr>
                </w:p>
              </w:tc>
            </w:tr>
          </w:tbl>
          <w:p w14:paraId="149641EC">
            <w:pPr>
              <w:spacing w:line="360" w:lineRule="auto"/>
              <w:ind w:firstLine="420" w:firstLineChars="200"/>
              <w:rPr>
                <w:b/>
                <w:color w:val="auto"/>
                <w:kern w:val="0"/>
                <w:szCs w:val="21"/>
                <w:highlight w:val="none"/>
              </w:rPr>
            </w:pPr>
            <w:r>
              <w:rPr>
                <w:rFonts w:hint="default"/>
                <w:bCs/>
                <w:color w:val="auto"/>
                <w:szCs w:val="21"/>
                <w:highlight w:val="none"/>
              </w:rPr>
              <w:t>综上所知，本项目正常工况下，各排气筒均能做到达标排放。</w:t>
            </w:r>
          </w:p>
          <w:p w14:paraId="25ED1218">
            <w:pPr>
              <w:numPr>
                <w:ilvl w:val="0"/>
                <w:numId w:val="7"/>
              </w:numPr>
              <w:adjustRightInd w:val="0"/>
              <w:snapToGrid w:val="0"/>
              <w:spacing w:line="360" w:lineRule="auto"/>
              <w:rPr>
                <w:b/>
                <w:color w:val="auto"/>
                <w:kern w:val="0"/>
                <w:szCs w:val="21"/>
                <w:highlight w:val="none"/>
              </w:rPr>
            </w:pPr>
            <w:r>
              <w:rPr>
                <w:rFonts w:hint="default"/>
                <w:b/>
                <w:color w:val="auto"/>
                <w:kern w:val="0"/>
                <w:szCs w:val="21"/>
                <w:highlight w:val="none"/>
              </w:rPr>
              <w:t>废气污染防治措施可行性分析</w:t>
            </w:r>
          </w:p>
          <w:p w14:paraId="7D3CAFDC">
            <w:pPr>
              <w:adjustRightInd w:val="0"/>
              <w:snapToGrid w:val="0"/>
              <w:spacing w:line="360" w:lineRule="auto"/>
              <w:ind w:firstLine="420" w:firstLineChars="200"/>
              <w:rPr>
                <w:rFonts w:hint="default"/>
                <w:bCs/>
                <w:color w:val="auto"/>
                <w:kern w:val="0"/>
                <w:szCs w:val="21"/>
                <w:highlight w:val="none"/>
              </w:rPr>
            </w:pPr>
            <w:r>
              <w:rPr>
                <w:rFonts w:hint="default"/>
                <w:bCs/>
                <w:color w:val="auto"/>
                <w:kern w:val="0"/>
                <w:szCs w:val="21"/>
                <w:highlight w:val="none"/>
                <w:lang w:val="en-US" w:eastAsia="zh-CN"/>
              </w:rPr>
              <w:t>由于无钠离子电池生产可参考的相关标准，本项目</w:t>
            </w:r>
            <w:r>
              <w:rPr>
                <w:rFonts w:hint="default"/>
                <w:bCs/>
                <w:color w:val="auto"/>
                <w:kern w:val="0"/>
                <w:szCs w:val="21"/>
                <w:highlight w:val="none"/>
              </w:rPr>
              <w:t>参照《排污许可证申请与核发技术规范 电池工业》（HJ 967-2018）中表19、表24“锂锰电池”的相关要求，项目废气处理措施可行性分析见表</w:t>
            </w:r>
            <w:r>
              <w:rPr>
                <w:rFonts w:hint="default"/>
                <w:bCs/>
                <w:color w:val="auto"/>
                <w:kern w:val="0"/>
                <w:szCs w:val="21"/>
                <w:highlight w:val="none"/>
                <w:lang w:val="en-US" w:eastAsia="zh-CN"/>
              </w:rPr>
              <w:t>4-</w:t>
            </w:r>
            <w:r>
              <w:rPr>
                <w:rFonts w:hint="eastAsia" w:ascii="Times New Roman" w:hAnsi="Times New Roman" w:cs="Times New Roman"/>
                <w:bCs/>
                <w:color w:val="auto"/>
                <w:kern w:val="0"/>
                <w:szCs w:val="21"/>
                <w:highlight w:val="none"/>
                <w:lang w:val="en-US" w:eastAsia="zh-CN"/>
              </w:rPr>
              <w:t>5</w:t>
            </w:r>
            <w:r>
              <w:rPr>
                <w:rFonts w:hint="default"/>
                <w:bCs/>
                <w:color w:val="auto"/>
                <w:kern w:val="0"/>
                <w:szCs w:val="21"/>
                <w:highlight w:val="none"/>
              </w:rPr>
              <w:t>：</w:t>
            </w:r>
          </w:p>
          <w:p w14:paraId="73BB5075">
            <w:pPr>
              <w:numPr>
                <w:ilvl w:val="0"/>
                <w:numId w:val="8"/>
              </w:numPr>
              <w:spacing w:line="360" w:lineRule="auto"/>
              <w:jc w:val="center"/>
              <w:rPr>
                <w:color w:val="auto"/>
                <w:szCs w:val="21"/>
                <w:highlight w:val="none"/>
              </w:rPr>
            </w:pPr>
            <w:r>
              <w:rPr>
                <w:rFonts w:hint="default" w:ascii="Times New Roman" w:hAnsi="Times New Roman" w:eastAsia="黑体" w:cs="Times New Roman"/>
                <w:b w:val="0"/>
                <w:bCs w:val="0"/>
                <w:color w:val="auto"/>
                <w:spacing w:val="-10"/>
                <w:szCs w:val="21"/>
                <w:highlight w:val="none"/>
                <w:lang w:val="en-US" w:eastAsia="zh-CN"/>
              </w:rPr>
              <w:t xml:space="preserve"> </w:t>
            </w:r>
            <w:r>
              <w:rPr>
                <w:rFonts w:hint="default" w:ascii="Times New Roman" w:hAnsi="Times New Roman" w:eastAsia="黑体" w:cs="Times New Roman"/>
                <w:b w:val="0"/>
                <w:bCs w:val="0"/>
                <w:color w:val="auto"/>
                <w:spacing w:val="-10"/>
                <w:szCs w:val="21"/>
                <w:highlight w:val="none"/>
                <w:lang w:val="zh-CN"/>
              </w:rPr>
              <w:t>项目</w:t>
            </w:r>
            <w:r>
              <w:rPr>
                <w:rFonts w:hint="default" w:ascii="Times New Roman" w:hAnsi="Times New Roman" w:eastAsia="黑体" w:cs="Times New Roman"/>
                <w:b w:val="0"/>
                <w:bCs w:val="0"/>
                <w:color w:val="auto"/>
                <w:spacing w:val="-10"/>
                <w:szCs w:val="21"/>
                <w:highlight w:val="none"/>
                <w:lang w:val="en-US" w:eastAsia="zh-CN"/>
              </w:rPr>
              <w:t>废气处理措施与无组织控制要求可行性分析一览表</w:t>
            </w:r>
          </w:p>
          <w:tbl>
            <w:tblPr>
              <w:tblStyle w:val="25"/>
              <w:tblW w:w="5000" w:type="pct"/>
              <w:tblInd w:w="-1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645"/>
              <w:gridCol w:w="768"/>
              <w:gridCol w:w="2412"/>
              <w:gridCol w:w="2961"/>
              <w:gridCol w:w="815"/>
            </w:tblGrid>
            <w:tr w14:paraId="174E857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24" w:type="pct"/>
                  <w:tcBorders>
                    <w:tl2br w:val="nil"/>
                    <w:tr2bl w:val="nil"/>
                  </w:tcBorders>
                  <w:vAlign w:val="center"/>
                </w:tcPr>
                <w:p w14:paraId="7979B4EA">
                  <w:pPr>
                    <w:adjustRightInd w:val="0"/>
                    <w:snapToGrid w:val="0"/>
                    <w:jc w:val="center"/>
                    <w:rPr>
                      <w:bCs/>
                      <w:color w:val="auto"/>
                      <w:kern w:val="0"/>
                      <w:sz w:val="18"/>
                      <w:szCs w:val="18"/>
                      <w:highlight w:val="none"/>
                    </w:rPr>
                  </w:pPr>
                  <w:r>
                    <w:rPr>
                      <w:rFonts w:hint="default"/>
                      <w:bCs/>
                      <w:color w:val="auto"/>
                      <w:kern w:val="0"/>
                      <w:sz w:val="18"/>
                      <w:szCs w:val="18"/>
                      <w:highlight w:val="none"/>
                    </w:rPr>
                    <w:t>排放形式</w:t>
                  </w:r>
                </w:p>
              </w:tc>
              <w:tc>
                <w:tcPr>
                  <w:tcW w:w="505" w:type="pct"/>
                  <w:tcBorders>
                    <w:tl2br w:val="nil"/>
                    <w:tr2bl w:val="nil"/>
                  </w:tcBorders>
                  <w:vAlign w:val="center"/>
                </w:tcPr>
                <w:p w14:paraId="4BB05677">
                  <w:pPr>
                    <w:adjustRightInd w:val="0"/>
                    <w:snapToGrid w:val="0"/>
                    <w:jc w:val="center"/>
                    <w:rPr>
                      <w:bCs/>
                      <w:color w:val="auto"/>
                      <w:kern w:val="0"/>
                      <w:sz w:val="18"/>
                      <w:szCs w:val="18"/>
                      <w:highlight w:val="none"/>
                    </w:rPr>
                  </w:pPr>
                  <w:r>
                    <w:rPr>
                      <w:rFonts w:hint="default"/>
                      <w:bCs/>
                      <w:color w:val="auto"/>
                      <w:kern w:val="0"/>
                      <w:sz w:val="18"/>
                      <w:szCs w:val="18"/>
                      <w:highlight w:val="none"/>
                    </w:rPr>
                    <w:t>主要污染物</w:t>
                  </w:r>
                </w:p>
              </w:tc>
              <w:tc>
                <w:tcPr>
                  <w:tcW w:w="1586" w:type="pct"/>
                  <w:tcBorders>
                    <w:tl2br w:val="nil"/>
                    <w:tr2bl w:val="nil"/>
                  </w:tcBorders>
                  <w:vAlign w:val="center"/>
                </w:tcPr>
                <w:p w14:paraId="5118E383">
                  <w:pPr>
                    <w:adjustRightInd w:val="0"/>
                    <w:snapToGrid w:val="0"/>
                    <w:jc w:val="center"/>
                    <w:rPr>
                      <w:bCs/>
                      <w:color w:val="auto"/>
                      <w:kern w:val="0"/>
                      <w:sz w:val="18"/>
                      <w:szCs w:val="18"/>
                      <w:highlight w:val="none"/>
                    </w:rPr>
                  </w:pPr>
                  <w:r>
                    <w:rPr>
                      <w:rFonts w:hint="default"/>
                      <w:bCs/>
                      <w:color w:val="auto"/>
                      <w:kern w:val="0"/>
                      <w:sz w:val="18"/>
                      <w:szCs w:val="18"/>
                      <w:highlight w:val="none"/>
                    </w:rPr>
                    <w:t>废气污染防治可行技术/无组织控制要求</w:t>
                  </w:r>
                </w:p>
              </w:tc>
              <w:tc>
                <w:tcPr>
                  <w:tcW w:w="1947" w:type="pct"/>
                  <w:tcBorders>
                    <w:tl2br w:val="nil"/>
                    <w:tr2bl w:val="nil"/>
                  </w:tcBorders>
                  <w:vAlign w:val="center"/>
                </w:tcPr>
                <w:p w14:paraId="58739F0B">
                  <w:pPr>
                    <w:adjustRightInd w:val="0"/>
                    <w:snapToGrid w:val="0"/>
                    <w:jc w:val="center"/>
                    <w:rPr>
                      <w:bCs/>
                      <w:color w:val="auto"/>
                      <w:kern w:val="0"/>
                      <w:sz w:val="18"/>
                      <w:szCs w:val="18"/>
                      <w:highlight w:val="none"/>
                    </w:rPr>
                  </w:pPr>
                  <w:r>
                    <w:rPr>
                      <w:rFonts w:hint="default"/>
                      <w:bCs/>
                      <w:color w:val="auto"/>
                      <w:kern w:val="0"/>
                      <w:sz w:val="18"/>
                      <w:szCs w:val="18"/>
                      <w:highlight w:val="none"/>
                    </w:rPr>
                    <w:t>本项目采取的措施</w:t>
                  </w:r>
                </w:p>
              </w:tc>
              <w:tc>
                <w:tcPr>
                  <w:tcW w:w="536" w:type="pct"/>
                  <w:tcBorders>
                    <w:tl2br w:val="nil"/>
                    <w:tr2bl w:val="nil"/>
                  </w:tcBorders>
                  <w:vAlign w:val="center"/>
                </w:tcPr>
                <w:p w14:paraId="531EAB37">
                  <w:pPr>
                    <w:adjustRightInd w:val="0"/>
                    <w:snapToGrid w:val="0"/>
                    <w:jc w:val="center"/>
                    <w:rPr>
                      <w:bCs/>
                      <w:color w:val="auto"/>
                      <w:kern w:val="0"/>
                      <w:sz w:val="18"/>
                      <w:szCs w:val="18"/>
                      <w:highlight w:val="none"/>
                    </w:rPr>
                  </w:pPr>
                  <w:r>
                    <w:rPr>
                      <w:rFonts w:hint="default"/>
                      <w:bCs/>
                      <w:color w:val="auto"/>
                      <w:kern w:val="0"/>
                      <w:sz w:val="18"/>
                      <w:szCs w:val="18"/>
                      <w:highlight w:val="none"/>
                    </w:rPr>
                    <w:t>可行性分析</w:t>
                  </w:r>
                </w:p>
              </w:tc>
            </w:tr>
            <w:tr w14:paraId="647646D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24" w:type="pct"/>
                  <w:vMerge w:val="restart"/>
                  <w:tcBorders>
                    <w:tl2br w:val="nil"/>
                    <w:tr2bl w:val="nil"/>
                  </w:tcBorders>
                  <w:vAlign w:val="center"/>
                </w:tcPr>
                <w:p w14:paraId="2C8D6F03">
                  <w:pPr>
                    <w:adjustRightInd w:val="0"/>
                    <w:snapToGrid w:val="0"/>
                    <w:jc w:val="center"/>
                    <w:rPr>
                      <w:bCs/>
                      <w:color w:val="auto"/>
                      <w:kern w:val="0"/>
                      <w:sz w:val="18"/>
                      <w:szCs w:val="18"/>
                      <w:highlight w:val="none"/>
                    </w:rPr>
                  </w:pPr>
                  <w:r>
                    <w:rPr>
                      <w:rFonts w:hint="default"/>
                      <w:bCs/>
                      <w:color w:val="auto"/>
                      <w:kern w:val="0"/>
                      <w:sz w:val="18"/>
                      <w:szCs w:val="18"/>
                      <w:highlight w:val="none"/>
                    </w:rPr>
                    <w:t>有组织排放</w:t>
                  </w:r>
                </w:p>
              </w:tc>
              <w:tc>
                <w:tcPr>
                  <w:tcW w:w="505" w:type="pct"/>
                  <w:tcBorders>
                    <w:tl2br w:val="nil"/>
                    <w:tr2bl w:val="nil"/>
                  </w:tcBorders>
                  <w:vAlign w:val="center"/>
                </w:tcPr>
                <w:p w14:paraId="173C65CB">
                  <w:pPr>
                    <w:adjustRightInd w:val="0"/>
                    <w:snapToGrid w:val="0"/>
                    <w:jc w:val="center"/>
                    <w:rPr>
                      <w:bCs/>
                      <w:color w:val="auto"/>
                      <w:kern w:val="0"/>
                      <w:sz w:val="18"/>
                      <w:szCs w:val="18"/>
                      <w:highlight w:val="none"/>
                    </w:rPr>
                  </w:pPr>
                  <w:r>
                    <w:rPr>
                      <w:rFonts w:hint="default"/>
                      <w:bCs/>
                      <w:color w:val="auto"/>
                      <w:kern w:val="0"/>
                      <w:sz w:val="18"/>
                      <w:szCs w:val="18"/>
                      <w:highlight w:val="none"/>
                    </w:rPr>
                    <w:t>颗粒物</w:t>
                  </w:r>
                </w:p>
              </w:tc>
              <w:tc>
                <w:tcPr>
                  <w:tcW w:w="1586" w:type="pct"/>
                  <w:tcBorders>
                    <w:tl2br w:val="nil"/>
                    <w:tr2bl w:val="nil"/>
                  </w:tcBorders>
                  <w:vAlign w:val="center"/>
                </w:tcPr>
                <w:p w14:paraId="2B03B00C">
                  <w:pPr>
                    <w:adjustRightInd w:val="0"/>
                    <w:snapToGrid w:val="0"/>
                    <w:jc w:val="both"/>
                    <w:rPr>
                      <w:bCs/>
                      <w:color w:val="auto"/>
                      <w:kern w:val="0"/>
                      <w:sz w:val="18"/>
                      <w:szCs w:val="18"/>
                      <w:highlight w:val="none"/>
                    </w:rPr>
                  </w:pPr>
                  <w:r>
                    <w:rPr>
                      <w:rFonts w:hint="default"/>
                      <w:bCs/>
                      <w:color w:val="auto"/>
                      <w:kern w:val="0"/>
                      <w:sz w:val="18"/>
                      <w:szCs w:val="18"/>
                      <w:highlight w:val="none"/>
                    </w:rPr>
                    <w:t>袋式除尘；静电除尘；旋风除尘+袋式除尘</w:t>
                  </w:r>
                </w:p>
              </w:tc>
              <w:tc>
                <w:tcPr>
                  <w:tcW w:w="1947" w:type="pct"/>
                  <w:tcBorders>
                    <w:tl2br w:val="nil"/>
                    <w:tr2bl w:val="nil"/>
                  </w:tcBorders>
                  <w:vAlign w:val="center"/>
                </w:tcPr>
                <w:p w14:paraId="6B5AE6F5">
                  <w:pPr>
                    <w:adjustRightInd w:val="0"/>
                    <w:snapToGrid w:val="0"/>
                    <w:jc w:val="both"/>
                    <w:rPr>
                      <w:bCs/>
                      <w:color w:val="auto"/>
                      <w:kern w:val="0"/>
                      <w:sz w:val="18"/>
                      <w:szCs w:val="18"/>
                      <w:highlight w:val="none"/>
                    </w:rPr>
                  </w:pPr>
                  <w:r>
                    <w:rPr>
                      <w:rFonts w:hint="default"/>
                      <w:bCs/>
                      <w:color w:val="auto"/>
                      <w:kern w:val="0"/>
                      <w:sz w:val="18"/>
                      <w:szCs w:val="18"/>
                      <w:highlight w:val="none"/>
                    </w:rPr>
                    <w:t>喷雾干燥、气流粉碎设备内置袋式除尘；随后密闭收集，经水喷淋-除雾</w:t>
                  </w:r>
                  <w:r>
                    <w:rPr>
                      <w:rFonts w:hint="eastAsia"/>
                      <w:bCs/>
                      <w:color w:val="auto"/>
                      <w:kern w:val="0"/>
                      <w:sz w:val="18"/>
                      <w:szCs w:val="18"/>
                      <w:highlight w:val="none"/>
                      <w:lang w:val="en-US" w:eastAsia="zh-CN"/>
                    </w:rPr>
                    <w:t>除湿</w:t>
                  </w:r>
                  <w:r>
                    <w:rPr>
                      <w:rFonts w:hint="default"/>
                      <w:bCs/>
                      <w:color w:val="auto"/>
                      <w:kern w:val="0"/>
                      <w:sz w:val="18"/>
                      <w:szCs w:val="18"/>
                      <w:highlight w:val="none"/>
                    </w:rPr>
                    <w:t>-</w:t>
                  </w:r>
                  <w:r>
                    <w:rPr>
                      <w:rFonts w:hint="eastAsia"/>
                      <w:bCs/>
                      <w:color w:val="auto"/>
                      <w:kern w:val="0"/>
                      <w:sz w:val="18"/>
                      <w:szCs w:val="18"/>
                      <w:highlight w:val="none"/>
                      <w:lang w:val="en-US" w:eastAsia="zh-CN"/>
                    </w:rPr>
                    <w:t>一级</w:t>
                  </w:r>
                  <w:r>
                    <w:rPr>
                      <w:rFonts w:hint="default"/>
                      <w:bCs/>
                      <w:color w:val="auto"/>
                      <w:kern w:val="0"/>
                      <w:sz w:val="18"/>
                      <w:szCs w:val="18"/>
                      <w:highlight w:val="none"/>
                    </w:rPr>
                    <w:t>活性炭吸附处理</w:t>
                  </w:r>
                </w:p>
              </w:tc>
              <w:tc>
                <w:tcPr>
                  <w:tcW w:w="536" w:type="pct"/>
                  <w:tcBorders>
                    <w:tl2br w:val="nil"/>
                    <w:tr2bl w:val="nil"/>
                  </w:tcBorders>
                  <w:vAlign w:val="center"/>
                </w:tcPr>
                <w:p w14:paraId="6AD6C018">
                  <w:pPr>
                    <w:adjustRightInd w:val="0"/>
                    <w:snapToGrid w:val="0"/>
                    <w:jc w:val="center"/>
                    <w:rPr>
                      <w:bCs/>
                      <w:color w:val="auto"/>
                      <w:kern w:val="0"/>
                      <w:sz w:val="18"/>
                      <w:szCs w:val="18"/>
                      <w:highlight w:val="none"/>
                    </w:rPr>
                  </w:pPr>
                  <w:r>
                    <w:rPr>
                      <w:rFonts w:hint="default"/>
                      <w:bCs/>
                      <w:color w:val="auto"/>
                      <w:kern w:val="0"/>
                      <w:sz w:val="18"/>
                      <w:szCs w:val="18"/>
                      <w:highlight w:val="none"/>
                    </w:rPr>
                    <w:t>可行</w:t>
                  </w:r>
                </w:p>
              </w:tc>
            </w:tr>
            <w:tr w14:paraId="664AD7B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24" w:type="pct"/>
                  <w:vMerge w:val="continue"/>
                  <w:tcBorders>
                    <w:tl2br w:val="nil"/>
                    <w:tr2bl w:val="nil"/>
                  </w:tcBorders>
                  <w:vAlign w:val="center"/>
                </w:tcPr>
                <w:p w14:paraId="5DB55557">
                  <w:pPr>
                    <w:adjustRightInd w:val="0"/>
                    <w:snapToGrid w:val="0"/>
                    <w:jc w:val="center"/>
                    <w:rPr>
                      <w:bCs/>
                      <w:color w:val="auto"/>
                      <w:kern w:val="0"/>
                      <w:sz w:val="18"/>
                      <w:szCs w:val="18"/>
                      <w:highlight w:val="none"/>
                    </w:rPr>
                  </w:pPr>
                </w:p>
              </w:tc>
              <w:tc>
                <w:tcPr>
                  <w:tcW w:w="505" w:type="pct"/>
                  <w:tcBorders>
                    <w:tl2br w:val="nil"/>
                    <w:tr2bl w:val="nil"/>
                  </w:tcBorders>
                  <w:vAlign w:val="center"/>
                </w:tcPr>
                <w:p w14:paraId="21FF6075">
                  <w:pPr>
                    <w:adjustRightInd w:val="0"/>
                    <w:snapToGrid w:val="0"/>
                    <w:jc w:val="center"/>
                    <w:rPr>
                      <w:bCs/>
                      <w:color w:val="auto"/>
                      <w:kern w:val="0"/>
                      <w:sz w:val="18"/>
                      <w:szCs w:val="18"/>
                      <w:highlight w:val="none"/>
                    </w:rPr>
                  </w:pPr>
                  <w:r>
                    <w:rPr>
                      <w:rFonts w:hint="default"/>
                      <w:bCs/>
                      <w:color w:val="auto"/>
                      <w:kern w:val="0"/>
                      <w:sz w:val="18"/>
                      <w:szCs w:val="18"/>
                      <w:highlight w:val="none"/>
                    </w:rPr>
                    <w:t>非甲烷总烃</w:t>
                  </w:r>
                </w:p>
              </w:tc>
              <w:tc>
                <w:tcPr>
                  <w:tcW w:w="1586" w:type="pct"/>
                  <w:tcBorders>
                    <w:tl2br w:val="nil"/>
                    <w:tr2bl w:val="nil"/>
                  </w:tcBorders>
                  <w:vAlign w:val="center"/>
                </w:tcPr>
                <w:p w14:paraId="023C0E21">
                  <w:pPr>
                    <w:adjustRightInd w:val="0"/>
                    <w:snapToGrid w:val="0"/>
                    <w:jc w:val="both"/>
                    <w:rPr>
                      <w:bCs/>
                      <w:color w:val="auto"/>
                      <w:kern w:val="0"/>
                      <w:sz w:val="18"/>
                      <w:szCs w:val="18"/>
                      <w:highlight w:val="none"/>
                    </w:rPr>
                  </w:pPr>
                  <w:r>
                    <w:rPr>
                      <w:rFonts w:hint="default"/>
                      <w:bCs/>
                      <w:color w:val="auto"/>
                      <w:kern w:val="0"/>
                      <w:sz w:val="18"/>
                      <w:szCs w:val="18"/>
                      <w:highlight w:val="none"/>
                    </w:rPr>
                    <w:t>活性炭吸附</w:t>
                  </w:r>
                </w:p>
              </w:tc>
              <w:tc>
                <w:tcPr>
                  <w:tcW w:w="1947" w:type="pct"/>
                  <w:tcBorders>
                    <w:tl2br w:val="nil"/>
                    <w:tr2bl w:val="nil"/>
                  </w:tcBorders>
                  <w:vAlign w:val="center"/>
                </w:tcPr>
                <w:p w14:paraId="402891B6">
                  <w:pPr>
                    <w:adjustRightInd w:val="0"/>
                    <w:snapToGrid w:val="0"/>
                    <w:jc w:val="both"/>
                    <w:rPr>
                      <w:bCs/>
                      <w:color w:val="auto"/>
                      <w:kern w:val="0"/>
                      <w:sz w:val="18"/>
                      <w:szCs w:val="18"/>
                      <w:highlight w:val="none"/>
                    </w:rPr>
                  </w:pPr>
                  <w:r>
                    <w:rPr>
                      <w:rFonts w:hint="default"/>
                      <w:bCs/>
                      <w:color w:val="auto"/>
                      <w:kern w:val="0"/>
                      <w:sz w:val="18"/>
                      <w:szCs w:val="18"/>
                      <w:highlight w:val="none"/>
                    </w:rPr>
                    <w:t>烧结过程中物料分解产生的少量VOCs经过密闭收集</w:t>
                  </w:r>
                  <w:r>
                    <w:rPr>
                      <w:rFonts w:hint="eastAsia"/>
                      <w:bCs/>
                      <w:color w:val="auto"/>
                      <w:kern w:val="0"/>
                      <w:sz w:val="18"/>
                      <w:szCs w:val="18"/>
                      <w:highlight w:val="none"/>
                      <w:lang w:eastAsia="zh-CN"/>
                    </w:rPr>
                    <w:t>；</w:t>
                  </w:r>
                  <w:r>
                    <w:rPr>
                      <w:rFonts w:hint="eastAsia"/>
                      <w:bCs/>
                      <w:color w:val="auto"/>
                      <w:kern w:val="0"/>
                      <w:sz w:val="18"/>
                      <w:szCs w:val="18"/>
                      <w:highlight w:val="none"/>
                      <w:lang w:val="en-US" w:eastAsia="zh-CN"/>
                    </w:rPr>
                    <w:t>NMP挥发废气经通风橱收集；末端处理装置为</w:t>
                  </w:r>
                  <w:r>
                    <w:rPr>
                      <w:rFonts w:hint="default"/>
                      <w:bCs/>
                      <w:color w:val="auto"/>
                      <w:kern w:val="0"/>
                      <w:sz w:val="18"/>
                      <w:szCs w:val="18"/>
                      <w:highlight w:val="none"/>
                    </w:rPr>
                    <w:t>水喷淋-除雾</w:t>
                  </w:r>
                  <w:r>
                    <w:rPr>
                      <w:rFonts w:hint="eastAsia"/>
                      <w:bCs/>
                      <w:color w:val="auto"/>
                      <w:kern w:val="0"/>
                      <w:sz w:val="18"/>
                      <w:szCs w:val="18"/>
                      <w:highlight w:val="none"/>
                      <w:lang w:val="en-US" w:eastAsia="zh-CN"/>
                    </w:rPr>
                    <w:t>除湿</w:t>
                  </w:r>
                  <w:r>
                    <w:rPr>
                      <w:rFonts w:hint="default"/>
                      <w:bCs/>
                      <w:color w:val="auto"/>
                      <w:kern w:val="0"/>
                      <w:sz w:val="18"/>
                      <w:szCs w:val="18"/>
                      <w:highlight w:val="none"/>
                    </w:rPr>
                    <w:t>-</w:t>
                  </w:r>
                  <w:r>
                    <w:rPr>
                      <w:rFonts w:hint="eastAsia"/>
                      <w:bCs/>
                      <w:color w:val="auto"/>
                      <w:kern w:val="0"/>
                      <w:sz w:val="18"/>
                      <w:szCs w:val="18"/>
                      <w:highlight w:val="none"/>
                      <w:lang w:val="en-US" w:eastAsia="zh-CN"/>
                    </w:rPr>
                    <w:t>一级</w:t>
                  </w:r>
                  <w:r>
                    <w:rPr>
                      <w:rFonts w:hint="default"/>
                      <w:bCs/>
                      <w:color w:val="auto"/>
                      <w:kern w:val="0"/>
                      <w:sz w:val="18"/>
                      <w:szCs w:val="18"/>
                      <w:highlight w:val="none"/>
                    </w:rPr>
                    <w:t>活性炭吸附</w:t>
                  </w:r>
                </w:p>
              </w:tc>
              <w:tc>
                <w:tcPr>
                  <w:tcW w:w="536" w:type="pct"/>
                  <w:tcBorders>
                    <w:tl2br w:val="nil"/>
                    <w:tr2bl w:val="nil"/>
                  </w:tcBorders>
                  <w:vAlign w:val="center"/>
                </w:tcPr>
                <w:p w14:paraId="5C297D87">
                  <w:pPr>
                    <w:adjustRightInd w:val="0"/>
                    <w:snapToGrid w:val="0"/>
                    <w:jc w:val="center"/>
                    <w:rPr>
                      <w:bCs/>
                      <w:color w:val="auto"/>
                      <w:kern w:val="0"/>
                      <w:sz w:val="18"/>
                      <w:szCs w:val="18"/>
                      <w:highlight w:val="none"/>
                    </w:rPr>
                  </w:pPr>
                  <w:r>
                    <w:rPr>
                      <w:rFonts w:hint="default"/>
                      <w:bCs/>
                      <w:color w:val="auto"/>
                      <w:kern w:val="0"/>
                      <w:sz w:val="18"/>
                      <w:szCs w:val="18"/>
                      <w:highlight w:val="none"/>
                    </w:rPr>
                    <w:t>可行</w:t>
                  </w:r>
                </w:p>
              </w:tc>
            </w:tr>
            <w:tr w14:paraId="2C91537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24" w:type="pct"/>
                  <w:tcBorders>
                    <w:tl2br w:val="nil"/>
                    <w:tr2bl w:val="nil"/>
                  </w:tcBorders>
                  <w:vAlign w:val="center"/>
                </w:tcPr>
                <w:p w14:paraId="61832F4C">
                  <w:pPr>
                    <w:adjustRightInd w:val="0"/>
                    <w:snapToGrid w:val="0"/>
                    <w:jc w:val="center"/>
                    <w:rPr>
                      <w:bCs/>
                      <w:color w:val="auto"/>
                      <w:kern w:val="0"/>
                      <w:sz w:val="18"/>
                      <w:szCs w:val="18"/>
                      <w:highlight w:val="none"/>
                    </w:rPr>
                  </w:pPr>
                  <w:r>
                    <w:rPr>
                      <w:rFonts w:hint="default"/>
                      <w:bCs/>
                      <w:color w:val="auto"/>
                      <w:kern w:val="0"/>
                      <w:sz w:val="18"/>
                      <w:szCs w:val="18"/>
                      <w:highlight w:val="none"/>
                    </w:rPr>
                    <w:t>无组织排放</w:t>
                  </w:r>
                </w:p>
              </w:tc>
              <w:tc>
                <w:tcPr>
                  <w:tcW w:w="505" w:type="pct"/>
                  <w:tcBorders>
                    <w:tl2br w:val="nil"/>
                    <w:tr2bl w:val="nil"/>
                  </w:tcBorders>
                  <w:vAlign w:val="center"/>
                </w:tcPr>
                <w:p w14:paraId="15BD6BDF">
                  <w:pPr>
                    <w:adjustRightInd w:val="0"/>
                    <w:snapToGrid w:val="0"/>
                    <w:jc w:val="center"/>
                    <w:rPr>
                      <w:bCs/>
                      <w:color w:val="auto"/>
                      <w:kern w:val="0"/>
                      <w:sz w:val="18"/>
                      <w:szCs w:val="18"/>
                      <w:highlight w:val="none"/>
                    </w:rPr>
                  </w:pPr>
                  <w:r>
                    <w:rPr>
                      <w:rFonts w:hint="default"/>
                      <w:bCs/>
                      <w:color w:val="auto"/>
                      <w:kern w:val="0"/>
                      <w:sz w:val="18"/>
                      <w:szCs w:val="18"/>
                      <w:highlight w:val="none"/>
                    </w:rPr>
                    <w:t>颗粒物</w:t>
                  </w:r>
                </w:p>
              </w:tc>
              <w:tc>
                <w:tcPr>
                  <w:tcW w:w="1586" w:type="pct"/>
                  <w:tcBorders>
                    <w:tl2br w:val="nil"/>
                    <w:tr2bl w:val="nil"/>
                  </w:tcBorders>
                  <w:vAlign w:val="center"/>
                </w:tcPr>
                <w:p w14:paraId="5E319296">
                  <w:pPr>
                    <w:adjustRightInd w:val="0"/>
                    <w:snapToGrid w:val="0"/>
                    <w:jc w:val="both"/>
                    <w:rPr>
                      <w:bCs/>
                      <w:color w:val="auto"/>
                      <w:kern w:val="0"/>
                      <w:sz w:val="18"/>
                      <w:szCs w:val="18"/>
                      <w:highlight w:val="none"/>
                    </w:rPr>
                  </w:pPr>
                  <w:r>
                    <w:rPr>
                      <w:rFonts w:hint="default"/>
                      <w:bCs/>
                      <w:color w:val="auto"/>
                      <w:kern w:val="0"/>
                      <w:sz w:val="18"/>
                      <w:szCs w:val="18"/>
                      <w:highlight w:val="none"/>
                    </w:rPr>
                    <w:t>加强密闭；收集送除尘处理装置处理（旋风除尘、袋式除尘、旋风+袋式除尘）</w:t>
                  </w:r>
                </w:p>
              </w:tc>
              <w:tc>
                <w:tcPr>
                  <w:tcW w:w="1947" w:type="pct"/>
                  <w:tcBorders>
                    <w:tl2br w:val="nil"/>
                    <w:tr2bl w:val="nil"/>
                  </w:tcBorders>
                  <w:vAlign w:val="center"/>
                </w:tcPr>
                <w:p w14:paraId="0FB65300">
                  <w:pPr>
                    <w:adjustRightInd w:val="0"/>
                    <w:snapToGrid w:val="0"/>
                    <w:jc w:val="both"/>
                    <w:rPr>
                      <w:bCs/>
                      <w:color w:val="auto"/>
                      <w:kern w:val="0"/>
                      <w:sz w:val="18"/>
                      <w:szCs w:val="18"/>
                      <w:highlight w:val="none"/>
                    </w:rPr>
                  </w:pPr>
                  <w:r>
                    <w:rPr>
                      <w:rFonts w:hint="default"/>
                      <w:bCs/>
                      <w:color w:val="auto"/>
                      <w:kern w:val="0"/>
                      <w:sz w:val="18"/>
                      <w:szCs w:val="18"/>
                      <w:highlight w:val="none"/>
                    </w:rPr>
                    <w:t>项目使用原料量较少，且物料密度大，无组织粉尘产生量极少</w:t>
                  </w:r>
                </w:p>
              </w:tc>
              <w:tc>
                <w:tcPr>
                  <w:tcW w:w="536" w:type="pct"/>
                  <w:tcBorders>
                    <w:tl2br w:val="nil"/>
                    <w:tr2bl w:val="nil"/>
                  </w:tcBorders>
                  <w:vAlign w:val="center"/>
                </w:tcPr>
                <w:p w14:paraId="79419182">
                  <w:pPr>
                    <w:adjustRightInd w:val="0"/>
                    <w:snapToGrid w:val="0"/>
                    <w:jc w:val="center"/>
                    <w:rPr>
                      <w:bCs/>
                      <w:color w:val="auto"/>
                      <w:kern w:val="0"/>
                      <w:sz w:val="18"/>
                      <w:szCs w:val="18"/>
                      <w:highlight w:val="none"/>
                    </w:rPr>
                  </w:pPr>
                  <w:r>
                    <w:rPr>
                      <w:rFonts w:hint="default"/>
                      <w:bCs/>
                      <w:color w:val="auto"/>
                      <w:kern w:val="0"/>
                      <w:sz w:val="18"/>
                      <w:szCs w:val="18"/>
                      <w:highlight w:val="none"/>
                    </w:rPr>
                    <w:t>可行</w:t>
                  </w:r>
                </w:p>
              </w:tc>
            </w:tr>
          </w:tbl>
          <w:p w14:paraId="2F5B68D6">
            <w:pPr>
              <w:adjustRightInd w:val="0"/>
              <w:snapToGrid w:val="0"/>
              <w:spacing w:line="360" w:lineRule="auto"/>
              <w:rPr>
                <w:bCs/>
                <w:color w:val="auto"/>
                <w:kern w:val="0"/>
                <w:szCs w:val="21"/>
                <w:highlight w:val="none"/>
              </w:rPr>
            </w:pPr>
          </w:p>
          <w:p w14:paraId="39E33BE1">
            <w:pPr>
              <w:numPr>
                <w:ilvl w:val="0"/>
                <w:numId w:val="7"/>
              </w:numPr>
              <w:adjustRightInd w:val="0"/>
              <w:snapToGrid w:val="0"/>
              <w:spacing w:line="360" w:lineRule="auto"/>
              <w:rPr>
                <w:b/>
                <w:color w:val="auto"/>
                <w:kern w:val="0"/>
                <w:szCs w:val="21"/>
                <w:highlight w:val="none"/>
              </w:rPr>
            </w:pPr>
            <w:r>
              <w:rPr>
                <w:rFonts w:hint="default"/>
                <w:b/>
                <w:color w:val="auto"/>
                <w:kern w:val="0"/>
                <w:szCs w:val="21"/>
                <w:highlight w:val="none"/>
              </w:rPr>
              <w:t>恶臭影响及防治措施可行性分析</w:t>
            </w:r>
          </w:p>
          <w:p w14:paraId="0FDE5B13">
            <w:pPr>
              <w:adjustRightInd w:val="0"/>
              <w:snapToGrid w:val="0"/>
              <w:spacing w:line="360" w:lineRule="auto"/>
              <w:ind w:firstLine="420" w:firstLineChars="200"/>
              <w:rPr>
                <w:rFonts w:hint="default"/>
                <w:bCs/>
                <w:color w:val="auto"/>
                <w:kern w:val="0"/>
                <w:szCs w:val="21"/>
                <w:highlight w:val="none"/>
              </w:rPr>
            </w:pPr>
            <w:r>
              <w:rPr>
                <w:rFonts w:hint="default"/>
                <w:bCs/>
                <w:color w:val="auto"/>
                <w:kern w:val="0"/>
                <w:szCs w:val="21"/>
                <w:highlight w:val="none"/>
              </w:rPr>
              <w:t>根据企业工程经验，气氛烧结中会产生恶臭，主要来源为物料热分解产生的酮类、醛类等物质。参照《浙江省工业企业恶臭异味管控技术指南（试行）》，附件中表D.15，项目恶臭防治措施可行性分析</w:t>
            </w:r>
            <w:r>
              <w:rPr>
                <w:rFonts w:hint="default"/>
                <w:bCs/>
                <w:color w:val="auto"/>
                <w:kern w:val="0"/>
                <w:szCs w:val="21"/>
                <w:highlight w:val="none"/>
                <w:lang w:val="en-US" w:eastAsia="zh-CN"/>
              </w:rPr>
              <w:t>见</w:t>
            </w:r>
            <w:r>
              <w:rPr>
                <w:rFonts w:hint="default"/>
                <w:bCs/>
                <w:color w:val="auto"/>
                <w:kern w:val="0"/>
                <w:szCs w:val="21"/>
                <w:highlight w:val="none"/>
              </w:rPr>
              <w:t>表</w:t>
            </w:r>
            <w:r>
              <w:rPr>
                <w:rFonts w:hint="default"/>
                <w:bCs/>
                <w:color w:val="auto"/>
                <w:kern w:val="0"/>
                <w:szCs w:val="21"/>
                <w:highlight w:val="none"/>
                <w:lang w:val="en-US" w:eastAsia="zh-CN"/>
              </w:rPr>
              <w:t>4-</w:t>
            </w:r>
            <w:r>
              <w:rPr>
                <w:rFonts w:hint="eastAsia" w:ascii="Times New Roman" w:hAnsi="Times New Roman" w:cs="Times New Roman"/>
                <w:bCs/>
                <w:color w:val="auto"/>
                <w:kern w:val="0"/>
                <w:szCs w:val="21"/>
                <w:highlight w:val="none"/>
                <w:lang w:val="en-US" w:eastAsia="zh-CN"/>
              </w:rPr>
              <w:t>6</w:t>
            </w:r>
            <w:r>
              <w:rPr>
                <w:rFonts w:hint="default"/>
                <w:bCs/>
                <w:color w:val="auto"/>
                <w:kern w:val="0"/>
                <w:szCs w:val="21"/>
                <w:highlight w:val="none"/>
              </w:rPr>
              <w:t>：</w:t>
            </w:r>
          </w:p>
          <w:p w14:paraId="11829C1D">
            <w:pPr>
              <w:numPr>
                <w:ilvl w:val="0"/>
                <w:numId w:val="8"/>
              </w:numPr>
              <w:spacing w:line="360" w:lineRule="auto"/>
              <w:jc w:val="center"/>
              <w:rPr>
                <w:rFonts w:hint="default"/>
                <w:bCs/>
                <w:color w:val="auto"/>
                <w:kern w:val="0"/>
                <w:szCs w:val="21"/>
                <w:highlight w:val="none"/>
              </w:rPr>
            </w:pPr>
            <w:r>
              <w:rPr>
                <w:rFonts w:hint="default" w:ascii="Times New Roman" w:hAnsi="Times New Roman" w:eastAsia="黑体" w:cs="Times New Roman"/>
                <w:b w:val="0"/>
                <w:bCs w:val="0"/>
                <w:color w:val="auto"/>
                <w:spacing w:val="-10"/>
                <w:szCs w:val="21"/>
                <w:highlight w:val="none"/>
                <w:lang w:val="en-US" w:eastAsia="zh-CN"/>
              </w:rPr>
              <w:t xml:space="preserve"> </w:t>
            </w:r>
            <w:r>
              <w:rPr>
                <w:rFonts w:hint="default" w:ascii="Times New Roman" w:hAnsi="Times New Roman" w:eastAsia="黑体" w:cs="Times New Roman"/>
                <w:b w:val="0"/>
                <w:bCs w:val="0"/>
                <w:color w:val="auto"/>
                <w:spacing w:val="-10"/>
                <w:szCs w:val="21"/>
                <w:highlight w:val="none"/>
                <w:lang w:val="zh-CN"/>
              </w:rPr>
              <w:t>项目</w:t>
            </w:r>
            <w:r>
              <w:rPr>
                <w:rFonts w:hint="default" w:ascii="Times New Roman" w:hAnsi="Times New Roman" w:eastAsia="黑体" w:cs="Times New Roman"/>
                <w:b w:val="0"/>
                <w:bCs w:val="0"/>
                <w:color w:val="auto"/>
                <w:spacing w:val="-10"/>
                <w:szCs w:val="21"/>
                <w:highlight w:val="none"/>
                <w:lang w:val="en-US" w:eastAsia="zh-CN"/>
              </w:rPr>
              <w:t>恶臭防治措施可行性一览表</w:t>
            </w:r>
          </w:p>
          <w:tbl>
            <w:tblPr>
              <w:tblStyle w:val="25"/>
              <w:tblW w:w="0" w:type="auto"/>
              <w:tblInd w:w="-1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391"/>
              <w:gridCol w:w="3502"/>
              <w:gridCol w:w="1770"/>
              <w:gridCol w:w="938"/>
            </w:tblGrid>
            <w:tr w14:paraId="67BDB28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395" w:type="dxa"/>
                  <w:tcBorders>
                    <w:tl2br w:val="nil"/>
                    <w:tr2bl w:val="nil"/>
                  </w:tcBorders>
                  <w:vAlign w:val="center"/>
                </w:tcPr>
                <w:p w14:paraId="13053F12">
                  <w:pPr>
                    <w:adjustRightInd w:val="0"/>
                    <w:snapToGrid w:val="0"/>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排查重点</w:t>
                  </w:r>
                </w:p>
              </w:tc>
              <w:tc>
                <w:tcPr>
                  <w:tcW w:w="3512" w:type="dxa"/>
                  <w:tcBorders>
                    <w:tl2br w:val="nil"/>
                    <w:tr2bl w:val="nil"/>
                  </w:tcBorders>
                  <w:vAlign w:val="center"/>
                </w:tcPr>
                <w:p w14:paraId="57F76C05">
                  <w:pPr>
                    <w:adjustRightInd w:val="0"/>
                    <w:snapToGrid w:val="0"/>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防治措施</w:t>
                  </w:r>
                </w:p>
              </w:tc>
              <w:tc>
                <w:tcPr>
                  <w:tcW w:w="1774" w:type="dxa"/>
                  <w:tcBorders>
                    <w:tl2br w:val="nil"/>
                    <w:tr2bl w:val="nil"/>
                  </w:tcBorders>
                  <w:vAlign w:val="center"/>
                </w:tcPr>
                <w:p w14:paraId="35C4AF80">
                  <w:pPr>
                    <w:adjustRightInd w:val="0"/>
                    <w:snapToGrid w:val="0"/>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本项目措施</w:t>
                  </w:r>
                </w:p>
              </w:tc>
              <w:tc>
                <w:tcPr>
                  <w:tcW w:w="940" w:type="dxa"/>
                  <w:tcBorders>
                    <w:tl2br w:val="nil"/>
                    <w:tr2bl w:val="nil"/>
                  </w:tcBorders>
                  <w:vAlign w:val="center"/>
                </w:tcPr>
                <w:p w14:paraId="738C2FD6">
                  <w:pPr>
                    <w:adjustRightInd w:val="0"/>
                    <w:snapToGrid w:val="0"/>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可行性</w:t>
                  </w:r>
                </w:p>
              </w:tc>
            </w:tr>
            <w:tr w14:paraId="29D6E19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395" w:type="dxa"/>
                  <w:tcBorders>
                    <w:tl2br w:val="nil"/>
                    <w:tr2bl w:val="nil"/>
                  </w:tcBorders>
                  <w:vAlign w:val="center"/>
                </w:tcPr>
                <w:p w14:paraId="3758F6F7">
                  <w:pPr>
                    <w:adjustRightInd w:val="0"/>
                    <w:snapToGrid w:val="0"/>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设施密闭性</w:t>
                  </w:r>
                </w:p>
              </w:tc>
              <w:tc>
                <w:tcPr>
                  <w:tcW w:w="3512" w:type="dxa"/>
                  <w:tcBorders>
                    <w:tl2br w:val="nil"/>
                    <w:tr2bl w:val="nil"/>
                  </w:tcBorders>
                  <w:vAlign w:val="center"/>
                </w:tcPr>
                <w:p w14:paraId="37DC46C5">
                  <w:pPr>
                    <w:adjustRightInd w:val="0"/>
                    <w:snapToGrid w:val="0"/>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加强生产装置、车间的密封或密闭，或收集废气经处理后排放</w:t>
                  </w:r>
                </w:p>
              </w:tc>
              <w:tc>
                <w:tcPr>
                  <w:tcW w:w="1774" w:type="dxa"/>
                  <w:tcBorders>
                    <w:tl2br w:val="nil"/>
                    <w:tr2bl w:val="nil"/>
                  </w:tcBorders>
                  <w:vAlign w:val="center"/>
                </w:tcPr>
                <w:p w14:paraId="3408B23B">
                  <w:pPr>
                    <w:adjustRightInd w:val="0"/>
                    <w:snapToGrid w:val="0"/>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箱式炉废气由管道密闭收集处理</w:t>
                  </w:r>
                </w:p>
              </w:tc>
              <w:tc>
                <w:tcPr>
                  <w:tcW w:w="940" w:type="dxa"/>
                  <w:tcBorders>
                    <w:tl2br w:val="nil"/>
                    <w:tr2bl w:val="nil"/>
                  </w:tcBorders>
                  <w:vAlign w:val="center"/>
                </w:tcPr>
                <w:p w14:paraId="7F1552CA">
                  <w:pPr>
                    <w:adjustRightInd w:val="0"/>
                    <w:snapToGrid w:val="0"/>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可行</w:t>
                  </w:r>
                </w:p>
              </w:tc>
            </w:tr>
            <w:tr w14:paraId="589A673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395" w:type="dxa"/>
                  <w:tcBorders>
                    <w:tl2br w:val="nil"/>
                    <w:tr2bl w:val="nil"/>
                  </w:tcBorders>
                  <w:vAlign w:val="center"/>
                </w:tcPr>
                <w:p w14:paraId="306D29DB">
                  <w:pPr>
                    <w:adjustRightInd w:val="0"/>
                    <w:snapToGrid w:val="0"/>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废气处理能力</w:t>
                  </w:r>
                </w:p>
              </w:tc>
              <w:tc>
                <w:tcPr>
                  <w:tcW w:w="3512" w:type="dxa"/>
                  <w:tcBorders>
                    <w:tl2br w:val="nil"/>
                    <w:tr2bl w:val="nil"/>
                  </w:tcBorders>
                  <w:vAlign w:val="center"/>
                </w:tcPr>
                <w:p w14:paraId="34317DEE">
                  <w:pPr>
                    <w:adjustRightInd w:val="0"/>
                    <w:snapToGrid w:val="0"/>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实现废气“分质分类”、“应收尽收”，治理设施运行与生产设备“同启同停”，分类配套燃烧、生物处理、氧化吸收或其他高效废气处理设施进 行治理，确保废气稳定达标排放</w:t>
                  </w:r>
                </w:p>
              </w:tc>
              <w:tc>
                <w:tcPr>
                  <w:tcW w:w="1774" w:type="dxa"/>
                  <w:tcBorders>
                    <w:tl2br w:val="nil"/>
                    <w:tr2bl w:val="nil"/>
                  </w:tcBorders>
                  <w:vAlign w:val="center"/>
                </w:tcPr>
                <w:p w14:paraId="61556E38">
                  <w:pPr>
                    <w:adjustRightInd w:val="0"/>
                    <w:snapToGrid w:val="0"/>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煅烧废气经</w:t>
                  </w:r>
                  <w:r>
                    <w:rPr>
                      <w:rFonts w:hint="eastAsia" w:cs="Times New Roman"/>
                      <w:color w:val="auto"/>
                      <w:sz w:val="18"/>
                      <w:szCs w:val="18"/>
                      <w:highlight w:val="none"/>
                      <w:lang w:eastAsia="zh-CN"/>
                    </w:rPr>
                    <w:t>“</w:t>
                  </w:r>
                  <w:r>
                    <w:rPr>
                      <w:rFonts w:hint="default" w:ascii="Times New Roman" w:hAnsi="Times New Roman" w:cs="Times New Roman"/>
                      <w:color w:val="auto"/>
                      <w:kern w:val="0"/>
                      <w:sz w:val="18"/>
                      <w:szCs w:val="18"/>
                      <w:highlight w:val="none"/>
                      <w:lang w:bidi="ar"/>
                    </w:rPr>
                    <w:t>水喷淋+除雾</w:t>
                  </w:r>
                  <w:r>
                    <w:rPr>
                      <w:rFonts w:hint="eastAsia" w:cs="Times New Roman"/>
                      <w:color w:val="auto"/>
                      <w:kern w:val="0"/>
                      <w:sz w:val="18"/>
                      <w:szCs w:val="18"/>
                      <w:highlight w:val="none"/>
                      <w:lang w:val="en-US" w:eastAsia="zh-CN" w:bidi="ar"/>
                    </w:rPr>
                    <w:t>除湿</w:t>
                  </w:r>
                  <w:r>
                    <w:rPr>
                      <w:rFonts w:hint="default" w:ascii="Times New Roman" w:hAnsi="Times New Roman" w:cs="Times New Roman"/>
                      <w:color w:val="auto"/>
                      <w:kern w:val="0"/>
                      <w:sz w:val="18"/>
                      <w:szCs w:val="18"/>
                      <w:highlight w:val="none"/>
                      <w:lang w:bidi="ar"/>
                    </w:rPr>
                    <w:t>+</w:t>
                  </w:r>
                  <w:r>
                    <w:rPr>
                      <w:rFonts w:hint="eastAsia" w:cs="Times New Roman"/>
                      <w:color w:val="auto"/>
                      <w:kern w:val="0"/>
                      <w:sz w:val="18"/>
                      <w:szCs w:val="18"/>
                      <w:highlight w:val="none"/>
                      <w:lang w:val="en-US" w:eastAsia="zh-CN" w:bidi="ar"/>
                    </w:rPr>
                    <w:t>一级</w:t>
                  </w:r>
                  <w:r>
                    <w:rPr>
                      <w:rFonts w:hint="default" w:ascii="Times New Roman" w:hAnsi="Times New Roman" w:cs="Times New Roman"/>
                      <w:color w:val="auto"/>
                      <w:kern w:val="0"/>
                      <w:sz w:val="18"/>
                      <w:szCs w:val="18"/>
                      <w:highlight w:val="none"/>
                      <w:lang w:bidi="ar"/>
                    </w:rPr>
                    <w:t>活性炭吸附</w:t>
                  </w:r>
                  <w:r>
                    <w:rPr>
                      <w:rFonts w:hint="eastAsia" w:cs="Times New Roman"/>
                      <w:color w:val="auto"/>
                      <w:sz w:val="18"/>
                      <w:szCs w:val="18"/>
                      <w:highlight w:val="none"/>
                      <w:lang w:eastAsia="zh-CN"/>
                    </w:rPr>
                    <w:t>”</w:t>
                  </w:r>
                  <w:r>
                    <w:rPr>
                      <w:rFonts w:hint="default" w:ascii="Times New Roman" w:hAnsi="Times New Roman" w:cs="Times New Roman"/>
                      <w:color w:val="auto"/>
                      <w:sz w:val="18"/>
                      <w:szCs w:val="18"/>
                      <w:highlight w:val="none"/>
                    </w:rPr>
                    <w:t>处理，可有效吸收、吸附恶臭物质</w:t>
                  </w:r>
                </w:p>
              </w:tc>
              <w:tc>
                <w:tcPr>
                  <w:tcW w:w="940" w:type="dxa"/>
                  <w:tcBorders>
                    <w:tl2br w:val="nil"/>
                    <w:tr2bl w:val="nil"/>
                  </w:tcBorders>
                  <w:vAlign w:val="center"/>
                </w:tcPr>
                <w:p w14:paraId="38B2BEB5">
                  <w:pPr>
                    <w:adjustRightInd w:val="0"/>
                    <w:snapToGrid w:val="0"/>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可行</w:t>
                  </w:r>
                </w:p>
              </w:tc>
            </w:tr>
          </w:tbl>
          <w:p w14:paraId="305FB391">
            <w:pPr>
              <w:numPr>
                <w:ilvl w:val="0"/>
                <w:numId w:val="7"/>
              </w:numPr>
              <w:adjustRightInd w:val="0"/>
              <w:snapToGrid w:val="0"/>
              <w:spacing w:line="360" w:lineRule="auto"/>
              <w:rPr>
                <w:b/>
                <w:color w:val="auto"/>
                <w:kern w:val="0"/>
                <w:szCs w:val="21"/>
                <w:highlight w:val="none"/>
              </w:rPr>
            </w:pPr>
            <w:r>
              <w:rPr>
                <w:rFonts w:hint="default"/>
                <w:b/>
                <w:color w:val="auto"/>
                <w:kern w:val="0"/>
                <w:szCs w:val="21"/>
                <w:highlight w:val="none"/>
              </w:rPr>
              <w:t>环境影响分析</w:t>
            </w:r>
          </w:p>
          <w:p w14:paraId="263238EF">
            <w:pPr>
              <w:pStyle w:val="23"/>
              <w:spacing w:after="0" w:line="360" w:lineRule="auto"/>
              <w:ind w:left="0" w:leftChars="0"/>
              <w:rPr>
                <w:rFonts w:ascii="Times New Roman" w:hAnsi="Times New Roman" w:cs="Times New Roman"/>
                <w:color w:val="auto"/>
                <w:sz w:val="21"/>
                <w:szCs w:val="21"/>
                <w:highlight w:val="none"/>
                <w:lang w:eastAsia="zh-CN"/>
              </w:rPr>
            </w:pPr>
            <w:r>
              <w:rPr>
                <w:rFonts w:ascii="Times New Roman" w:hAnsi="Times New Roman" w:cs="Times New Roman"/>
                <w:color w:val="auto"/>
                <w:sz w:val="21"/>
                <w:szCs w:val="21"/>
                <w:highlight w:val="none"/>
                <w:lang w:eastAsia="zh-CN"/>
              </w:rPr>
              <w:t>根据工程分析，本项目</w:t>
            </w:r>
            <w:r>
              <w:rPr>
                <w:rFonts w:hint="default" w:ascii="Times New Roman" w:hAnsi="Times New Roman" w:cs="Times New Roman"/>
                <w:color w:val="auto"/>
                <w:sz w:val="21"/>
                <w:szCs w:val="21"/>
                <w:highlight w:val="none"/>
                <w:lang w:eastAsia="zh-CN"/>
              </w:rPr>
              <w:t>各环节投料、粗破、筛分粉尘车间无组织排放；喷雾干燥、气流粉碎粉尘先经过设备内置布袋除尘器处理，再由管道密闭</w:t>
            </w:r>
            <w:r>
              <w:rPr>
                <w:rFonts w:ascii="Times New Roman" w:hAnsi="Times New Roman" w:cs="Times New Roman"/>
                <w:color w:val="auto"/>
                <w:sz w:val="21"/>
                <w:szCs w:val="21"/>
                <w:highlight w:val="none"/>
                <w:lang w:eastAsia="zh-CN"/>
              </w:rPr>
              <w:t>收集后</w:t>
            </w:r>
            <w:r>
              <w:rPr>
                <w:rFonts w:hint="default" w:ascii="Times New Roman" w:hAnsi="Times New Roman" w:cs="Times New Roman"/>
                <w:color w:val="auto"/>
                <w:sz w:val="21"/>
                <w:szCs w:val="21"/>
                <w:highlight w:val="none"/>
                <w:lang w:eastAsia="zh-CN"/>
              </w:rPr>
              <w:t>，经过1套“水喷淋+除雾</w:t>
            </w:r>
            <w:r>
              <w:rPr>
                <w:rFonts w:hint="default" w:ascii="Times New Roman" w:hAnsi="Times New Roman" w:cs="Times New Roman"/>
                <w:color w:val="auto"/>
                <w:sz w:val="21"/>
                <w:szCs w:val="21"/>
                <w:highlight w:val="none"/>
                <w:lang w:val="en-US" w:eastAsia="zh-CN"/>
              </w:rPr>
              <w:t>除湿</w:t>
            </w:r>
            <w:r>
              <w:rPr>
                <w:rFonts w:hint="default" w:ascii="Times New Roman" w:hAnsi="Times New Roman" w:cs="Times New Roman"/>
                <w:color w:val="auto"/>
                <w:sz w:val="21"/>
                <w:szCs w:val="21"/>
                <w:highlight w:val="none"/>
                <w:lang w:eastAsia="zh-CN"/>
              </w:rPr>
              <w:t>+</w:t>
            </w:r>
            <w:r>
              <w:rPr>
                <w:rFonts w:hint="default" w:ascii="Times New Roman" w:hAnsi="Times New Roman" w:cs="Times New Roman"/>
                <w:color w:val="auto"/>
                <w:sz w:val="21"/>
                <w:szCs w:val="21"/>
                <w:highlight w:val="none"/>
                <w:lang w:val="en-US" w:eastAsia="zh-CN"/>
              </w:rPr>
              <w:t>一级</w:t>
            </w:r>
            <w:r>
              <w:rPr>
                <w:rFonts w:hint="default" w:ascii="Times New Roman" w:hAnsi="Times New Roman" w:cs="Times New Roman"/>
                <w:color w:val="auto"/>
                <w:sz w:val="21"/>
                <w:szCs w:val="21"/>
                <w:highlight w:val="none"/>
                <w:lang w:eastAsia="zh-CN"/>
              </w:rPr>
              <w:t>活性炭吸附”</w:t>
            </w:r>
            <w:r>
              <w:rPr>
                <w:rFonts w:ascii="Times New Roman" w:hAnsi="Times New Roman" w:cs="Times New Roman"/>
                <w:color w:val="auto"/>
                <w:sz w:val="21"/>
                <w:szCs w:val="21"/>
                <w:highlight w:val="none"/>
                <w:lang w:eastAsia="zh-CN"/>
              </w:rPr>
              <w:t>处理后达标排放；</w:t>
            </w:r>
            <w:r>
              <w:rPr>
                <w:rFonts w:hint="default" w:ascii="Times New Roman" w:hAnsi="Times New Roman" w:cs="Times New Roman"/>
                <w:color w:val="auto"/>
                <w:sz w:val="21"/>
                <w:szCs w:val="21"/>
                <w:highlight w:val="none"/>
                <w:lang w:eastAsia="zh-CN"/>
              </w:rPr>
              <w:t>煅烧废气由管道密闭</w:t>
            </w:r>
            <w:r>
              <w:rPr>
                <w:rFonts w:ascii="Times New Roman" w:hAnsi="Times New Roman" w:cs="Times New Roman"/>
                <w:color w:val="auto"/>
                <w:sz w:val="21"/>
                <w:szCs w:val="21"/>
                <w:highlight w:val="none"/>
                <w:lang w:eastAsia="zh-CN"/>
              </w:rPr>
              <w:t>收集后</w:t>
            </w:r>
            <w:r>
              <w:rPr>
                <w:rFonts w:hint="default" w:ascii="Times New Roman" w:hAnsi="Times New Roman" w:cs="Times New Roman"/>
                <w:color w:val="auto"/>
                <w:sz w:val="21"/>
                <w:szCs w:val="21"/>
                <w:highlight w:val="none"/>
                <w:lang w:eastAsia="zh-CN"/>
              </w:rPr>
              <w:t>，经过1套“水喷淋+除雾</w:t>
            </w:r>
            <w:r>
              <w:rPr>
                <w:rFonts w:hint="default" w:ascii="Times New Roman" w:hAnsi="Times New Roman" w:cs="Times New Roman"/>
                <w:color w:val="auto"/>
                <w:sz w:val="21"/>
                <w:szCs w:val="21"/>
                <w:highlight w:val="none"/>
                <w:lang w:val="en-US" w:eastAsia="zh-CN"/>
              </w:rPr>
              <w:t>除湿</w:t>
            </w:r>
            <w:r>
              <w:rPr>
                <w:rFonts w:hint="default" w:ascii="Times New Roman" w:hAnsi="Times New Roman" w:cs="Times New Roman"/>
                <w:color w:val="auto"/>
                <w:sz w:val="21"/>
                <w:szCs w:val="21"/>
                <w:highlight w:val="none"/>
                <w:lang w:eastAsia="zh-CN"/>
              </w:rPr>
              <w:t>+</w:t>
            </w:r>
            <w:r>
              <w:rPr>
                <w:rFonts w:hint="default" w:ascii="Times New Roman" w:hAnsi="Times New Roman" w:cs="Times New Roman"/>
                <w:color w:val="auto"/>
                <w:sz w:val="21"/>
                <w:szCs w:val="21"/>
                <w:highlight w:val="none"/>
                <w:lang w:val="en-US" w:eastAsia="zh-CN"/>
              </w:rPr>
              <w:t>一级</w:t>
            </w:r>
            <w:r>
              <w:rPr>
                <w:rFonts w:hint="default" w:ascii="Times New Roman" w:hAnsi="Times New Roman" w:cs="Times New Roman"/>
                <w:color w:val="auto"/>
                <w:sz w:val="21"/>
                <w:szCs w:val="21"/>
                <w:highlight w:val="none"/>
                <w:lang w:eastAsia="zh-CN"/>
              </w:rPr>
              <w:t>活性炭吸附”</w:t>
            </w:r>
            <w:r>
              <w:rPr>
                <w:rFonts w:ascii="Times New Roman" w:hAnsi="Times New Roman" w:cs="Times New Roman"/>
                <w:color w:val="auto"/>
                <w:sz w:val="21"/>
                <w:szCs w:val="21"/>
                <w:highlight w:val="none"/>
                <w:lang w:eastAsia="zh-CN"/>
              </w:rPr>
              <w:t>处理后达标排放</w:t>
            </w:r>
            <w:r>
              <w:rPr>
                <w:rFonts w:hint="default" w:ascii="Times New Roman" w:hAnsi="Times New Roman" w:cs="Times New Roman"/>
                <w:color w:val="auto"/>
                <w:sz w:val="21"/>
                <w:szCs w:val="21"/>
                <w:highlight w:val="none"/>
                <w:lang w:eastAsia="zh-CN"/>
              </w:rPr>
              <w:t>；涂布废气</w:t>
            </w:r>
            <w:r>
              <w:rPr>
                <w:rFonts w:hint="eastAsia" w:ascii="Times New Roman" w:hAnsi="Times New Roman" w:cs="Times New Roman"/>
                <w:color w:val="auto"/>
                <w:sz w:val="21"/>
                <w:szCs w:val="21"/>
                <w:highlight w:val="none"/>
                <w:lang w:val="en-US" w:eastAsia="zh-CN"/>
              </w:rPr>
              <w:t>由通风橱收集，接入末端设施“</w:t>
            </w:r>
            <w:r>
              <w:rPr>
                <w:rFonts w:hint="default" w:ascii="Times New Roman" w:hAnsi="Times New Roman" w:cs="Times New Roman"/>
                <w:color w:val="auto"/>
                <w:sz w:val="21"/>
                <w:szCs w:val="21"/>
                <w:highlight w:val="none"/>
                <w:lang w:eastAsia="zh-CN"/>
              </w:rPr>
              <w:t>水喷淋+除雾</w:t>
            </w:r>
            <w:r>
              <w:rPr>
                <w:rFonts w:hint="default" w:ascii="Times New Roman" w:hAnsi="Times New Roman" w:cs="Times New Roman"/>
                <w:color w:val="auto"/>
                <w:sz w:val="21"/>
                <w:szCs w:val="21"/>
                <w:highlight w:val="none"/>
                <w:lang w:val="en-US" w:eastAsia="zh-CN"/>
              </w:rPr>
              <w:t>除湿</w:t>
            </w:r>
            <w:r>
              <w:rPr>
                <w:rFonts w:hint="default" w:ascii="Times New Roman" w:hAnsi="Times New Roman" w:cs="Times New Roman"/>
                <w:color w:val="auto"/>
                <w:sz w:val="21"/>
                <w:szCs w:val="21"/>
                <w:highlight w:val="none"/>
                <w:lang w:eastAsia="zh-CN"/>
              </w:rPr>
              <w:t>+</w:t>
            </w:r>
            <w:r>
              <w:rPr>
                <w:rFonts w:hint="default" w:ascii="Times New Roman" w:hAnsi="Times New Roman" w:cs="Times New Roman"/>
                <w:color w:val="auto"/>
                <w:sz w:val="21"/>
                <w:szCs w:val="21"/>
                <w:highlight w:val="none"/>
                <w:lang w:val="en-US" w:eastAsia="zh-CN"/>
              </w:rPr>
              <w:t>一级</w:t>
            </w:r>
            <w:r>
              <w:rPr>
                <w:rFonts w:hint="default" w:ascii="Times New Roman" w:hAnsi="Times New Roman" w:cs="Times New Roman"/>
                <w:color w:val="auto"/>
                <w:sz w:val="21"/>
                <w:szCs w:val="21"/>
                <w:highlight w:val="none"/>
                <w:lang w:eastAsia="zh-CN"/>
              </w:rPr>
              <w:t>活性炭吸附</w:t>
            </w:r>
            <w:r>
              <w:rPr>
                <w:rFonts w:hint="eastAsia" w:ascii="Times New Roman" w:hAnsi="Times New Roman" w:cs="Times New Roman"/>
                <w:color w:val="auto"/>
                <w:sz w:val="21"/>
                <w:szCs w:val="21"/>
                <w:highlight w:val="none"/>
                <w:lang w:val="en-US" w:eastAsia="zh-CN"/>
              </w:rPr>
              <w:t>”处理后达标排放</w:t>
            </w:r>
            <w:r>
              <w:rPr>
                <w:rFonts w:hint="default" w:ascii="Times New Roman" w:hAnsi="Times New Roman" w:cs="Times New Roman"/>
                <w:color w:val="auto"/>
                <w:sz w:val="21"/>
                <w:szCs w:val="21"/>
                <w:highlight w:val="none"/>
                <w:lang w:eastAsia="zh-CN"/>
              </w:rPr>
              <w:t>。</w:t>
            </w:r>
          </w:p>
          <w:p w14:paraId="465F0CAB">
            <w:pPr>
              <w:pStyle w:val="23"/>
              <w:spacing w:after="0" w:line="360" w:lineRule="auto"/>
              <w:ind w:left="0" w:leftChars="0"/>
              <w:rPr>
                <w:rFonts w:hint="default" w:ascii="Times New Roman" w:hAnsi="Times New Roman" w:cs="Times New Roman"/>
                <w:color w:val="auto"/>
                <w:sz w:val="21"/>
                <w:szCs w:val="21"/>
                <w:highlight w:val="none"/>
                <w:lang w:eastAsia="zh-CN"/>
              </w:rPr>
            </w:pPr>
            <w:r>
              <w:rPr>
                <w:rFonts w:hint="default" w:ascii="Times New Roman" w:hAnsi="Times New Roman" w:cs="Times New Roman"/>
                <w:color w:val="auto"/>
                <w:sz w:val="21"/>
                <w:szCs w:val="21"/>
                <w:highlight w:val="none"/>
                <w:lang w:eastAsia="zh-CN"/>
              </w:rPr>
              <w:t>项目</w:t>
            </w:r>
            <w:r>
              <w:rPr>
                <w:rFonts w:ascii="Times New Roman" w:hAnsi="Times New Roman" w:cs="Times New Roman"/>
                <w:color w:val="auto"/>
                <w:sz w:val="21"/>
                <w:szCs w:val="21"/>
                <w:highlight w:val="none"/>
                <w:lang w:eastAsia="zh-CN"/>
              </w:rPr>
              <w:t>采取的废气污染治理设施为可行技术，企业落实上述污染防治措施后预计项目废气正常排放对周边居民等影响可接受。</w:t>
            </w:r>
            <w:r>
              <w:rPr>
                <w:rFonts w:hint="default" w:ascii="Times New Roman" w:hAnsi="Times New Roman" w:cs="Times New Roman"/>
                <w:color w:val="auto"/>
                <w:sz w:val="21"/>
                <w:szCs w:val="21"/>
                <w:highlight w:val="none"/>
                <w:lang w:eastAsia="zh-CN"/>
              </w:rPr>
              <w:t>当环保设施故障等非正常工况下，排气筒污染物浓度明显增大，企业要加强废气处理设施的管理和维护工作，确保废气处理设施正常运行，杜绝废气非正常排放。</w:t>
            </w:r>
          </w:p>
          <w:p w14:paraId="176A0587">
            <w:pPr>
              <w:pStyle w:val="14"/>
              <w:numPr>
                <w:ilvl w:val="0"/>
                <w:numId w:val="7"/>
              </w:numPr>
              <w:spacing w:line="360" w:lineRule="auto"/>
              <w:rPr>
                <w:rFonts w:hint="eastAsia"/>
                <w:b/>
                <w:bCs/>
                <w:color w:val="auto"/>
                <w:sz w:val="21"/>
                <w:szCs w:val="21"/>
                <w:highlight w:val="none"/>
                <w:lang w:val="en-US" w:eastAsia="zh-CN"/>
              </w:rPr>
            </w:pPr>
            <w:r>
              <w:rPr>
                <w:rFonts w:hint="eastAsia"/>
                <w:b/>
                <w:bCs/>
                <w:color w:val="auto"/>
                <w:sz w:val="21"/>
                <w:szCs w:val="21"/>
                <w:highlight w:val="none"/>
                <w:lang w:val="en-US" w:eastAsia="zh-CN"/>
              </w:rPr>
              <w:t>监测计划</w:t>
            </w:r>
          </w:p>
          <w:p w14:paraId="7E43C87F">
            <w:pPr>
              <w:pStyle w:val="14"/>
              <w:numPr>
                <w:ilvl w:val="0"/>
                <w:numId w:val="0"/>
              </w:numPr>
              <w:spacing w:line="360" w:lineRule="auto"/>
              <w:ind w:firstLine="420" w:firstLineChars="200"/>
              <w:rPr>
                <w:rFonts w:hint="eastAsia"/>
                <w:color w:val="auto"/>
                <w:sz w:val="21"/>
                <w:szCs w:val="21"/>
                <w:highlight w:val="none"/>
                <w:lang w:val="en-US" w:eastAsia="zh-CN"/>
              </w:rPr>
            </w:pPr>
            <w:r>
              <w:rPr>
                <w:rFonts w:hint="eastAsia"/>
                <w:color w:val="auto"/>
                <w:sz w:val="21"/>
                <w:szCs w:val="21"/>
                <w:highlight w:val="none"/>
                <w:lang w:val="en-US" w:eastAsia="zh-CN"/>
              </w:rPr>
              <w:t>根据《排污单位自行检测技术指南 总则</w:t>
            </w:r>
            <w:r>
              <w:rPr>
                <w:rFonts w:hint="default" w:ascii="Times New Roman" w:hAnsi="Times New Roman" w:cs="Times New Roman"/>
                <w:color w:val="auto"/>
                <w:sz w:val="21"/>
                <w:szCs w:val="21"/>
                <w:highlight w:val="none"/>
                <w:lang w:val="en-US" w:eastAsia="zh-CN"/>
              </w:rPr>
              <w:t>》(HJ 819-2017)</w:t>
            </w:r>
            <w:r>
              <w:rPr>
                <w:rFonts w:hint="eastAsia"/>
                <w:color w:val="auto"/>
                <w:sz w:val="21"/>
                <w:szCs w:val="21"/>
                <w:highlight w:val="none"/>
                <w:lang w:val="en-US" w:eastAsia="zh-CN"/>
              </w:rPr>
              <w:t>要求，企业自行监测计划如</w:t>
            </w:r>
            <w:r>
              <w:rPr>
                <w:rFonts w:hint="default" w:ascii="Times New Roman" w:hAnsi="Times New Roman" w:cs="Times New Roman"/>
                <w:color w:val="auto"/>
                <w:sz w:val="21"/>
                <w:szCs w:val="21"/>
                <w:highlight w:val="none"/>
                <w:lang w:val="en-US" w:eastAsia="zh-CN"/>
              </w:rPr>
              <w:t>表4-7</w:t>
            </w:r>
            <w:r>
              <w:rPr>
                <w:rFonts w:hint="eastAsia"/>
                <w:color w:val="auto"/>
                <w:sz w:val="21"/>
                <w:szCs w:val="21"/>
                <w:highlight w:val="none"/>
                <w:lang w:val="en-US" w:eastAsia="zh-CN"/>
              </w:rPr>
              <w:t>所示：</w:t>
            </w:r>
          </w:p>
          <w:p w14:paraId="521A0FE4">
            <w:pPr>
              <w:numPr>
                <w:ilvl w:val="0"/>
                <w:numId w:val="8"/>
              </w:numPr>
              <w:spacing w:line="360" w:lineRule="auto"/>
              <w:jc w:val="center"/>
              <w:rPr>
                <w:rFonts w:hint="default"/>
                <w:bCs/>
                <w:color w:val="auto"/>
                <w:kern w:val="0"/>
                <w:szCs w:val="21"/>
                <w:highlight w:val="none"/>
              </w:rPr>
            </w:pPr>
            <w:r>
              <w:rPr>
                <w:rFonts w:hint="eastAsia" w:eastAsia="黑体" w:cs="Times New Roman"/>
                <w:b w:val="0"/>
                <w:bCs w:val="0"/>
                <w:color w:val="auto"/>
                <w:spacing w:val="-10"/>
                <w:szCs w:val="21"/>
                <w:highlight w:val="none"/>
                <w:lang w:val="en-US" w:eastAsia="zh-CN"/>
              </w:rPr>
              <w:t xml:space="preserve"> 大气污染物监测计划</w:t>
            </w:r>
          </w:p>
          <w:tbl>
            <w:tblPr>
              <w:tblStyle w:val="25"/>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265"/>
              <w:gridCol w:w="1269"/>
              <w:gridCol w:w="1266"/>
              <w:gridCol w:w="1266"/>
              <w:gridCol w:w="1267"/>
              <w:gridCol w:w="1268"/>
            </w:tblGrid>
            <w:tr w14:paraId="54341C6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69" w:type="dxa"/>
                  <w:vMerge w:val="restart"/>
                  <w:tcBorders>
                    <w:tl2br w:val="nil"/>
                    <w:tr2bl w:val="nil"/>
                  </w:tcBorders>
                  <w:vAlign w:val="center"/>
                </w:tcPr>
                <w:p w14:paraId="64ECFEA9">
                  <w:pPr>
                    <w:pStyle w:val="14"/>
                    <w:numPr>
                      <w:ilvl w:val="0"/>
                      <w:numId w:val="0"/>
                    </w:numPr>
                    <w:spacing w:line="240" w:lineRule="auto"/>
                    <w:jc w:val="center"/>
                    <w:rPr>
                      <w:rFonts w:hint="default" w:ascii="Times New Roman" w:hAnsi="Times New Roman" w:cs="Times New Roman"/>
                      <w:color w:val="auto"/>
                      <w:sz w:val="18"/>
                      <w:szCs w:val="18"/>
                      <w:highlight w:val="none"/>
                      <w:vertAlign w:val="baseline"/>
                      <w:lang w:val="en-US" w:eastAsia="zh-CN"/>
                    </w:rPr>
                  </w:pPr>
                  <w:r>
                    <w:rPr>
                      <w:rFonts w:hint="default" w:ascii="Times New Roman" w:hAnsi="Times New Roman" w:cs="Times New Roman"/>
                      <w:color w:val="auto"/>
                      <w:sz w:val="18"/>
                      <w:szCs w:val="18"/>
                      <w:highlight w:val="none"/>
                      <w:vertAlign w:val="baseline"/>
                      <w:lang w:val="en-US" w:eastAsia="zh-CN"/>
                    </w:rPr>
                    <w:t>排放形式</w:t>
                  </w:r>
                </w:p>
              </w:tc>
              <w:tc>
                <w:tcPr>
                  <w:tcW w:w="1271" w:type="dxa"/>
                  <w:vMerge w:val="restart"/>
                  <w:tcBorders>
                    <w:tl2br w:val="nil"/>
                    <w:tr2bl w:val="nil"/>
                  </w:tcBorders>
                  <w:vAlign w:val="center"/>
                </w:tcPr>
                <w:p w14:paraId="6EF6F625">
                  <w:pPr>
                    <w:pStyle w:val="14"/>
                    <w:numPr>
                      <w:ilvl w:val="0"/>
                      <w:numId w:val="0"/>
                    </w:numPr>
                    <w:spacing w:line="240" w:lineRule="auto"/>
                    <w:jc w:val="center"/>
                    <w:rPr>
                      <w:rFonts w:hint="default" w:ascii="Times New Roman" w:hAnsi="Times New Roman" w:cs="Times New Roman"/>
                      <w:color w:val="auto"/>
                      <w:sz w:val="18"/>
                      <w:szCs w:val="18"/>
                      <w:highlight w:val="none"/>
                      <w:vertAlign w:val="baseline"/>
                      <w:lang w:val="en-US" w:eastAsia="zh-CN"/>
                    </w:rPr>
                  </w:pPr>
                  <w:r>
                    <w:rPr>
                      <w:rFonts w:hint="default" w:ascii="Times New Roman" w:hAnsi="Times New Roman" w:cs="Times New Roman"/>
                      <w:color w:val="auto"/>
                      <w:sz w:val="18"/>
                      <w:szCs w:val="18"/>
                      <w:highlight w:val="none"/>
                      <w:vertAlign w:val="baseline"/>
                      <w:lang w:val="en-US" w:eastAsia="zh-CN"/>
                    </w:rPr>
                    <w:t>排气筒编号</w:t>
                  </w:r>
                </w:p>
              </w:tc>
              <w:tc>
                <w:tcPr>
                  <w:tcW w:w="1270" w:type="dxa"/>
                  <w:vMerge w:val="restart"/>
                  <w:tcBorders>
                    <w:tl2br w:val="nil"/>
                    <w:tr2bl w:val="nil"/>
                  </w:tcBorders>
                  <w:vAlign w:val="center"/>
                </w:tcPr>
                <w:p w14:paraId="5C9A4997">
                  <w:pPr>
                    <w:pStyle w:val="14"/>
                    <w:numPr>
                      <w:ilvl w:val="0"/>
                      <w:numId w:val="0"/>
                    </w:numPr>
                    <w:spacing w:line="240" w:lineRule="auto"/>
                    <w:jc w:val="center"/>
                    <w:rPr>
                      <w:rFonts w:hint="default" w:ascii="Times New Roman" w:hAnsi="Times New Roman" w:cs="Times New Roman"/>
                      <w:color w:val="auto"/>
                      <w:sz w:val="18"/>
                      <w:szCs w:val="18"/>
                      <w:highlight w:val="none"/>
                      <w:vertAlign w:val="baseline"/>
                      <w:lang w:val="en-US" w:eastAsia="zh-CN"/>
                    </w:rPr>
                  </w:pPr>
                  <w:r>
                    <w:rPr>
                      <w:rFonts w:hint="default" w:ascii="Times New Roman" w:hAnsi="Times New Roman" w:cs="Times New Roman"/>
                      <w:color w:val="auto"/>
                      <w:sz w:val="18"/>
                      <w:szCs w:val="18"/>
                      <w:highlight w:val="none"/>
                      <w:vertAlign w:val="baseline"/>
                      <w:lang w:val="en-US" w:eastAsia="zh-CN"/>
                    </w:rPr>
                    <w:t>类型</w:t>
                  </w:r>
                </w:p>
              </w:tc>
              <w:tc>
                <w:tcPr>
                  <w:tcW w:w="3811" w:type="dxa"/>
                  <w:gridSpan w:val="3"/>
                  <w:tcBorders>
                    <w:tl2br w:val="nil"/>
                    <w:tr2bl w:val="nil"/>
                  </w:tcBorders>
                  <w:vAlign w:val="center"/>
                </w:tcPr>
                <w:p w14:paraId="75819C2C">
                  <w:pPr>
                    <w:pStyle w:val="14"/>
                    <w:numPr>
                      <w:ilvl w:val="0"/>
                      <w:numId w:val="0"/>
                    </w:numPr>
                    <w:spacing w:line="240" w:lineRule="auto"/>
                    <w:jc w:val="center"/>
                    <w:rPr>
                      <w:rFonts w:hint="default" w:ascii="Times New Roman" w:hAnsi="Times New Roman" w:cs="Times New Roman"/>
                      <w:color w:val="auto"/>
                      <w:sz w:val="18"/>
                      <w:szCs w:val="18"/>
                      <w:highlight w:val="none"/>
                      <w:vertAlign w:val="baseline"/>
                      <w:lang w:val="en-US" w:eastAsia="zh-CN"/>
                    </w:rPr>
                  </w:pPr>
                  <w:r>
                    <w:rPr>
                      <w:rFonts w:hint="default" w:ascii="Times New Roman" w:hAnsi="Times New Roman" w:cs="Times New Roman"/>
                      <w:color w:val="auto"/>
                      <w:sz w:val="18"/>
                      <w:szCs w:val="18"/>
                      <w:highlight w:val="none"/>
                      <w:vertAlign w:val="baseline"/>
                      <w:lang w:val="en-US" w:eastAsia="zh-CN"/>
                    </w:rPr>
                    <w:t>监测要求</w:t>
                  </w:r>
                </w:p>
              </w:tc>
            </w:tr>
            <w:tr w14:paraId="690A2E2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69" w:type="dxa"/>
                  <w:vMerge w:val="continue"/>
                  <w:tcBorders>
                    <w:tl2br w:val="nil"/>
                    <w:tr2bl w:val="nil"/>
                  </w:tcBorders>
                  <w:vAlign w:val="center"/>
                </w:tcPr>
                <w:p w14:paraId="546E7A07">
                  <w:pPr>
                    <w:pStyle w:val="14"/>
                    <w:spacing w:line="240" w:lineRule="auto"/>
                    <w:jc w:val="center"/>
                    <w:rPr>
                      <w:rFonts w:ascii="Times New Roman" w:hAnsi="Times New Roman" w:cs="Times New Roman"/>
                      <w:color w:val="auto"/>
                      <w:sz w:val="18"/>
                      <w:szCs w:val="18"/>
                      <w:highlight w:val="none"/>
                    </w:rPr>
                  </w:pPr>
                </w:p>
              </w:tc>
              <w:tc>
                <w:tcPr>
                  <w:tcW w:w="1271" w:type="dxa"/>
                  <w:vMerge w:val="continue"/>
                  <w:tcBorders>
                    <w:tl2br w:val="nil"/>
                    <w:tr2bl w:val="nil"/>
                  </w:tcBorders>
                  <w:vAlign w:val="center"/>
                </w:tcPr>
                <w:p w14:paraId="19FF8276">
                  <w:pPr>
                    <w:pStyle w:val="14"/>
                    <w:spacing w:line="240" w:lineRule="auto"/>
                    <w:jc w:val="center"/>
                    <w:rPr>
                      <w:rFonts w:ascii="Times New Roman" w:hAnsi="Times New Roman" w:cs="Times New Roman"/>
                      <w:color w:val="auto"/>
                      <w:sz w:val="18"/>
                      <w:szCs w:val="18"/>
                      <w:highlight w:val="none"/>
                    </w:rPr>
                  </w:pPr>
                </w:p>
              </w:tc>
              <w:tc>
                <w:tcPr>
                  <w:tcW w:w="1270" w:type="dxa"/>
                  <w:vMerge w:val="continue"/>
                  <w:tcBorders>
                    <w:tl2br w:val="nil"/>
                    <w:tr2bl w:val="nil"/>
                  </w:tcBorders>
                  <w:vAlign w:val="center"/>
                </w:tcPr>
                <w:p w14:paraId="09D7D8BF">
                  <w:pPr>
                    <w:pStyle w:val="14"/>
                    <w:spacing w:line="240" w:lineRule="auto"/>
                    <w:jc w:val="center"/>
                    <w:rPr>
                      <w:rFonts w:ascii="Times New Roman" w:hAnsi="Times New Roman" w:cs="Times New Roman"/>
                      <w:color w:val="auto"/>
                      <w:sz w:val="18"/>
                      <w:szCs w:val="18"/>
                      <w:highlight w:val="none"/>
                    </w:rPr>
                  </w:pPr>
                </w:p>
              </w:tc>
              <w:tc>
                <w:tcPr>
                  <w:tcW w:w="1270" w:type="dxa"/>
                  <w:tcBorders>
                    <w:tl2br w:val="nil"/>
                    <w:tr2bl w:val="nil"/>
                  </w:tcBorders>
                  <w:vAlign w:val="center"/>
                </w:tcPr>
                <w:p w14:paraId="136E036C">
                  <w:pPr>
                    <w:pStyle w:val="14"/>
                    <w:numPr>
                      <w:ilvl w:val="0"/>
                      <w:numId w:val="0"/>
                    </w:numPr>
                    <w:spacing w:line="240" w:lineRule="auto"/>
                    <w:jc w:val="center"/>
                    <w:rPr>
                      <w:rFonts w:hint="default" w:ascii="Times New Roman" w:hAnsi="Times New Roman" w:cs="Times New Roman"/>
                      <w:color w:val="auto"/>
                      <w:sz w:val="18"/>
                      <w:szCs w:val="18"/>
                      <w:highlight w:val="none"/>
                      <w:vertAlign w:val="baseline"/>
                      <w:lang w:val="en-US" w:eastAsia="zh-CN"/>
                    </w:rPr>
                  </w:pPr>
                  <w:r>
                    <w:rPr>
                      <w:rFonts w:hint="default" w:ascii="Times New Roman" w:hAnsi="Times New Roman" w:cs="Times New Roman"/>
                      <w:color w:val="auto"/>
                      <w:sz w:val="18"/>
                      <w:szCs w:val="18"/>
                      <w:highlight w:val="none"/>
                      <w:vertAlign w:val="baseline"/>
                      <w:lang w:val="en-US" w:eastAsia="zh-CN"/>
                    </w:rPr>
                    <w:t>点位</w:t>
                  </w:r>
                </w:p>
              </w:tc>
              <w:tc>
                <w:tcPr>
                  <w:tcW w:w="1270" w:type="dxa"/>
                  <w:tcBorders>
                    <w:tl2br w:val="nil"/>
                    <w:tr2bl w:val="nil"/>
                  </w:tcBorders>
                  <w:vAlign w:val="center"/>
                </w:tcPr>
                <w:p w14:paraId="2B050C50">
                  <w:pPr>
                    <w:pStyle w:val="14"/>
                    <w:numPr>
                      <w:ilvl w:val="0"/>
                      <w:numId w:val="0"/>
                    </w:numPr>
                    <w:spacing w:line="240" w:lineRule="auto"/>
                    <w:jc w:val="center"/>
                    <w:rPr>
                      <w:rFonts w:hint="default" w:ascii="Times New Roman" w:hAnsi="Times New Roman" w:cs="Times New Roman"/>
                      <w:color w:val="auto"/>
                      <w:sz w:val="18"/>
                      <w:szCs w:val="18"/>
                      <w:highlight w:val="none"/>
                      <w:vertAlign w:val="baseline"/>
                      <w:lang w:val="en-US" w:eastAsia="zh-CN"/>
                    </w:rPr>
                  </w:pPr>
                  <w:r>
                    <w:rPr>
                      <w:rFonts w:hint="default" w:ascii="Times New Roman" w:hAnsi="Times New Roman" w:cs="Times New Roman"/>
                      <w:color w:val="auto"/>
                      <w:sz w:val="18"/>
                      <w:szCs w:val="18"/>
                      <w:highlight w:val="none"/>
                      <w:vertAlign w:val="baseline"/>
                      <w:lang w:val="en-US" w:eastAsia="zh-CN"/>
                    </w:rPr>
                    <w:t>因子</w:t>
                  </w:r>
                </w:p>
              </w:tc>
              <w:tc>
                <w:tcPr>
                  <w:tcW w:w="1271" w:type="dxa"/>
                  <w:tcBorders>
                    <w:tl2br w:val="nil"/>
                    <w:tr2bl w:val="nil"/>
                  </w:tcBorders>
                  <w:vAlign w:val="center"/>
                </w:tcPr>
                <w:p w14:paraId="4A0A4DD2">
                  <w:pPr>
                    <w:pStyle w:val="14"/>
                    <w:numPr>
                      <w:ilvl w:val="0"/>
                      <w:numId w:val="0"/>
                    </w:numPr>
                    <w:spacing w:line="240" w:lineRule="auto"/>
                    <w:jc w:val="center"/>
                    <w:rPr>
                      <w:rFonts w:hint="default" w:ascii="Times New Roman" w:hAnsi="Times New Roman" w:cs="Times New Roman"/>
                      <w:color w:val="auto"/>
                      <w:sz w:val="18"/>
                      <w:szCs w:val="18"/>
                      <w:highlight w:val="none"/>
                      <w:vertAlign w:val="baseline"/>
                      <w:lang w:val="en-US" w:eastAsia="zh-CN"/>
                    </w:rPr>
                  </w:pPr>
                  <w:r>
                    <w:rPr>
                      <w:rFonts w:hint="default" w:ascii="Times New Roman" w:hAnsi="Times New Roman" w:cs="Times New Roman"/>
                      <w:color w:val="auto"/>
                      <w:sz w:val="18"/>
                      <w:szCs w:val="18"/>
                      <w:highlight w:val="none"/>
                      <w:vertAlign w:val="baseline"/>
                      <w:lang w:val="en-US" w:eastAsia="zh-CN"/>
                    </w:rPr>
                    <w:t>频率</w:t>
                  </w:r>
                </w:p>
              </w:tc>
            </w:tr>
            <w:tr w14:paraId="61AE0CF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69" w:type="dxa"/>
                  <w:tcBorders>
                    <w:tl2br w:val="nil"/>
                    <w:tr2bl w:val="nil"/>
                  </w:tcBorders>
                  <w:vAlign w:val="center"/>
                </w:tcPr>
                <w:p w14:paraId="58EFA1CC">
                  <w:pPr>
                    <w:pStyle w:val="14"/>
                    <w:numPr>
                      <w:ilvl w:val="0"/>
                      <w:numId w:val="0"/>
                    </w:numPr>
                    <w:spacing w:line="240" w:lineRule="auto"/>
                    <w:jc w:val="center"/>
                    <w:rPr>
                      <w:rFonts w:hint="default" w:ascii="Times New Roman" w:hAnsi="Times New Roman" w:cs="Times New Roman"/>
                      <w:color w:val="auto"/>
                      <w:sz w:val="18"/>
                      <w:szCs w:val="18"/>
                      <w:highlight w:val="none"/>
                      <w:vertAlign w:val="baseline"/>
                      <w:lang w:val="en-US" w:eastAsia="zh-CN"/>
                    </w:rPr>
                  </w:pPr>
                  <w:r>
                    <w:rPr>
                      <w:rFonts w:hint="default" w:ascii="Times New Roman" w:hAnsi="Times New Roman" w:cs="Times New Roman"/>
                      <w:color w:val="auto"/>
                      <w:sz w:val="18"/>
                      <w:szCs w:val="18"/>
                      <w:highlight w:val="none"/>
                      <w:vertAlign w:val="baseline"/>
                      <w:lang w:val="en-US" w:eastAsia="zh-CN"/>
                    </w:rPr>
                    <w:t>有组织</w:t>
                  </w:r>
                </w:p>
              </w:tc>
              <w:tc>
                <w:tcPr>
                  <w:tcW w:w="1271" w:type="dxa"/>
                  <w:tcBorders>
                    <w:tl2br w:val="nil"/>
                    <w:tr2bl w:val="nil"/>
                  </w:tcBorders>
                  <w:vAlign w:val="center"/>
                </w:tcPr>
                <w:p w14:paraId="05F73D21">
                  <w:pPr>
                    <w:pStyle w:val="14"/>
                    <w:numPr>
                      <w:ilvl w:val="0"/>
                      <w:numId w:val="0"/>
                    </w:numPr>
                    <w:spacing w:line="240" w:lineRule="auto"/>
                    <w:jc w:val="center"/>
                    <w:rPr>
                      <w:rFonts w:hint="default" w:ascii="Times New Roman" w:hAnsi="Times New Roman" w:cs="Times New Roman"/>
                      <w:color w:val="auto"/>
                      <w:sz w:val="18"/>
                      <w:szCs w:val="18"/>
                      <w:highlight w:val="none"/>
                      <w:vertAlign w:val="baseline"/>
                      <w:lang w:val="en-US" w:eastAsia="zh-CN"/>
                    </w:rPr>
                  </w:pPr>
                  <w:r>
                    <w:rPr>
                      <w:rFonts w:hint="default" w:ascii="Times New Roman" w:hAnsi="Times New Roman" w:cs="Times New Roman"/>
                      <w:color w:val="auto"/>
                      <w:sz w:val="18"/>
                      <w:szCs w:val="18"/>
                      <w:highlight w:val="none"/>
                      <w:vertAlign w:val="baseline"/>
                      <w:lang w:val="en-US" w:eastAsia="zh-CN"/>
                    </w:rPr>
                    <w:t>DA001</w:t>
                  </w:r>
                </w:p>
              </w:tc>
              <w:tc>
                <w:tcPr>
                  <w:tcW w:w="1270" w:type="dxa"/>
                  <w:tcBorders>
                    <w:tl2br w:val="nil"/>
                    <w:tr2bl w:val="nil"/>
                  </w:tcBorders>
                  <w:vAlign w:val="center"/>
                </w:tcPr>
                <w:p w14:paraId="6BD095B6">
                  <w:pPr>
                    <w:pStyle w:val="14"/>
                    <w:numPr>
                      <w:ilvl w:val="0"/>
                      <w:numId w:val="0"/>
                    </w:numPr>
                    <w:spacing w:line="240" w:lineRule="auto"/>
                    <w:jc w:val="center"/>
                    <w:rPr>
                      <w:rFonts w:hint="default" w:ascii="Times New Roman" w:hAnsi="Times New Roman" w:cs="Times New Roman"/>
                      <w:color w:val="auto"/>
                      <w:sz w:val="18"/>
                      <w:szCs w:val="18"/>
                      <w:highlight w:val="none"/>
                      <w:vertAlign w:val="baseline"/>
                      <w:lang w:val="en-US" w:eastAsia="zh-CN"/>
                    </w:rPr>
                  </w:pPr>
                  <w:r>
                    <w:rPr>
                      <w:rFonts w:hint="default" w:ascii="Times New Roman" w:hAnsi="Times New Roman" w:cs="Times New Roman"/>
                      <w:color w:val="auto"/>
                      <w:sz w:val="18"/>
                      <w:szCs w:val="18"/>
                      <w:highlight w:val="none"/>
                      <w:vertAlign w:val="baseline"/>
                      <w:lang w:val="en-US" w:eastAsia="zh-CN"/>
                    </w:rPr>
                    <w:t>一般排放口</w:t>
                  </w:r>
                </w:p>
              </w:tc>
              <w:tc>
                <w:tcPr>
                  <w:tcW w:w="1270" w:type="dxa"/>
                  <w:tcBorders>
                    <w:tl2br w:val="nil"/>
                    <w:tr2bl w:val="nil"/>
                  </w:tcBorders>
                  <w:vAlign w:val="center"/>
                </w:tcPr>
                <w:p w14:paraId="21F5A187">
                  <w:pPr>
                    <w:pStyle w:val="14"/>
                    <w:numPr>
                      <w:ilvl w:val="0"/>
                      <w:numId w:val="0"/>
                    </w:numPr>
                    <w:spacing w:line="240" w:lineRule="auto"/>
                    <w:jc w:val="center"/>
                    <w:rPr>
                      <w:rFonts w:hint="default" w:ascii="Times New Roman" w:hAnsi="Times New Roman" w:cs="Times New Roman"/>
                      <w:color w:val="auto"/>
                      <w:sz w:val="18"/>
                      <w:szCs w:val="18"/>
                      <w:highlight w:val="none"/>
                      <w:vertAlign w:val="baseline"/>
                      <w:lang w:eastAsia="zh-CN"/>
                    </w:rPr>
                  </w:pPr>
                  <w:r>
                    <w:rPr>
                      <w:rFonts w:hint="default" w:ascii="Times New Roman" w:hAnsi="Times New Roman" w:cs="Times New Roman"/>
                      <w:color w:val="auto"/>
                      <w:sz w:val="18"/>
                      <w:szCs w:val="18"/>
                      <w:highlight w:val="none"/>
                      <w:vertAlign w:val="baseline"/>
                      <w:lang w:val="en-US" w:eastAsia="zh-CN"/>
                    </w:rPr>
                    <w:t>排气筒出口</w:t>
                  </w:r>
                </w:p>
              </w:tc>
              <w:tc>
                <w:tcPr>
                  <w:tcW w:w="1270" w:type="dxa"/>
                  <w:tcBorders>
                    <w:tl2br w:val="nil"/>
                    <w:tr2bl w:val="nil"/>
                  </w:tcBorders>
                  <w:vAlign w:val="center"/>
                </w:tcPr>
                <w:p w14:paraId="65F3FDC8">
                  <w:pPr>
                    <w:pStyle w:val="14"/>
                    <w:numPr>
                      <w:ilvl w:val="0"/>
                      <w:numId w:val="0"/>
                    </w:numPr>
                    <w:spacing w:line="240" w:lineRule="auto"/>
                    <w:jc w:val="center"/>
                    <w:rPr>
                      <w:rFonts w:hint="default" w:ascii="Times New Roman" w:hAnsi="Times New Roman" w:cs="Times New Roman"/>
                      <w:color w:val="auto"/>
                      <w:sz w:val="18"/>
                      <w:szCs w:val="18"/>
                      <w:highlight w:val="none"/>
                      <w:vertAlign w:val="baseline"/>
                      <w:lang w:eastAsia="zh-CN"/>
                    </w:rPr>
                  </w:pPr>
                  <w:r>
                    <w:rPr>
                      <w:rFonts w:hint="default" w:ascii="Times New Roman" w:hAnsi="Times New Roman" w:cs="Times New Roman"/>
                      <w:color w:val="auto"/>
                      <w:sz w:val="18"/>
                      <w:szCs w:val="18"/>
                      <w:highlight w:val="none"/>
                      <w:vertAlign w:val="baseline"/>
                      <w:lang w:val="en-US" w:eastAsia="zh-CN"/>
                    </w:rPr>
                    <w:t>颗粒物、非甲烷总烃</w:t>
                  </w:r>
                </w:p>
              </w:tc>
              <w:tc>
                <w:tcPr>
                  <w:tcW w:w="1271" w:type="dxa"/>
                  <w:tcBorders>
                    <w:tl2br w:val="nil"/>
                    <w:tr2bl w:val="nil"/>
                  </w:tcBorders>
                  <w:vAlign w:val="center"/>
                </w:tcPr>
                <w:p w14:paraId="6946E5F4">
                  <w:pPr>
                    <w:pStyle w:val="14"/>
                    <w:numPr>
                      <w:ilvl w:val="0"/>
                      <w:numId w:val="0"/>
                    </w:numPr>
                    <w:spacing w:line="240" w:lineRule="auto"/>
                    <w:jc w:val="center"/>
                    <w:rPr>
                      <w:rFonts w:hint="default" w:ascii="Times New Roman" w:hAnsi="Times New Roman" w:cs="Times New Roman"/>
                      <w:color w:val="auto"/>
                      <w:sz w:val="18"/>
                      <w:szCs w:val="18"/>
                      <w:highlight w:val="none"/>
                      <w:vertAlign w:val="baseline"/>
                      <w:lang w:eastAsia="zh-CN"/>
                    </w:rPr>
                  </w:pPr>
                  <w:r>
                    <w:rPr>
                      <w:rFonts w:hint="default" w:ascii="Times New Roman" w:hAnsi="Times New Roman" w:cs="Times New Roman"/>
                      <w:color w:val="auto"/>
                      <w:sz w:val="18"/>
                      <w:szCs w:val="18"/>
                      <w:highlight w:val="none"/>
                      <w:vertAlign w:val="baseline"/>
                      <w:lang w:val="en-US" w:eastAsia="zh-CN"/>
                    </w:rPr>
                    <w:t>1次/年</w:t>
                  </w:r>
                </w:p>
              </w:tc>
            </w:tr>
            <w:tr w14:paraId="4D4D02F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69" w:type="dxa"/>
                  <w:tcBorders>
                    <w:tl2br w:val="nil"/>
                    <w:tr2bl w:val="nil"/>
                  </w:tcBorders>
                  <w:vAlign w:val="center"/>
                </w:tcPr>
                <w:p w14:paraId="4315F6A5">
                  <w:pPr>
                    <w:pStyle w:val="14"/>
                    <w:numPr>
                      <w:ilvl w:val="0"/>
                      <w:numId w:val="0"/>
                    </w:numPr>
                    <w:spacing w:line="240" w:lineRule="auto"/>
                    <w:jc w:val="center"/>
                    <w:rPr>
                      <w:rFonts w:hint="default" w:ascii="Times New Roman" w:hAnsi="Times New Roman" w:cs="Times New Roman"/>
                      <w:color w:val="auto"/>
                      <w:sz w:val="18"/>
                      <w:szCs w:val="18"/>
                      <w:highlight w:val="none"/>
                      <w:vertAlign w:val="baseline"/>
                      <w:lang w:val="en-US" w:eastAsia="zh-CN"/>
                    </w:rPr>
                  </w:pPr>
                  <w:r>
                    <w:rPr>
                      <w:rFonts w:hint="default" w:ascii="Times New Roman" w:hAnsi="Times New Roman" w:cs="Times New Roman"/>
                      <w:color w:val="auto"/>
                      <w:sz w:val="18"/>
                      <w:szCs w:val="18"/>
                      <w:highlight w:val="none"/>
                      <w:vertAlign w:val="baseline"/>
                      <w:lang w:val="en-US" w:eastAsia="zh-CN"/>
                    </w:rPr>
                    <w:t>无组织</w:t>
                  </w:r>
                </w:p>
              </w:tc>
              <w:tc>
                <w:tcPr>
                  <w:tcW w:w="1271" w:type="dxa"/>
                  <w:tcBorders>
                    <w:tl2br w:val="nil"/>
                    <w:tr2bl w:val="nil"/>
                  </w:tcBorders>
                  <w:vAlign w:val="center"/>
                </w:tcPr>
                <w:p w14:paraId="4EA1B03C">
                  <w:pPr>
                    <w:pStyle w:val="14"/>
                    <w:numPr>
                      <w:ilvl w:val="0"/>
                      <w:numId w:val="0"/>
                    </w:numPr>
                    <w:spacing w:line="240" w:lineRule="auto"/>
                    <w:jc w:val="center"/>
                    <w:rPr>
                      <w:rFonts w:hint="default" w:ascii="Times New Roman" w:hAnsi="Times New Roman" w:cs="Times New Roman"/>
                      <w:color w:val="auto"/>
                      <w:sz w:val="18"/>
                      <w:szCs w:val="18"/>
                      <w:highlight w:val="none"/>
                      <w:vertAlign w:val="baseline"/>
                      <w:lang w:val="en-US" w:eastAsia="zh-CN"/>
                    </w:rPr>
                  </w:pPr>
                  <w:r>
                    <w:rPr>
                      <w:rFonts w:hint="default" w:ascii="Times New Roman" w:hAnsi="Times New Roman" w:cs="Times New Roman"/>
                      <w:color w:val="auto"/>
                      <w:sz w:val="18"/>
                      <w:szCs w:val="18"/>
                      <w:highlight w:val="none"/>
                      <w:vertAlign w:val="baseline"/>
                      <w:lang w:val="en-US" w:eastAsia="zh-CN"/>
                    </w:rPr>
                    <w:t>/</w:t>
                  </w:r>
                </w:p>
              </w:tc>
              <w:tc>
                <w:tcPr>
                  <w:tcW w:w="1270" w:type="dxa"/>
                  <w:tcBorders>
                    <w:tl2br w:val="nil"/>
                    <w:tr2bl w:val="nil"/>
                  </w:tcBorders>
                  <w:vAlign w:val="center"/>
                </w:tcPr>
                <w:p w14:paraId="1ECB6542">
                  <w:pPr>
                    <w:pStyle w:val="14"/>
                    <w:numPr>
                      <w:ilvl w:val="0"/>
                      <w:numId w:val="0"/>
                    </w:numPr>
                    <w:spacing w:line="240" w:lineRule="auto"/>
                    <w:jc w:val="center"/>
                    <w:rPr>
                      <w:rFonts w:hint="default" w:ascii="Times New Roman" w:hAnsi="Times New Roman" w:cs="Times New Roman"/>
                      <w:color w:val="auto"/>
                      <w:sz w:val="18"/>
                      <w:szCs w:val="18"/>
                      <w:highlight w:val="none"/>
                      <w:vertAlign w:val="baseline"/>
                      <w:lang w:val="en-US" w:eastAsia="zh-CN"/>
                    </w:rPr>
                  </w:pPr>
                  <w:r>
                    <w:rPr>
                      <w:rFonts w:hint="default" w:ascii="Times New Roman" w:hAnsi="Times New Roman" w:cs="Times New Roman"/>
                      <w:color w:val="auto"/>
                      <w:sz w:val="18"/>
                      <w:szCs w:val="18"/>
                      <w:highlight w:val="none"/>
                      <w:vertAlign w:val="baseline"/>
                      <w:lang w:val="en-US" w:eastAsia="zh-CN"/>
                    </w:rPr>
                    <w:t>/</w:t>
                  </w:r>
                </w:p>
              </w:tc>
              <w:tc>
                <w:tcPr>
                  <w:tcW w:w="1270" w:type="dxa"/>
                  <w:tcBorders>
                    <w:tl2br w:val="nil"/>
                    <w:tr2bl w:val="nil"/>
                  </w:tcBorders>
                  <w:vAlign w:val="center"/>
                </w:tcPr>
                <w:p w14:paraId="243205A5">
                  <w:pPr>
                    <w:pStyle w:val="14"/>
                    <w:numPr>
                      <w:ilvl w:val="0"/>
                      <w:numId w:val="0"/>
                    </w:numPr>
                    <w:spacing w:line="240" w:lineRule="auto"/>
                    <w:jc w:val="center"/>
                    <w:rPr>
                      <w:rFonts w:hint="default" w:ascii="Times New Roman" w:hAnsi="Times New Roman" w:cs="Times New Roman"/>
                      <w:color w:val="auto"/>
                      <w:sz w:val="18"/>
                      <w:szCs w:val="18"/>
                      <w:highlight w:val="none"/>
                      <w:vertAlign w:val="baseline"/>
                      <w:lang w:eastAsia="zh-CN"/>
                    </w:rPr>
                  </w:pPr>
                  <w:r>
                    <w:rPr>
                      <w:rFonts w:hint="default" w:ascii="Times New Roman" w:hAnsi="Times New Roman" w:cs="Times New Roman"/>
                      <w:color w:val="auto"/>
                      <w:sz w:val="18"/>
                      <w:szCs w:val="18"/>
                      <w:highlight w:val="none"/>
                      <w:vertAlign w:val="baseline"/>
                      <w:lang w:val="en-US" w:eastAsia="zh-CN"/>
                    </w:rPr>
                    <w:t>厂界四周</w:t>
                  </w:r>
                </w:p>
              </w:tc>
              <w:tc>
                <w:tcPr>
                  <w:tcW w:w="1270" w:type="dxa"/>
                  <w:tcBorders>
                    <w:tl2br w:val="nil"/>
                    <w:tr2bl w:val="nil"/>
                  </w:tcBorders>
                  <w:vAlign w:val="center"/>
                </w:tcPr>
                <w:p w14:paraId="2A78B7E4">
                  <w:pPr>
                    <w:pStyle w:val="14"/>
                    <w:numPr>
                      <w:ilvl w:val="0"/>
                      <w:numId w:val="0"/>
                    </w:numPr>
                    <w:spacing w:line="240" w:lineRule="auto"/>
                    <w:jc w:val="center"/>
                    <w:rPr>
                      <w:rFonts w:hint="default" w:ascii="Times New Roman" w:hAnsi="Times New Roman" w:cs="Times New Roman"/>
                      <w:color w:val="auto"/>
                      <w:sz w:val="18"/>
                      <w:szCs w:val="18"/>
                      <w:highlight w:val="none"/>
                      <w:vertAlign w:val="baseline"/>
                      <w:lang w:eastAsia="zh-CN"/>
                    </w:rPr>
                  </w:pPr>
                  <w:r>
                    <w:rPr>
                      <w:rFonts w:hint="default" w:ascii="Times New Roman" w:hAnsi="Times New Roman" w:cs="Times New Roman"/>
                      <w:color w:val="auto"/>
                      <w:sz w:val="18"/>
                      <w:szCs w:val="18"/>
                      <w:highlight w:val="none"/>
                      <w:vertAlign w:val="baseline"/>
                      <w:lang w:val="en-US" w:eastAsia="zh-CN"/>
                    </w:rPr>
                    <w:t>颗粒物、非甲烷总烃</w:t>
                  </w:r>
                </w:p>
              </w:tc>
              <w:tc>
                <w:tcPr>
                  <w:tcW w:w="1271" w:type="dxa"/>
                  <w:tcBorders>
                    <w:tl2br w:val="nil"/>
                    <w:tr2bl w:val="nil"/>
                  </w:tcBorders>
                  <w:vAlign w:val="center"/>
                </w:tcPr>
                <w:p w14:paraId="25F453FA">
                  <w:pPr>
                    <w:pStyle w:val="14"/>
                    <w:numPr>
                      <w:ilvl w:val="0"/>
                      <w:numId w:val="0"/>
                    </w:numPr>
                    <w:spacing w:line="240" w:lineRule="auto"/>
                    <w:jc w:val="center"/>
                    <w:rPr>
                      <w:rFonts w:hint="default" w:ascii="Times New Roman" w:hAnsi="Times New Roman" w:cs="Times New Roman"/>
                      <w:color w:val="auto"/>
                      <w:sz w:val="18"/>
                      <w:szCs w:val="18"/>
                      <w:highlight w:val="none"/>
                      <w:vertAlign w:val="baseline"/>
                      <w:lang w:eastAsia="zh-CN"/>
                    </w:rPr>
                  </w:pPr>
                  <w:r>
                    <w:rPr>
                      <w:rFonts w:hint="default" w:ascii="Times New Roman" w:hAnsi="Times New Roman" w:cs="Times New Roman"/>
                      <w:color w:val="auto"/>
                      <w:sz w:val="18"/>
                      <w:szCs w:val="18"/>
                      <w:highlight w:val="none"/>
                      <w:vertAlign w:val="baseline"/>
                      <w:lang w:val="en-US" w:eastAsia="zh-CN"/>
                    </w:rPr>
                    <w:t>1次/年</w:t>
                  </w:r>
                </w:p>
              </w:tc>
            </w:tr>
          </w:tbl>
          <w:p w14:paraId="25400BB9">
            <w:pPr>
              <w:pStyle w:val="14"/>
              <w:numPr>
                <w:ilvl w:val="0"/>
                <w:numId w:val="0"/>
              </w:numPr>
              <w:spacing w:line="360" w:lineRule="auto"/>
              <w:ind w:firstLine="0" w:firstLineChars="0"/>
              <w:rPr>
                <w:rFonts w:hint="default"/>
                <w:color w:val="auto"/>
                <w:sz w:val="21"/>
                <w:szCs w:val="21"/>
                <w:highlight w:val="none"/>
                <w:lang w:eastAsia="zh-CN"/>
              </w:rPr>
            </w:pPr>
          </w:p>
          <w:p w14:paraId="65168BE9">
            <w:pPr>
              <w:spacing w:line="360" w:lineRule="auto"/>
              <w:rPr>
                <w:b/>
                <w:bCs/>
                <w:color w:val="auto"/>
                <w:sz w:val="22"/>
                <w:szCs w:val="22"/>
                <w:highlight w:val="none"/>
              </w:rPr>
            </w:pPr>
            <w:r>
              <w:rPr>
                <w:rFonts w:hint="default"/>
                <w:b/>
                <w:bCs/>
                <w:color w:val="auto"/>
                <w:sz w:val="22"/>
                <w:szCs w:val="22"/>
                <w:highlight w:val="none"/>
              </w:rPr>
              <w:t>4.2.2 废水</w:t>
            </w:r>
          </w:p>
          <w:p w14:paraId="4016BB44">
            <w:pPr>
              <w:spacing w:line="360" w:lineRule="auto"/>
              <w:rPr>
                <w:b/>
                <w:bCs/>
                <w:color w:val="auto"/>
                <w:szCs w:val="21"/>
                <w:highlight w:val="none"/>
              </w:rPr>
            </w:pPr>
            <w:r>
              <w:rPr>
                <w:rFonts w:hint="default"/>
                <w:b/>
                <w:bCs/>
                <w:color w:val="auto"/>
                <w:szCs w:val="21"/>
                <w:highlight w:val="none"/>
              </w:rPr>
              <w:t>1、废水源强核算</w:t>
            </w:r>
          </w:p>
          <w:p w14:paraId="7CDD04F9">
            <w:pPr>
              <w:spacing w:line="360" w:lineRule="auto"/>
              <w:ind w:firstLine="420" w:firstLineChars="200"/>
              <w:rPr>
                <w:color w:val="auto"/>
                <w:szCs w:val="21"/>
                <w:highlight w:val="none"/>
              </w:rPr>
            </w:pPr>
            <w:r>
              <w:rPr>
                <w:rFonts w:hint="default"/>
                <w:color w:val="auto"/>
                <w:szCs w:val="21"/>
                <w:highlight w:val="none"/>
              </w:rPr>
              <w:t>本项目产生废水主要为砂磨机清洗废水W1、喷雾干燥器清洗废水W2、纯水制备浓水W3、循环冷却水外排W4、喷淋塔废水W5、生活污水</w:t>
            </w:r>
            <w:r>
              <w:rPr>
                <w:rFonts w:hint="default"/>
                <w:color w:val="auto"/>
                <w:szCs w:val="21"/>
                <w:highlight w:val="none"/>
                <w:lang w:val="en-US" w:eastAsia="zh-CN"/>
              </w:rPr>
              <w:t>W6</w:t>
            </w:r>
            <w:r>
              <w:rPr>
                <w:rFonts w:hint="default"/>
                <w:color w:val="auto"/>
                <w:szCs w:val="21"/>
                <w:highlight w:val="none"/>
              </w:rPr>
              <w:t>。</w:t>
            </w:r>
          </w:p>
          <w:p w14:paraId="2556D39C">
            <w:pPr>
              <w:numPr>
                <w:ilvl w:val="0"/>
                <w:numId w:val="9"/>
              </w:numPr>
              <w:spacing w:line="360" w:lineRule="auto"/>
              <w:ind w:firstLine="422" w:firstLineChars="200"/>
              <w:rPr>
                <w:b/>
                <w:bCs/>
                <w:color w:val="auto"/>
                <w:szCs w:val="21"/>
                <w:highlight w:val="none"/>
              </w:rPr>
            </w:pPr>
            <w:r>
              <w:rPr>
                <w:rFonts w:hint="default"/>
                <w:b/>
                <w:bCs/>
                <w:color w:val="auto"/>
                <w:szCs w:val="21"/>
                <w:highlight w:val="none"/>
              </w:rPr>
              <w:t>砂磨机清洗废水W1</w:t>
            </w:r>
          </w:p>
          <w:p w14:paraId="2E0AF07D">
            <w:pPr>
              <w:keepNext/>
              <w:keepLines/>
              <w:spacing w:line="360" w:lineRule="auto"/>
              <w:ind w:firstLine="420" w:firstLineChars="200"/>
              <w:rPr>
                <w:b/>
                <w:bCs/>
                <w:color w:val="auto"/>
                <w:szCs w:val="21"/>
                <w:highlight w:val="none"/>
              </w:rPr>
            </w:pPr>
            <w:r>
              <w:rPr>
                <w:rFonts w:hint="default"/>
                <w:color w:val="auto"/>
                <w:szCs w:val="21"/>
                <w:highlight w:val="none"/>
              </w:rPr>
              <w:t>每批次研磨后，对砂磨机进行清洗，每次清洗需要自来水5 kg，用于冲洗、溶解残存的原料粉末。根据企业工程经验，清洗废水W1产生量为0.5 t/a，废水水质为COD</w:t>
            </w:r>
            <w:r>
              <w:rPr>
                <w:rFonts w:hint="default"/>
                <w:color w:val="auto"/>
                <w:szCs w:val="21"/>
                <w:highlight w:val="none"/>
                <w:vertAlign w:val="subscript"/>
              </w:rPr>
              <w:t xml:space="preserve">Cr </w:t>
            </w:r>
            <w:r>
              <w:rPr>
                <w:rFonts w:hint="default"/>
                <w:color w:val="auto"/>
                <w:szCs w:val="21"/>
                <w:highlight w:val="none"/>
              </w:rPr>
              <w:t xml:space="preserve">65 mg/L、总磷 </w:t>
            </w:r>
            <w:r>
              <w:rPr>
                <w:rFonts w:hint="default"/>
                <w:color w:val="auto"/>
                <w:szCs w:val="21"/>
                <w:highlight w:val="none"/>
                <w:lang w:val="en-US" w:eastAsia="zh-CN"/>
              </w:rPr>
              <w:t>50</w:t>
            </w:r>
            <w:r>
              <w:rPr>
                <w:rFonts w:hint="default"/>
                <w:color w:val="auto"/>
                <w:szCs w:val="21"/>
                <w:highlight w:val="none"/>
              </w:rPr>
              <w:t xml:space="preserve"> mg/L、SS 10 g/L（主要为不溶性金属氧化物），经预处理满足限值后纳管。</w:t>
            </w:r>
          </w:p>
          <w:p w14:paraId="6594DB0D">
            <w:pPr>
              <w:numPr>
                <w:ilvl w:val="0"/>
                <w:numId w:val="9"/>
              </w:numPr>
              <w:spacing w:line="360" w:lineRule="auto"/>
              <w:ind w:firstLine="422" w:firstLineChars="200"/>
              <w:rPr>
                <w:b/>
                <w:bCs/>
                <w:color w:val="auto"/>
                <w:szCs w:val="21"/>
                <w:highlight w:val="none"/>
              </w:rPr>
            </w:pPr>
            <w:r>
              <w:rPr>
                <w:rFonts w:hint="default"/>
                <w:b/>
                <w:bCs/>
                <w:color w:val="auto"/>
                <w:szCs w:val="21"/>
                <w:highlight w:val="none"/>
              </w:rPr>
              <w:t>喷雾干燥器清洗废水W2</w:t>
            </w:r>
          </w:p>
          <w:p w14:paraId="690F408B">
            <w:pPr>
              <w:keepNext/>
              <w:keepLines/>
              <w:spacing w:line="360" w:lineRule="auto"/>
              <w:ind w:firstLine="420" w:firstLineChars="200"/>
              <w:rPr>
                <w:b/>
                <w:bCs/>
                <w:color w:val="auto"/>
                <w:szCs w:val="21"/>
                <w:highlight w:val="none"/>
              </w:rPr>
            </w:pPr>
            <w:r>
              <w:rPr>
                <w:rFonts w:hint="default"/>
                <w:color w:val="auto"/>
                <w:szCs w:val="21"/>
                <w:highlight w:val="none"/>
              </w:rPr>
              <w:t>每批次干燥后，对喷雾干燥器进行清洗，每次清洗需要自来水30 kg，用于冲洗或溶解残存的原料粉末。根据企业工程经验，清洗废水W2产生量为3 t/a，废水水质为COD</w:t>
            </w:r>
            <w:r>
              <w:rPr>
                <w:rFonts w:hint="default"/>
                <w:color w:val="auto"/>
                <w:szCs w:val="21"/>
                <w:highlight w:val="none"/>
                <w:vertAlign w:val="subscript"/>
              </w:rPr>
              <w:t>Cr</w:t>
            </w:r>
            <w:r>
              <w:rPr>
                <w:rFonts w:hint="default"/>
                <w:color w:val="auto"/>
                <w:szCs w:val="21"/>
                <w:highlight w:val="none"/>
              </w:rPr>
              <w:t xml:space="preserve"> 30 mg/L、总磷 </w:t>
            </w:r>
            <w:r>
              <w:rPr>
                <w:rFonts w:hint="default"/>
                <w:color w:val="auto"/>
                <w:szCs w:val="21"/>
                <w:highlight w:val="none"/>
                <w:lang w:val="en-US" w:eastAsia="zh-CN"/>
              </w:rPr>
              <w:t>30</w:t>
            </w:r>
            <w:r>
              <w:rPr>
                <w:rFonts w:hint="default"/>
                <w:color w:val="auto"/>
                <w:szCs w:val="21"/>
                <w:highlight w:val="none"/>
              </w:rPr>
              <w:t xml:space="preserve"> mg/L、SS 10 g/L（主要为不溶性正极材料粉体），经预处理满足限值后纳管。</w:t>
            </w:r>
          </w:p>
          <w:p w14:paraId="257D432F">
            <w:pPr>
              <w:numPr>
                <w:ilvl w:val="0"/>
                <w:numId w:val="9"/>
              </w:numPr>
              <w:spacing w:line="360" w:lineRule="auto"/>
              <w:ind w:firstLine="422" w:firstLineChars="200"/>
              <w:rPr>
                <w:b/>
                <w:bCs/>
                <w:color w:val="auto"/>
                <w:szCs w:val="21"/>
                <w:highlight w:val="none"/>
              </w:rPr>
            </w:pPr>
            <w:r>
              <w:rPr>
                <w:rFonts w:hint="default"/>
                <w:b/>
                <w:bCs/>
                <w:color w:val="auto"/>
                <w:szCs w:val="21"/>
                <w:highlight w:val="none"/>
              </w:rPr>
              <w:t>纯水制备浓水W3</w:t>
            </w:r>
          </w:p>
          <w:p w14:paraId="3000BA17">
            <w:pPr>
              <w:spacing w:line="360" w:lineRule="auto"/>
              <w:ind w:firstLine="420" w:firstLineChars="200"/>
              <w:rPr>
                <w:color w:val="auto"/>
                <w:szCs w:val="21"/>
                <w:highlight w:val="none"/>
              </w:rPr>
            </w:pPr>
            <w:r>
              <w:rPr>
                <w:rFonts w:hint="default"/>
                <w:color w:val="auto"/>
                <w:szCs w:val="21"/>
                <w:highlight w:val="none"/>
              </w:rPr>
              <w:t>项目设置一套0.25 t/h一级RO+EDI超纯水制备系统，制备纯水量为12 t/a。一级RO回收率取值70%，EDI回收率取值90%，则总进水约为19</w:t>
            </w:r>
            <w:r>
              <w:rPr>
                <w:rFonts w:hint="default"/>
                <w:color w:val="auto"/>
                <w:szCs w:val="21"/>
                <w:highlight w:val="none"/>
                <w:lang w:val="en-US" w:eastAsia="zh-CN"/>
              </w:rPr>
              <w:t>.05</w:t>
            </w:r>
            <w:r>
              <w:rPr>
                <w:rFonts w:hint="default"/>
                <w:color w:val="auto"/>
                <w:szCs w:val="21"/>
                <w:highlight w:val="none"/>
              </w:rPr>
              <w:t xml:space="preserve"> t/a，浓水排放约为7</w:t>
            </w:r>
            <w:r>
              <w:rPr>
                <w:rFonts w:hint="default"/>
                <w:color w:val="auto"/>
                <w:szCs w:val="21"/>
                <w:highlight w:val="none"/>
                <w:lang w:val="en-US" w:eastAsia="zh-CN"/>
              </w:rPr>
              <w:t>.05</w:t>
            </w:r>
            <w:r>
              <w:rPr>
                <w:rFonts w:hint="default"/>
                <w:color w:val="auto"/>
                <w:szCs w:val="21"/>
                <w:highlight w:val="none"/>
              </w:rPr>
              <w:t xml:space="preserve"> t/a。浓水主要为RO浓水和EDI浓水混合，盐分和硬度增加，主要污染物溶解性总固体，浓水COD</w:t>
            </w:r>
            <w:r>
              <w:rPr>
                <w:rFonts w:hint="default"/>
                <w:color w:val="auto"/>
                <w:szCs w:val="21"/>
                <w:highlight w:val="none"/>
                <w:vertAlign w:val="subscript"/>
              </w:rPr>
              <w:t>Cr</w:t>
            </w:r>
            <w:r>
              <w:rPr>
                <w:rFonts w:hint="default"/>
                <w:color w:val="auto"/>
                <w:szCs w:val="21"/>
                <w:highlight w:val="none"/>
              </w:rPr>
              <w:t>浓度小于50 mg/L，可直接纳管。</w:t>
            </w:r>
          </w:p>
          <w:p w14:paraId="08A45DEF">
            <w:pPr>
              <w:numPr>
                <w:ilvl w:val="0"/>
                <w:numId w:val="9"/>
              </w:numPr>
              <w:spacing w:line="360" w:lineRule="auto"/>
              <w:ind w:firstLine="422" w:firstLineChars="200"/>
              <w:rPr>
                <w:b/>
                <w:bCs/>
                <w:color w:val="auto"/>
                <w:szCs w:val="21"/>
                <w:highlight w:val="none"/>
              </w:rPr>
            </w:pPr>
            <w:r>
              <w:rPr>
                <w:rFonts w:hint="default"/>
                <w:b/>
                <w:bCs/>
                <w:color w:val="auto"/>
                <w:szCs w:val="21"/>
                <w:highlight w:val="none"/>
              </w:rPr>
              <w:t>循环冷却水外排W4</w:t>
            </w:r>
          </w:p>
          <w:p w14:paraId="3378EFFF">
            <w:pPr>
              <w:spacing w:line="360" w:lineRule="auto"/>
              <w:ind w:firstLine="420" w:firstLineChars="200"/>
              <w:rPr>
                <w:color w:val="auto"/>
                <w:szCs w:val="21"/>
                <w:highlight w:val="none"/>
              </w:rPr>
            </w:pPr>
            <w:r>
              <w:rPr>
                <w:rFonts w:hint="default"/>
                <w:color w:val="auto"/>
                <w:szCs w:val="21"/>
                <w:highlight w:val="none"/>
              </w:rPr>
              <w:t>项目设置一台冷水机，循环水量为9.2 m</w:t>
            </w:r>
            <w:r>
              <w:rPr>
                <w:rFonts w:hint="default"/>
                <w:color w:val="auto"/>
                <w:szCs w:val="21"/>
                <w:highlight w:val="none"/>
                <w:vertAlign w:val="superscript"/>
              </w:rPr>
              <w:t>3</w:t>
            </w:r>
            <w:r>
              <w:rPr>
                <w:rFonts w:hint="default"/>
                <w:color w:val="auto"/>
                <w:szCs w:val="21"/>
                <w:highlight w:val="none"/>
              </w:rPr>
              <w:t>/h，运行时间4 h/d，年工作248天，循环水量为9126.4 t/a。定期排水量计算取值循环水量的0.3%，则循环冷却水外排量W4为0.11 t/d（27.3</w:t>
            </w:r>
            <w:r>
              <w:rPr>
                <w:rFonts w:hint="eastAsia"/>
                <w:color w:val="auto"/>
                <w:szCs w:val="21"/>
                <w:highlight w:val="none"/>
                <w:lang w:val="en-US" w:eastAsia="zh-CN"/>
              </w:rPr>
              <w:t>8</w:t>
            </w:r>
            <w:r>
              <w:rPr>
                <w:rFonts w:hint="default"/>
                <w:color w:val="auto"/>
                <w:szCs w:val="21"/>
                <w:highlight w:val="none"/>
              </w:rPr>
              <w:t xml:space="preserve"> t/a），主要污染物为COD</w:t>
            </w:r>
            <w:r>
              <w:rPr>
                <w:rFonts w:hint="default"/>
                <w:color w:val="auto"/>
                <w:szCs w:val="21"/>
                <w:highlight w:val="none"/>
                <w:vertAlign w:val="subscript"/>
              </w:rPr>
              <w:t>Cr</w:t>
            </w:r>
            <w:r>
              <w:rPr>
                <w:rFonts w:hint="default"/>
                <w:color w:val="auto"/>
                <w:szCs w:val="21"/>
                <w:highlight w:val="none"/>
              </w:rPr>
              <w:t>，浓度小于50 mg/L，可直接纳管。</w:t>
            </w:r>
          </w:p>
          <w:p w14:paraId="2F156232">
            <w:pPr>
              <w:numPr>
                <w:ilvl w:val="0"/>
                <w:numId w:val="9"/>
              </w:numPr>
              <w:spacing w:line="360" w:lineRule="auto"/>
              <w:ind w:firstLine="422" w:firstLineChars="200"/>
              <w:rPr>
                <w:b/>
                <w:bCs/>
                <w:color w:val="auto"/>
                <w:szCs w:val="21"/>
                <w:highlight w:val="none"/>
              </w:rPr>
            </w:pPr>
            <w:r>
              <w:rPr>
                <w:rFonts w:hint="default"/>
                <w:b/>
                <w:bCs/>
                <w:color w:val="auto"/>
                <w:szCs w:val="21"/>
                <w:highlight w:val="none"/>
              </w:rPr>
              <w:t>喷淋塔废水</w:t>
            </w:r>
            <w:r>
              <w:rPr>
                <w:rFonts w:hint="default"/>
                <w:b/>
                <w:bCs/>
                <w:color w:val="auto"/>
                <w:szCs w:val="21"/>
                <w:highlight w:val="none"/>
                <w:lang w:val="en-US" w:eastAsia="zh-CN"/>
              </w:rPr>
              <w:t>W5</w:t>
            </w:r>
          </w:p>
          <w:p w14:paraId="20B61DCE">
            <w:pPr>
              <w:spacing w:line="360" w:lineRule="auto"/>
              <w:ind w:firstLine="420" w:firstLineChars="200"/>
              <w:rPr>
                <w:rFonts w:hint="default" w:eastAsia="宋体"/>
                <w:color w:val="auto"/>
                <w:highlight w:val="none"/>
                <w:vertAlign w:val="baseline"/>
                <w:lang w:val="en-US" w:eastAsia="zh-CN"/>
              </w:rPr>
            </w:pPr>
            <w:r>
              <w:rPr>
                <w:rFonts w:hint="default"/>
                <w:color w:val="auto"/>
                <w:szCs w:val="21"/>
                <w:highlight w:val="none"/>
              </w:rPr>
              <w:t>喷淋塔外形尺寸</w:t>
            </w:r>
            <w:r>
              <w:rPr>
                <w:color w:val="auto"/>
                <w:szCs w:val="21"/>
                <w:highlight w:val="none"/>
                <w:shd w:val="clear" w:color="auto" w:fill="FFFFFF"/>
              </w:rPr>
              <w:t>Φ</w:t>
            </w:r>
            <w:r>
              <w:rPr>
                <w:rFonts w:hint="default"/>
                <w:color w:val="auto"/>
                <w:szCs w:val="21"/>
                <w:highlight w:val="none"/>
                <w:shd w:val="clear" w:color="auto" w:fill="FFFFFF"/>
              </w:rPr>
              <w:t>800×2300 mm，</w:t>
            </w:r>
            <w:r>
              <w:rPr>
                <w:rFonts w:hint="default"/>
                <w:color w:val="auto"/>
                <w:szCs w:val="21"/>
                <w:highlight w:val="none"/>
              </w:rPr>
              <w:t>处理风量为2000 m</w:t>
            </w:r>
            <w:r>
              <w:rPr>
                <w:rFonts w:hint="default"/>
                <w:color w:val="auto"/>
                <w:szCs w:val="21"/>
                <w:highlight w:val="none"/>
                <w:vertAlign w:val="superscript"/>
              </w:rPr>
              <w:t>3</w:t>
            </w:r>
            <w:r>
              <w:rPr>
                <w:rFonts w:hint="default"/>
                <w:color w:val="auto"/>
                <w:szCs w:val="21"/>
                <w:highlight w:val="none"/>
              </w:rPr>
              <w:t>/h，循环水量为4 m</w:t>
            </w:r>
            <w:r>
              <w:rPr>
                <w:rFonts w:hint="default"/>
                <w:color w:val="auto"/>
                <w:szCs w:val="21"/>
                <w:highlight w:val="none"/>
                <w:vertAlign w:val="superscript"/>
              </w:rPr>
              <w:t>3</w:t>
            </w:r>
            <w:r>
              <w:rPr>
                <w:rFonts w:hint="default"/>
                <w:color w:val="auto"/>
                <w:szCs w:val="21"/>
                <w:highlight w:val="none"/>
              </w:rPr>
              <w:t>/h。根据企业提供设计参数，循环水箱的设计尺寸为</w:t>
            </w:r>
            <w:r>
              <w:rPr>
                <w:rFonts w:hint="default"/>
                <w:color w:val="auto"/>
                <w:szCs w:val="21"/>
                <w:highlight w:val="none"/>
                <w:lang w:val="en-US" w:eastAsia="zh-CN"/>
              </w:rPr>
              <w:t>1500×1500×2000 mm，有效容积为2 m</w:t>
            </w:r>
            <w:r>
              <w:rPr>
                <w:rFonts w:hint="default"/>
                <w:color w:val="auto"/>
                <w:szCs w:val="21"/>
                <w:highlight w:val="none"/>
                <w:vertAlign w:val="superscript"/>
                <w:lang w:val="en-US" w:eastAsia="zh-CN"/>
              </w:rPr>
              <w:t>3</w:t>
            </w:r>
            <w:r>
              <w:rPr>
                <w:rFonts w:hint="default"/>
                <w:color w:val="auto"/>
                <w:szCs w:val="21"/>
                <w:highlight w:val="none"/>
                <w:lang w:val="en-US" w:eastAsia="zh-CN"/>
              </w:rPr>
              <w:t>，每月更换喷淋废水，则喷淋塔废水量为24 m</w:t>
            </w:r>
            <w:r>
              <w:rPr>
                <w:rFonts w:hint="default"/>
                <w:color w:val="auto"/>
                <w:szCs w:val="21"/>
                <w:highlight w:val="none"/>
                <w:vertAlign w:val="superscript"/>
                <w:lang w:val="en-US" w:eastAsia="zh-CN"/>
              </w:rPr>
              <w:t>3</w:t>
            </w:r>
            <w:r>
              <w:rPr>
                <w:rFonts w:hint="default"/>
                <w:color w:val="auto"/>
                <w:szCs w:val="21"/>
                <w:highlight w:val="none"/>
                <w:vertAlign w:val="baseline"/>
                <w:lang w:val="en-US" w:eastAsia="zh-CN"/>
              </w:rPr>
              <w:t>，水质类比同类型项目：</w:t>
            </w:r>
            <w:r>
              <w:rPr>
                <w:rFonts w:hint="default"/>
                <w:color w:val="auto"/>
                <w:highlight w:val="none"/>
              </w:rPr>
              <w:t>COD</w:t>
            </w:r>
            <w:r>
              <w:rPr>
                <w:rFonts w:hint="default"/>
                <w:color w:val="auto"/>
                <w:highlight w:val="none"/>
                <w:vertAlign w:val="subscript"/>
              </w:rPr>
              <w:t>C</w:t>
            </w:r>
            <w:r>
              <w:rPr>
                <w:rFonts w:hint="default"/>
                <w:color w:val="auto"/>
                <w:highlight w:val="none"/>
                <w:vertAlign w:val="baseline"/>
                <w:lang w:val="en-US" w:eastAsia="zh-CN"/>
              </w:rPr>
              <w:t xml:space="preserve"> 100 mg/L</w:t>
            </w:r>
            <w:r>
              <w:rPr>
                <w:rFonts w:hint="default"/>
                <w:color w:val="auto"/>
                <w:highlight w:val="none"/>
                <w:vertAlign w:val="subscript"/>
              </w:rPr>
              <w:t>r</w:t>
            </w:r>
            <w:r>
              <w:rPr>
                <w:rFonts w:hint="default"/>
                <w:color w:val="auto"/>
                <w:highlight w:val="none"/>
                <w:lang w:eastAsia="zh-CN"/>
              </w:rPr>
              <w:t>、</w:t>
            </w:r>
            <w:r>
              <w:rPr>
                <w:rFonts w:hint="default"/>
                <w:color w:val="auto"/>
                <w:highlight w:val="none"/>
              </w:rPr>
              <w:t>SS</w:t>
            </w:r>
            <w:r>
              <w:rPr>
                <w:rFonts w:hint="default"/>
                <w:color w:val="auto"/>
                <w:highlight w:val="none"/>
                <w:lang w:val="en-US" w:eastAsia="zh-CN"/>
              </w:rPr>
              <w:t xml:space="preserve"> 50 mg/L</w:t>
            </w:r>
            <w:r>
              <w:rPr>
                <w:rFonts w:hint="default"/>
                <w:color w:val="auto"/>
                <w:highlight w:val="none"/>
                <w:lang w:eastAsia="zh-CN"/>
              </w:rPr>
              <w:t>。</w:t>
            </w:r>
          </w:p>
          <w:p w14:paraId="782AAF63">
            <w:pPr>
              <w:numPr>
                <w:ilvl w:val="0"/>
                <w:numId w:val="9"/>
              </w:numPr>
              <w:spacing w:line="360" w:lineRule="auto"/>
              <w:ind w:firstLine="422" w:firstLineChars="200"/>
              <w:rPr>
                <w:b/>
                <w:bCs/>
                <w:color w:val="auto"/>
                <w:szCs w:val="21"/>
                <w:highlight w:val="none"/>
              </w:rPr>
            </w:pPr>
            <w:r>
              <w:rPr>
                <w:rFonts w:hint="default"/>
                <w:b/>
                <w:bCs/>
                <w:color w:val="auto"/>
                <w:szCs w:val="21"/>
                <w:highlight w:val="none"/>
              </w:rPr>
              <w:t>员工生活污水W</w:t>
            </w:r>
            <w:r>
              <w:rPr>
                <w:rFonts w:hint="default"/>
                <w:b/>
                <w:bCs/>
                <w:color w:val="auto"/>
                <w:szCs w:val="21"/>
                <w:highlight w:val="none"/>
                <w:lang w:val="en-US" w:eastAsia="zh-CN"/>
              </w:rPr>
              <w:t>6</w:t>
            </w:r>
          </w:p>
          <w:p w14:paraId="7422923B">
            <w:pPr>
              <w:spacing w:line="360" w:lineRule="auto"/>
              <w:ind w:firstLine="420" w:firstLineChars="200"/>
              <w:rPr>
                <w:color w:val="auto"/>
                <w:highlight w:val="none"/>
              </w:rPr>
            </w:pPr>
            <w:r>
              <w:rPr>
                <w:rFonts w:hint="default"/>
                <w:color w:val="auto"/>
                <w:szCs w:val="21"/>
                <w:highlight w:val="none"/>
              </w:rPr>
              <w:t>企业劳动定员13人</w:t>
            </w:r>
            <w:r>
              <w:rPr>
                <w:rFonts w:hint="default"/>
                <w:b/>
                <w:bCs/>
                <w:color w:val="auto"/>
                <w:szCs w:val="21"/>
                <w:highlight w:val="none"/>
              </w:rPr>
              <w:t>，</w:t>
            </w:r>
            <w:r>
              <w:rPr>
                <w:rFonts w:hint="default"/>
                <w:color w:val="auto"/>
                <w:highlight w:val="none"/>
              </w:rPr>
              <w:t>实行单班制，每班生产8小时，年工作日248天。根据《建筑给水排水设计标准》（GB 50015-2019）中3.2.11相应内容“工业企业建筑管理人员、车间工人最高日生活用水定额取30-50 L/（人·班）”，本项目取50 L/（人·班），则用水量为0.65 t/d（161.2 t/a）；根据《生活污染源产排污系数手册》表1-1相应内容，浙江省折污系数取0.85，则生活污水产生量为0.55 t/d（137.02 t/a），水质为：COD</w:t>
            </w:r>
            <w:r>
              <w:rPr>
                <w:rFonts w:hint="default"/>
                <w:color w:val="auto"/>
                <w:highlight w:val="none"/>
                <w:vertAlign w:val="subscript"/>
              </w:rPr>
              <w:t>Cr</w:t>
            </w:r>
            <w:r>
              <w:rPr>
                <w:rFonts w:hint="default"/>
                <w:color w:val="auto"/>
                <w:highlight w:val="none"/>
              </w:rPr>
              <w:t>340 mg/L，氨氮32.6 mg/L。</w:t>
            </w:r>
          </w:p>
          <w:p w14:paraId="16CA08AC">
            <w:pPr>
              <w:numPr>
                <w:ilvl w:val="0"/>
                <w:numId w:val="9"/>
              </w:numPr>
              <w:spacing w:line="360" w:lineRule="auto"/>
              <w:ind w:firstLine="422" w:firstLineChars="200"/>
              <w:rPr>
                <w:b/>
                <w:bCs/>
                <w:color w:val="auto"/>
                <w:szCs w:val="21"/>
                <w:highlight w:val="none"/>
              </w:rPr>
            </w:pPr>
            <w:r>
              <w:rPr>
                <w:rFonts w:hint="default"/>
                <w:b/>
                <w:bCs/>
                <w:color w:val="auto"/>
                <w:szCs w:val="21"/>
                <w:highlight w:val="none"/>
              </w:rPr>
              <w:t>废水汇总</w:t>
            </w:r>
          </w:p>
          <w:p w14:paraId="21BE5DA8">
            <w:pPr>
              <w:adjustRightInd w:val="0"/>
              <w:snapToGrid w:val="0"/>
              <w:spacing w:line="360" w:lineRule="auto"/>
              <w:ind w:firstLine="420" w:firstLineChars="200"/>
              <w:rPr>
                <w:rFonts w:hint="default" w:eastAsia="宋体"/>
                <w:bCs/>
                <w:color w:val="auto"/>
                <w:szCs w:val="21"/>
                <w:highlight w:val="none"/>
                <w:lang w:val="en-US" w:eastAsia="zh-CN"/>
              </w:rPr>
            </w:pPr>
            <w:bookmarkStart w:id="47" w:name="OLE_LINK267"/>
            <w:bookmarkStart w:id="48" w:name="OLE_LINK268"/>
            <w:bookmarkStart w:id="49" w:name="OLE_LINK412"/>
            <w:bookmarkStart w:id="50" w:name="OLE_LINK413"/>
            <w:r>
              <w:rPr>
                <w:rFonts w:hint="default"/>
                <w:bCs/>
                <w:color w:val="auto"/>
                <w:szCs w:val="21"/>
                <w:highlight w:val="none"/>
              </w:rPr>
              <w:t>生产废水经化学除磷-沉淀预处理、生活污水经化粪池预处理后共同纳管排放，</w:t>
            </w:r>
            <w:bookmarkEnd w:id="47"/>
            <w:bookmarkEnd w:id="48"/>
            <w:r>
              <w:rPr>
                <w:bCs/>
                <w:color w:val="auto"/>
                <w:szCs w:val="21"/>
                <w:highlight w:val="none"/>
              </w:rPr>
              <w:t>最终送良渚污水处理厂集中处理达标后外排</w:t>
            </w:r>
            <w:bookmarkEnd w:id="49"/>
            <w:bookmarkEnd w:id="50"/>
            <w:r>
              <w:rPr>
                <w:bCs/>
                <w:color w:val="auto"/>
                <w:szCs w:val="21"/>
                <w:highlight w:val="none"/>
              </w:rPr>
              <w:t>。</w:t>
            </w:r>
            <w:r>
              <w:rPr>
                <w:rFonts w:hint="default"/>
                <w:bCs/>
                <w:color w:val="auto"/>
                <w:szCs w:val="21"/>
                <w:highlight w:val="none"/>
                <w:lang w:val="en-US" w:eastAsia="zh-CN"/>
              </w:rPr>
              <w:t>本项目废水污染源源强核算结果见表4-</w:t>
            </w:r>
            <w:r>
              <w:rPr>
                <w:rFonts w:hint="eastAsia"/>
                <w:bCs/>
                <w:color w:val="auto"/>
                <w:szCs w:val="21"/>
                <w:highlight w:val="none"/>
                <w:lang w:val="en-US" w:eastAsia="zh-CN"/>
              </w:rPr>
              <w:t>8</w:t>
            </w:r>
            <w:r>
              <w:rPr>
                <w:rFonts w:hint="default"/>
                <w:bCs/>
                <w:color w:val="auto"/>
                <w:szCs w:val="21"/>
                <w:highlight w:val="none"/>
                <w:lang w:val="en-US" w:eastAsia="zh-CN"/>
              </w:rPr>
              <w:t>，废水类别、污染物及污染治理设施信息见表4-</w:t>
            </w:r>
            <w:r>
              <w:rPr>
                <w:rFonts w:hint="eastAsia"/>
                <w:bCs/>
                <w:color w:val="auto"/>
                <w:szCs w:val="21"/>
                <w:highlight w:val="none"/>
                <w:lang w:val="en-US" w:eastAsia="zh-CN"/>
              </w:rPr>
              <w:t>9</w:t>
            </w:r>
            <w:r>
              <w:rPr>
                <w:rFonts w:hint="default"/>
                <w:bCs/>
                <w:color w:val="auto"/>
                <w:szCs w:val="21"/>
                <w:highlight w:val="none"/>
                <w:lang w:val="en-US" w:eastAsia="zh-CN"/>
              </w:rPr>
              <w:t>，间接排放情况见表4-</w:t>
            </w:r>
            <w:r>
              <w:rPr>
                <w:rFonts w:hint="eastAsia"/>
                <w:bCs/>
                <w:color w:val="auto"/>
                <w:szCs w:val="21"/>
                <w:highlight w:val="none"/>
                <w:lang w:val="en-US" w:eastAsia="zh-CN"/>
              </w:rPr>
              <w:t>10</w:t>
            </w:r>
            <w:r>
              <w:rPr>
                <w:rFonts w:hint="default"/>
                <w:bCs/>
                <w:color w:val="auto"/>
                <w:szCs w:val="21"/>
                <w:highlight w:val="none"/>
                <w:lang w:val="en-US" w:eastAsia="zh-CN"/>
              </w:rPr>
              <w:t>。</w:t>
            </w:r>
          </w:p>
          <w:p w14:paraId="176F5EDC">
            <w:pPr>
              <w:spacing w:line="360" w:lineRule="auto"/>
              <w:rPr>
                <w:b/>
                <w:bCs/>
                <w:color w:val="auto"/>
                <w:szCs w:val="21"/>
                <w:highlight w:val="none"/>
              </w:rPr>
            </w:pPr>
          </w:p>
        </w:tc>
      </w:tr>
    </w:tbl>
    <w:p w14:paraId="776AC49F">
      <w:pPr>
        <w:spacing w:line="360" w:lineRule="auto"/>
        <w:rPr>
          <w:rFonts w:ascii="Times New Roman" w:hAnsi="Times New Roman" w:cs="Times New Roman"/>
          <w:b/>
          <w:bCs/>
          <w:color w:val="auto"/>
          <w:szCs w:val="21"/>
          <w:highlight w:val="none"/>
        </w:rPr>
        <w:sectPr>
          <w:pgSz w:w="16838" w:h="11906" w:orient="landscape"/>
          <w:pgMar w:top="1531" w:right="1701" w:bottom="1531" w:left="2127" w:header="851" w:footer="851" w:gutter="0"/>
          <w:pgBorders>
            <w:top w:val="none" w:sz="0" w:space="0"/>
            <w:left w:val="none" w:sz="0" w:space="0"/>
            <w:bottom w:val="none" w:sz="0" w:space="0"/>
            <w:right w:val="none" w:sz="0" w:space="0"/>
          </w:pgBorders>
          <w:cols w:space="720" w:num="1"/>
          <w:docGrid w:linePitch="312" w:charSpace="0"/>
        </w:sectPr>
      </w:pPr>
    </w:p>
    <w:p w14:paraId="64B0AB5B">
      <w:pPr>
        <w:numPr>
          <w:ilvl w:val="0"/>
          <w:numId w:val="8"/>
        </w:numPr>
        <w:shd w:val="clear"/>
        <w:spacing w:line="360" w:lineRule="auto"/>
        <w:jc w:val="center"/>
        <w:rPr>
          <w:rFonts w:hint="default" w:ascii="Times New Roman" w:hAnsi="Times New Roman" w:eastAsia="黑体" w:cs="Times New Roman"/>
          <w:b w:val="0"/>
          <w:bCs w:val="0"/>
          <w:color w:val="auto"/>
          <w:highlight w:val="none"/>
        </w:rPr>
      </w:pPr>
      <w:r>
        <w:rPr>
          <w:rFonts w:hint="default" w:ascii="Times New Roman" w:hAnsi="Times New Roman" w:eastAsia="黑体" w:cs="Times New Roman"/>
          <w:b w:val="0"/>
          <w:bCs w:val="0"/>
          <w:color w:val="auto"/>
          <w:highlight w:val="none"/>
          <w:lang w:val="en-US" w:eastAsia="zh-CN"/>
        </w:rPr>
        <w:t xml:space="preserve"> </w:t>
      </w:r>
      <w:r>
        <w:rPr>
          <w:rFonts w:hint="default" w:ascii="Times New Roman" w:hAnsi="Times New Roman" w:eastAsia="黑体" w:cs="Times New Roman"/>
          <w:b w:val="0"/>
          <w:bCs w:val="0"/>
          <w:color w:val="auto"/>
          <w:highlight w:val="none"/>
        </w:rPr>
        <w:t>废水污染源源强核算结果及相关参数一览表</w:t>
      </w:r>
    </w:p>
    <w:tbl>
      <w:tblPr>
        <w:tblStyle w:val="24"/>
        <w:tblW w:w="4998" w:type="pct"/>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Layout w:type="autofit"/>
        <w:tblCellMar>
          <w:top w:w="0" w:type="dxa"/>
          <w:left w:w="108" w:type="dxa"/>
          <w:bottom w:w="0" w:type="dxa"/>
          <w:right w:w="108" w:type="dxa"/>
        </w:tblCellMar>
      </w:tblPr>
      <w:tblGrid>
        <w:gridCol w:w="1296"/>
        <w:gridCol w:w="2141"/>
        <w:gridCol w:w="724"/>
        <w:gridCol w:w="936"/>
        <w:gridCol w:w="711"/>
        <w:gridCol w:w="726"/>
        <w:gridCol w:w="646"/>
        <w:gridCol w:w="756"/>
        <w:gridCol w:w="898"/>
        <w:gridCol w:w="936"/>
        <w:gridCol w:w="711"/>
        <w:gridCol w:w="966"/>
        <w:gridCol w:w="651"/>
        <w:gridCol w:w="877"/>
      </w:tblGrid>
      <w:tr w14:paraId="652045A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12" w:hRule="atLeast"/>
          <w:jc w:val="center"/>
        </w:trPr>
        <w:tc>
          <w:tcPr>
            <w:tcW w:w="477" w:type="pct"/>
            <w:vMerge w:val="restart"/>
            <w:tcBorders>
              <w:tl2br w:val="nil"/>
              <w:tr2bl w:val="nil"/>
            </w:tcBorders>
            <w:shd w:val="clear" w:color="auto" w:fill="auto"/>
            <w:vAlign w:val="center"/>
          </w:tcPr>
          <w:p w14:paraId="0A487C4A">
            <w:pPr>
              <w:keepNext w:val="0"/>
              <w:keepLines w:val="0"/>
              <w:widowControl/>
              <w:suppressLineNumbers w:val="0"/>
              <w:shd w:val="clear"/>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装置</w:t>
            </w:r>
          </w:p>
        </w:tc>
        <w:tc>
          <w:tcPr>
            <w:tcW w:w="794" w:type="pct"/>
            <w:vMerge w:val="restart"/>
            <w:tcBorders>
              <w:tl2br w:val="nil"/>
              <w:tr2bl w:val="nil"/>
            </w:tcBorders>
            <w:shd w:val="clear" w:color="auto" w:fill="auto"/>
            <w:noWrap/>
            <w:vAlign w:val="center"/>
          </w:tcPr>
          <w:p w14:paraId="017A5611">
            <w:pPr>
              <w:keepNext w:val="0"/>
              <w:keepLines w:val="0"/>
              <w:widowControl/>
              <w:suppressLineNumbers w:val="0"/>
              <w:shd w:val="clear"/>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污染源</w:t>
            </w:r>
          </w:p>
        </w:tc>
        <w:tc>
          <w:tcPr>
            <w:tcW w:w="273" w:type="pct"/>
            <w:vMerge w:val="restart"/>
            <w:tcBorders>
              <w:tl2br w:val="nil"/>
              <w:tr2bl w:val="nil"/>
            </w:tcBorders>
            <w:shd w:val="clear" w:color="auto" w:fill="auto"/>
            <w:vAlign w:val="center"/>
          </w:tcPr>
          <w:p w14:paraId="2E52FBD1">
            <w:pPr>
              <w:keepNext w:val="0"/>
              <w:keepLines w:val="0"/>
              <w:widowControl/>
              <w:suppressLineNumbers w:val="0"/>
              <w:shd w:val="clear"/>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污染物</w:t>
            </w:r>
          </w:p>
        </w:tc>
        <w:tc>
          <w:tcPr>
            <w:tcW w:w="1118" w:type="pct"/>
            <w:gridSpan w:val="4"/>
            <w:tcBorders>
              <w:tl2br w:val="nil"/>
              <w:tr2bl w:val="nil"/>
            </w:tcBorders>
            <w:shd w:val="clear" w:color="auto" w:fill="auto"/>
            <w:vAlign w:val="center"/>
          </w:tcPr>
          <w:p w14:paraId="159FB090">
            <w:pPr>
              <w:keepNext w:val="0"/>
              <w:keepLines w:val="0"/>
              <w:widowControl/>
              <w:suppressLineNumbers w:val="0"/>
              <w:shd w:val="clear"/>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污染物产生</w:t>
            </w:r>
          </w:p>
        </w:tc>
        <w:tc>
          <w:tcPr>
            <w:tcW w:w="622" w:type="pct"/>
            <w:gridSpan w:val="2"/>
            <w:tcBorders>
              <w:tl2br w:val="nil"/>
              <w:tr2bl w:val="nil"/>
            </w:tcBorders>
            <w:shd w:val="clear" w:color="auto" w:fill="auto"/>
            <w:vAlign w:val="center"/>
          </w:tcPr>
          <w:p w14:paraId="0198121E">
            <w:pPr>
              <w:keepNext w:val="0"/>
              <w:keepLines w:val="0"/>
              <w:widowControl/>
              <w:suppressLineNumbers w:val="0"/>
              <w:shd w:val="clear"/>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治理措施</w:t>
            </w:r>
          </w:p>
        </w:tc>
        <w:tc>
          <w:tcPr>
            <w:tcW w:w="1200" w:type="pct"/>
            <w:gridSpan w:val="4"/>
            <w:tcBorders>
              <w:tl2br w:val="nil"/>
              <w:tr2bl w:val="nil"/>
            </w:tcBorders>
            <w:shd w:val="clear" w:color="auto" w:fill="auto"/>
            <w:vAlign w:val="center"/>
          </w:tcPr>
          <w:p w14:paraId="06282DD2">
            <w:pPr>
              <w:keepNext w:val="0"/>
              <w:keepLines w:val="0"/>
              <w:widowControl/>
              <w:suppressLineNumbers w:val="0"/>
              <w:shd w:val="clear"/>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污染物排放</w:t>
            </w:r>
          </w:p>
        </w:tc>
        <w:tc>
          <w:tcPr>
            <w:tcW w:w="344" w:type="pct"/>
            <w:vMerge w:val="restart"/>
            <w:tcBorders>
              <w:tl2br w:val="nil"/>
              <w:tr2bl w:val="nil"/>
            </w:tcBorders>
            <w:shd w:val="clear" w:color="auto" w:fill="auto"/>
            <w:vAlign w:val="center"/>
          </w:tcPr>
          <w:p w14:paraId="2C85AD04">
            <w:pPr>
              <w:keepNext w:val="0"/>
              <w:keepLines w:val="0"/>
              <w:widowControl/>
              <w:suppressLineNumbers w:val="0"/>
              <w:shd w:val="clear"/>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排放时间(天)</w:t>
            </w:r>
          </w:p>
        </w:tc>
      </w:tr>
      <w:tr w14:paraId="184DD95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04" w:hRule="atLeast"/>
          <w:jc w:val="center"/>
        </w:trPr>
        <w:tc>
          <w:tcPr>
            <w:tcW w:w="477" w:type="pct"/>
            <w:vMerge w:val="continue"/>
            <w:tcBorders>
              <w:tl2br w:val="nil"/>
              <w:tr2bl w:val="nil"/>
            </w:tcBorders>
            <w:shd w:val="clear" w:color="auto" w:fill="auto"/>
            <w:vAlign w:val="center"/>
          </w:tcPr>
          <w:p w14:paraId="07294544">
            <w:pPr>
              <w:shd w:val="clear"/>
              <w:jc w:val="center"/>
              <w:rPr>
                <w:rFonts w:hint="default" w:ascii="Times New Roman" w:hAnsi="Times New Roman" w:eastAsia="宋体" w:cs="Times New Roman"/>
                <w:i w:val="0"/>
                <w:iCs w:val="0"/>
                <w:color w:val="auto"/>
                <w:sz w:val="18"/>
                <w:szCs w:val="18"/>
                <w:highlight w:val="none"/>
                <w:u w:val="none"/>
              </w:rPr>
            </w:pPr>
          </w:p>
        </w:tc>
        <w:tc>
          <w:tcPr>
            <w:tcW w:w="794" w:type="pct"/>
            <w:vMerge w:val="continue"/>
            <w:tcBorders>
              <w:tl2br w:val="nil"/>
              <w:tr2bl w:val="nil"/>
            </w:tcBorders>
            <w:shd w:val="clear" w:color="auto" w:fill="auto"/>
            <w:noWrap/>
            <w:vAlign w:val="center"/>
          </w:tcPr>
          <w:p w14:paraId="7B257E7B">
            <w:pPr>
              <w:shd w:val="clear"/>
              <w:jc w:val="center"/>
              <w:rPr>
                <w:rFonts w:hint="default" w:ascii="Times New Roman" w:hAnsi="Times New Roman" w:eastAsia="宋体" w:cs="Times New Roman"/>
                <w:i w:val="0"/>
                <w:iCs w:val="0"/>
                <w:color w:val="auto"/>
                <w:sz w:val="18"/>
                <w:szCs w:val="18"/>
                <w:highlight w:val="none"/>
                <w:u w:val="none"/>
              </w:rPr>
            </w:pPr>
          </w:p>
        </w:tc>
        <w:tc>
          <w:tcPr>
            <w:tcW w:w="273" w:type="pct"/>
            <w:vMerge w:val="continue"/>
            <w:tcBorders>
              <w:tl2br w:val="nil"/>
              <w:tr2bl w:val="nil"/>
            </w:tcBorders>
            <w:shd w:val="clear" w:color="auto" w:fill="auto"/>
            <w:vAlign w:val="center"/>
          </w:tcPr>
          <w:p w14:paraId="16CCBBD9">
            <w:pPr>
              <w:shd w:val="clear"/>
              <w:jc w:val="center"/>
              <w:rPr>
                <w:rFonts w:hint="default" w:ascii="Times New Roman" w:hAnsi="Times New Roman" w:eastAsia="宋体" w:cs="Times New Roman"/>
                <w:i w:val="0"/>
                <w:iCs w:val="0"/>
                <w:color w:val="auto"/>
                <w:sz w:val="18"/>
                <w:szCs w:val="18"/>
                <w:highlight w:val="none"/>
                <w:u w:val="none"/>
              </w:rPr>
            </w:pPr>
          </w:p>
        </w:tc>
        <w:tc>
          <w:tcPr>
            <w:tcW w:w="341" w:type="pct"/>
            <w:tcBorders>
              <w:tl2br w:val="nil"/>
              <w:tr2bl w:val="nil"/>
            </w:tcBorders>
            <w:shd w:val="clear" w:color="auto" w:fill="auto"/>
            <w:vAlign w:val="center"/>
          </w:tcPr>
          <w:p w14:paraId="68BB2977">
            <w:pPr>
              <w:keepNext w:val="0"/>
              <w:keepLines w:val="0"/>
              <w:widowControl/>
              <w:suppressLineNumbers w:val="0"/>
              <w:shd w:val="clear"/>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核算方法</w:t>
            </w:r>
          </w:p>
        </w:tc>
        <w:tc>
          <w:tcPr>
            <w:tcW w:w="257" w:type="pct"/>
            <w:tcBorders>
              <w:tl2br w:val="nil"/>
              <w:tr2bl w:val="nil"/>
            </w:tcBorders>
            <w:shd w:val="clear" w:color="auto" w:fill="auto"/>
            <w:vAlign w:val="center"/>
          </w:tcPr>
          <w:p w14:paraId="0E702633">
            <w:pPr>
              <w:keepNext w:val="0"/>
              <w:keepLines w:val="0"/>
              <w:widowControl/>
              <w:suppressLineNumbers w:val="0"/>
              <w:shd w:val="clear"/>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产生废水量(t/a)</w:t>
            </w:r>
          </w:p>
        </w:tc>
        <w:tc>
          <w:tcPr>
            <w:tcW w:w="262" w:type="pct"/>
            <w:tcBorders>
              <w:tl2br w:val="nil"/>
              <w:tr2bl w:val="nil"/>
            </w:tcBorders>
            <w:shd w:val="clear" w:color="auto" w:fill="auto"/>
            <w:vAlign w:val="center"/>
          </w:tcPr>
          <w:p w14:paraId="12185128">
            <w:pPr>
              <w:keepNext w:val="0"/>
              <w:keepLines w:val="0"/>
              <w:widowControl/>
              <w:suppressLineNumbers w:val="0"/>
              <w:shd w:val="clear"/>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产生浓度(mg/L)</w:t>
            </w:r>
          </w:p>
        </w:tc>
        <w:tc>
          <w:tcPr>
            <w:tcW w:w="256" w:type="pct"/>
            <w:tcBorders>
              <w:tl2br w:val="nil"/>
              <w:tr2bl w:val="nil"/>
            </w:tcBorders>
            <w:shd w:val="clear" w:color="auto" w:fill="auto"/>
            <w:vAlign w:val="center"/>
          </w:tcPr>
          <w:p w14:paraId="029F8B59">
            <w:pPr>
              <w:keepNext w:val="0"/>
              <w:keepLines w:val="0"/>
              <w:widowControl/>
              <w:suppressLineNumbers w:val="0"/>
              <w:shd w:val="clear"/>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产生量(kg/a)</w:t>
            </w:r>
          </w:p>
        </w:tc>
        <w:tc>
          <w:tcPr>
            <w:tcW w:w="274" w:type="pct"/>
            <w:tcBorders>
              <w:tl2br w:val="nil"/>
              <w:tr2bl w:val="nil"/>
            </w:tcBorders>
            <w:shd w:val="clear" w:color="auto" w:fill="auto"/>
            <w:vAlign w:val="center"/>
          </w:tcPr>
          <w:p w14:paraId="33AB97CD">
            <w:pPr>
              <w:keepNext w:val="0"/>
              <w:keepLines w:val="0"/>
              <w:widowControl/>
              <w:suppressLineNumbers w:val="0"/>
              <w:shd w:val="clear"/>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工艺</w:t>
            </w:r>
          </w:p>
        </w:tc>
        <w:tc>
          <w:tcPr>
            <w:tcW w:w="348" w:type="pct"/>
            <w:tcBorders>
              <w:tl2br w:val="nil"/>
              <w:tr2bl w:val="nil"/>
            </w:tcBorders>
            <w:shd w:val="clear" w:color="auto" w:fill="auto"/>
            <w:vAlign w:val="center"/>
          </w:tcPr>
          <w:p w14:paraId="24E86545">
            <w:pPr>
              <w:keepNext w:val="0"/>
              <w:keepLines w:val="0"/>
              <w:widowControl/>
              <w:suppressLineNumbers w:val="0"/>
              <w:shd w:val="clear"/>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回用(t/a)</w:t>
            </w:r>
          </w:p>
        </w:tc>
        <w:tc>
          <w:tcPr>
            <w:tcW w:w="341" w:type="pct"/>
            <w:tcBorders>
              <w:tl2br w:val="nil"/>
              <w:tr2bl w:val="nil"/>
            </w:tcBorders>
            <w:shd w:val="clear" w:color="auto" w:fill="auto"/>
            <w:vAlign w:val="center"/>
          </w:tcPr>
          <w:p w14:paraId="110C937B">
            <w:pPr>
              <w:keepNext w:val="0"/>
              <w:keepLines w:val="0"/>
              <w:widowControl/>
              <w:suppressLineNumbers w:val="0"/>
              <w:shd w:val="clear"/>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核算方法</w:t>
            </w:r>
          </w:p>
        </w:tc>
        <w:tc>
          <w:tcPr>
            <w:tcW w:w="257" w:type="pct"/>
            <w:tcBorders>
              <w:tl2br w:val="nil"/>
              <w:tr2bl w:val="nil"/>
            </w:tcBorders>
            <w:shd w:val="clear" w:color="auto" w:fill="auto"/>
            <w:vAlign w:val="center"/>
          </w:tcPr>
          <w:p w14:paraId="52616F69">
            <w:pPr>
              <w:keepNext w:val="0"/>
              <w:keepLines w:val="0"/>
              <w:widowControl/>
              <w:suppressLineNumbers w:val="0"/>
              <w:shd w:val="clear"/>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排放废水量(t/a)</w:t>
            </w:r>
          </w:p>
        </w:tc>
        <w:tc>
          <w:tcPr>
            <w:tcW w:w="354" w:type="pct"/>
            <w:tcBorders>
              <w:tl2br w:val="nil"/>
              <w:tr2bl w:val="nil"/>
            </w:tcBorders>
            <w:shd w:val="clear" w:color="auto" w:fill="auto"/>
            <w:vAlign w:val="center"/>
          </w:tcPr>
          <w:p w14:paraId="5B36B910">
            <w:pPr>
              <w:keepNext w:val="0"/>
              <w:keepLines w:val="0"/>
              <w:widowControl/>
              <w:suppressLineNumbers w:val="0"/>
              <w:shd w:val="clear"/>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排放浓度（mg/L）</w:t>
            </w:r>
          </w:p>
        </w:tc>
        <w:tc>
          <w:tcPr>
            <w:tcW w:w="246" w:type="pct"/>
            <w:tcBorders>
              <w:tl2br w:val="nil"/>
              <w:tr2bl w:val="nil"/>
            </w:tcBorders>
            <w:shd w:val="clear" w:color="auto" w:fill="auto"/>
            <w:vAlign w:val="center"/>
          </w:tcPr>
          <w:p w14:paraId="2569DFB2">
            <w:pPr>
              <w:keepNext w:val="0"/>
              <w:keepLines w:val="0"/>
              <w:widowControl/>
              <w:suppressLineNumbers w:val="0"/>
              <w:shd w:val="clear"/>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排放量(kg/a)</w:t>
            </w:r>
          </w:p>
        </w:tc>
        <w:tc>
          <w:tcPr>
            <w:tcW w:w="344" w:type="pct"/>
            <w:vMerge w:val="continue"/>
            <w:tcBorders>
              <w:tl2br w:val="nil"/>
              <w:tr2bl w:val="nil"/>
            </w:tcBorders>
            <w:shd w:val="clear" w:color="auto" w:fill="auto"/>
            <w:vAlign w:val="center"/>
          </w:tcPr>
          <w:p w14:paraId="6DF4F7F1">
            <w:pPr>
              <w:shd w:val="clear"/>
              <w:jc w:val="center"/>
              <w:rPr>
                <w:rFonts w:hint="default" w:ascii="Times New Roman" w:hAnsi="Times New Roman" w:eastAsia="宋体" w:cs="Times New Roman"/>
                <w:i w:val="0"/>
                <w:iCs w:val="0"/>
                <w:color w:val="auto"/>
                <w:sz w:val="18"/>
                <w:szCs w:val="18"/>
                <w:highlight w:val="none"/>
                <w:u w:val="none"/>
              </w:rPr>
            </w:pPr>
          </w:p>
        </w:tc>
      </w:tr>
      <w:tr w14:paraId="1BEDDAB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36" w:hRule="atLeast"/>
          <w:jc w:val="center"/>
        </w:trPr>
        <w:tc>
          <w:tcPr>
            <w:tcW w:w="477" w:type="pct"/>
            <w:vMerge w:val="restart"/>
            <w:tcBorders>
              <w:tl2br w:val="nil"/>
              <w:tr2bl w:val="nil"/>
            </w:tcBorders>
            <w:shd w:val="clear" w:color="auto" w:fill="auto"/>
            <w:vAlign w:val="center"/>
          </w:tcPr>
          <w:p w14:paraId="2FB17F93">
            <w:pPr>
              <w:keepNext w:val="0"/>
              <w:keepLines w:val="0"/>
              <w:widowControl/>
              <w:suppressLineNumbers w:val="0"/>
              <w:shd w:val="clear"/>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砂磨机</w:t>
            </w:r>
          </w:p>
        </w:tc>
        <w:tc>
          <w:tcPr>
            <w:tcW w:w="794" w:type="pct"/>
            <w:vMerge w:val="restart"/>
            <w:tcBorders>
              <w:tl2br w:val="nil"/>
              <w:tr2bl w:val="nil"/>
            </w:tcBorders>
            <w:shd w:val="clear" w:color="auto" w:fill="auto"/>
            <w:vAlign w:val="center"/>
          </w:tcPr>
          <w:p w14:paraId="53CE9CA6">
            <w:pPr>
              <w:keepNext w:val="0"/>
              <w:keepLines w:val="0"/>
              <w:widowControl/>
              <w:suppressLineNumbers w:val="0"/>
              <w:shd w:val="clear"/>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砂磨机清洗废水W1</w:t>
            </w:r>
          </w:p>
        </w:tc>
        <w:tc>
          <w:tcPr>
            <w:tcW w:w="273" w:type="pct"/>
            <w:tcBorders>
              <w:tl2br w:val="nil"/>
              <w:tr2bl w:val="nil"/>
            </w:tcBorders>
            <w:shd w:val="clear" w:color="auto" w:fill="auto"/>
            <w:vAlign w:val="center"/>
          </w:tcPr>
          <w:p w14:paraId="0034B04D">
            <w:pPr>
              <w:keepNext w:val="0"/>
              <w:keepLines w:val="0"/>
              <w:widowControl/>
              <w:suppressLineNumbers w:val="0"/>
              <w:shd w:val="clear"/>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COD</w:t>
            </w:r>
            <w:r>
              <w:rPr>
                <w:rFonts w:hint="default" w:ascii="Times New Roman" w:hAnsi="Times New Roman" w:eastAsia="宋体" w:cs="Times New Roman"/>
                <w:i w:val="0"/>
                <w:iCs w:val="0"/>
                <w:color w:val="auto"/>
                <w:kern w:val="0"/>
                <w:sz w:val="18"/>
                <w:szCs w:val="18"/>
                <w:highlight w:val="none"/>
                <w:u w:val="none"/>
                <w:vertAlign w:val="subscript"/>
                <w:lang w:val="en-US" w:eastAsia="zh-CN" w:bidi="ar"/>
              </w:rPr>
              <w:t>Cr</w:t>
            </w:r>
          </w:p>
        </w:tc>
        <w:tc>
          <w:tcPr>
            <w:tcW w:w="341" w:type="pct"/>
            <w:tcBorders>
              <w:tl2br w:val="nil"/>
              <w:tr2bl w:val="nil"/>
            </w:tcBorders>
            <w:shd w:val="clear" w:color="auto" w:fill="auto"/>
            <w:vAlign w:val="center"/>
          </w:tcPr>
          <w:p w14:paraId="27311B6D">
            <w:pPr>
              <w:keepNext w:val="0"/>
              <w:keepLines w:val="0"/>
              <w:widowControl/>
              <w:suppressLineNumbers w:val="0"/>
              <w:shd w:val="clear"/>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物料衡算</w:t>
            </w:r>
          </w:p>
        </w:tc>
        <w:tc>
          <w:tcPr>
            <w:tcW w:w="257" w:type="pct"/>
            <w:vMerge w:val="restart"/>
            <w:tcBorders>
              <w:tl2br w:val="nil"/>
              <w:tr2bl w:val="nil"/>
            </w:tcBorders>
            <w:shd w:val="clear" w:color="auto" w:fill="auto"/>
            <w:vAlign w:val="center"/>
          </w:tcPr>
          <w:p w14:paraId="7C0E1A6C">
            <w:pPr>
              <w:keepNext w:val="0"/>
              <w:keepLines w:val="0"/>
              <w:widowControl/>
              <w:suppressLineNumbers w:val="0"/>
              <w:shd w:val="clear"/>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 xml:space="preserve">0.50 </w:t>
            </w:r>
          </w:p>
        </w:tc>
        <w:tc>
          <w:tcPr>
            <w:tcW w:w="262" w:type="pct"/>
            <w:tcBorders>
              <w:tl2br w:val="nil"/>
              <w:tr2bl w:val="nil"/>
            </w:tcBorders>
            <w:shd w:val="clear" w:color="auto" w:fill="auto"/>
            <w:noWrap/>
            <w:vAlign w:val="center"/>
          </w:tcPr>
          <w:p w14:paraId="3EE99705">
            <w:pPr>
              <w:keepNext w:val="0"/>
              <w:keepLines w:val="0"/>
              <w:widowControl/>
              <w:suppressLineNumbers w:val="0"/>
              <w:shd w:val="clear"/>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65</w:t>
            </w:r>
          </w:p>
        </w:tc>
        <w:tc>
          <w:tcPr>
            <w:tcW w:w="256" w:type="pct"/>
            <w:tcBorders>
              <w:tl2br w:val="nil"/>
              <w:tr2bl w:val="nil"/>
            </w:tcBorders>
            <w:shd w:val="clear" w:color="auto" w:fill="auto"/>
            <w:vAlign w:val="center"/>
          </w:tcPr>
          <w:p w14:paraId="42DB09D1">
            <w:pPr>
              <w:keepNext w:val="0"/>
              <w:keepLines w:val="0"/>
              <w:widowControl/>
              <w:suppressLineNumbers w:val="0"/>
              <w:shd w:val="clear"/>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 xml:space="preserve">0.03 </w:t>
            </w:r>
          </w:p>
        </w:tc>
        <w:tc>
          <w:tcPr>
            <w:tcW w:w="274" w:type="pct"/>
            <w:vMerge w:val="restart"/>
            <w:tcBorders>
              <w:tl2br w:val="nil"/>
              <w:tr2bl w:val="nil"/>
            </w:tcBorders>
            <w:shd w:val="clear" w:color="auto" w:fill="auto"/>
            <w:vAlign w:val="center"/>
          </w:tcPr>
          <w:p w14:paraId="1B1C7B80">
            <w:pPr>
              <w:keepNext w:val="0"/>
              <w:keepLines w:val="0"/>
              <w:widowControl/>
              <w:suppressLineNumbers w:val="0"/>
              <w:shd w:val="clear"/>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化学除磷+沉淀</w:t>
            </w:r>
          </w:p>
        </w:tc>
        <w:tc>
          <w:tcPr>
            <w:tcW w:w="348" w:type="pct"/>
            <w:tcBorders>
              <w:tl2br w:val="nil"/>
              <w:tr2bl w:val="nil"/>
            </w:tcBorders>
            <w:shd w:val="clear" w:color="auto" w:fill="auto"/>
            <w:vAlign w:val="center"/>
          </w:tcPr>
          <w:p w14:paraId="1B8959AB">
            <w:pPr>
              <w:keepNext w:val="0"/>
              <w:keepLines w:val="0"/>
              <w:widowControl/>
              <w:suppressLineNumbers w:val="0"/>
              <w:shd w:val="clear"/>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w:t>
            </w:r>
          </w:p>
        </w:tc>
        <w:tc>
          <w:tcPr>
            <w:tcW w:w="341" w:type="pct"/>
            <w:tcBorders>
              <w:tl2br w:val="nil"/>
              <w:tr2bl w:val="nil"/>
            </w:tcBorders>
            <w:shd w:val="clear" w:color="auto" w:fill="auto"/>
            <w:vAlign w:val="center"/>
          </w:tcPr>
          <w:p w14:paraId="354C5EEA">
            <w:pPr>
              <w:keepNext w:val="0"/>
              <w:keepLines w:val="0"/>
              <w:widowControl/>
              <w:suppressLineNumbers w:val="0"/>
              <w:shd w:val="clear"/>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物料衡算</w:t>
            </w:r>
          </w:p>
        </w:tc>
        <w:tc>
          <w:tcPr>
            <w:tcW w:w="257" w:type="pct"/>
            <w:vMerge w:val="restart"/>
            <w:tcBorders>
              <w:tl2br w:val="nil"/>
              <w:tr2bl w:val="nil"/>
            </w:tcBorders>
            <w:shd w:val="clear" w:color="auto" w:fill="auto"/>
            <w:vAlign w:val="center"/>
          </w:tcPr>
          <w:p w14:paraId="31C12FC9">
            <w:pPr>
              <w:keepNext w:val="0"/>
              <w:keepLines w:val="0"/>
              <w:widowControl/>
              <w:suppressLineNumbers w:val="0"/>
              <w:shd w:val="clear"/>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 xml:space="preserve">0.50 </w:t>
            </w:r>
          </w:p>
        </w:tc>
        <w:tc>
          <w:tcPr>
            <w:tcW w:w="354" w:type="pct"/>
            <w:tcBorders>
              <w:tl2br w:val="nil"/>
              <w:tr2bl w:val="nil"/>
            </w:tcBorders>
            <w:shd w:val="clear" w:color="auto" w:fill="auto"/>
            <w:vAlign w:val="center"/>
          </w:tcPr>
          <w:p w14:paraId="6176916F">
            <w:pPr>
              <w:keepNext w:val="0"/>
              <w:keepLines w:val="0"/>
              <w:widowControl/>
              <w:suppressLineNumbers w:val="0"/>
              <w:shd w:val="clear"/>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40</w:t>
            </w:r>
          </w:p>
        </w:tc>
        <w:tc>
          <w:tcPr>
            <w:tcW w:w="246" w:type="pct"/>
            <w:tcBorders>
              <w:tl2br w:val="nil"/>
              <w:tr2bl w:val="nil"/>
            </w:tcBorders>
            <w:shd w:val="clear" w:color="auto" w:fill="auto"/>
            <w:vAlign w:val="center"/>
          </w:tcPr>
          <w:p w14:paraId="149F2EAC">
            <w:pPr>
              <w:keepNext w:val="0"/>
              <w:keepLines w:val="0"/>
              <w:widowControl/>
              <w:suppressLineNumbers w:val="0"/>
              <w:shd w:val="clear"/>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 xml:space="preserve">0.02 </w:t>
            </w:r>
          </w:p>
        </w:tc>
        <w:tc>
          <w:tcPr>
            <w:tcW w:w="344" w:type="pct"/>
            <w:tcBorders>
              <w:tl2br w:val="nil"/>
              <w:tr2bl w:val="nil"/>
            </w:tcBorders>
            <w:shd w:val="clear" w:color="auto" w:fill="auto"/>
            <w:vAlign w:val="center"/>
          </w:tcPr>
          <w:p w14:paraId="56E393AB">
            <w:pPr>
              <w:keepNext w:val="0"/>
              <w:keepLines w:val="0"/>
              <w:widowControl/>
              <w:suppressLineNumbers w:val="0"/>
              <w:shd w:val="clear"/>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250</w:t>
            </w:r>
          </w:p>
        </w:tc>
      </w:tr>
      <w:tr w14:paraId="773721D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477" w:type="pct"/>
            <w:vMerge w:val="continue"/>
            <w:tcBorders>
              <w:tl2br w:val="nil"/>
              <w:tr2bl w:val="nil"/>
            </w:tcBorders>
            <w:shd w:val="clear" w:color="auto" w:fill="auto"/>
            <w:vAlign w:val="center"/>
          </w:tcPr>
          <w:p w14:paraId="0A9D506E">
            <w:pPr>
              <w:shd w:val="clear"/>
              <w:jc w:val="center"/>
              <w:rPr>
                <w:rFonts w:hint="default" w:ascii="Times New Roman" w:hAnsi="Times New Roman" w:eastAsia="宋体" w:cs="Times New Roman"/>
                <w:i w:val="0"/>
                <w:iCs w:val="0"/>
                <w:color w:val="auto"/>
                <w:sz w:val="18"/>
                <w:szCs w:val="18"/>
                <w:highlight w:val="none"/>
                <w:u w:val="none"/>
              </w:rPr>
            </w:pPr>
          </w:p>
        </w:tc>
        <w:tc>
          <w:tcPr>
            <w:tcW w:w="794" w:type="pct"/>
            <w:vMerge w:val="continue"/>
            <w:tcBorders>
              <w:tl2br w:val="nil"/>
              <w:tr2bl w:val="nil"/>
            </w:tcBorders>
            <w:shd w:val="clear" w:color="auto" w:fill="auto"/>
            <w:vAlign w:val="center"/>
          </w:tcPr>
          <w:p w14:paraId="5028412D">
            <w:pPr>
              <w:shd w:val="clear"/>
              <w:jc w:val="center"/>
              <w:rPr>
                <w:rFonts w:hint="default" w:ascii="Times New Roman" w:hAnsi="Times New Roman" w:eastAsia="宋体" w:cs="Times New Roman"/>
                <w:i w:val="0"/>
                <w:iCs w:val="0"/>
                <w:color w:val="auto"/>
                <w:sz w:val="18"/>
                <w:szCs w:val="18"/>
                <w:highlight w:val="none"/>
                <w:u w:val="none"/>
              </w:rPr>
            </w:pPr>
          </w:p>
        </w:tc>
        <w:tc>
          <w:tcPr>
            <w:tcW w:w="273" w:type="pct"/>
            <w:tcBorders>
              <w:tl2br w:val="nil"/>
              <w:tr2bl w:val="nil"/>
            </w:tcBorders>
            <w:shd w:val="clear" w:color="auto" w:fill="auto"/>
            <w:vAlign w:val="center"/>
          </w:tcPr>
          <w:p w14:paraId="7EC98BFD">
            <w:pPr>
              <w:keepNext w:val="0"/>
              <w:keepLines w:val="0"/>
              <w:widowControl/>
              <w:suppressLineNumbers w:val="0"/>
              <w:shd w:val="clear"/>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TP</w:t>
            </w:r>
          </w:p>
        </w:tc>
        <w:tc>
          <w:tcPr>
            <w:tcW w:w="341" w:type="pct"/>
            <w:tcBorders>
              <w:tl2br w:val="nil"/>
              <w:tr2bl w:val="nil"/>
            </w:tcBorders>
            <w:shd w:val="clear" w:color="auto" w:fill="auto"/>
            <w:vAlign w:val="center"/>
          </w:tcPr>
          <w:p w14:paraId="70EDA96F">
            <w:pPr>
              <w:keepNext w:val="0"/>
              <w:keepLines w:val="0"/>
              <w:widowControl/>
              <w:suppressLineNumbers w:val="0"/>
              <w:shd w:val="clear"/>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物料衡算</w:t>
            </w:r>
          </w:p>
        </w:tc>
        <w:tc>
          <w:tcPr>
            <w:tcW w:w="257" w:type="pct"/>
            <w:vMerge w:val="continue"/>
            <w:tcBorders>
              <w:tl2br w:val="nil"/>
              <w:tr2bl w:val="nil"/>
            </w:tcBorders>
            <w:shd w:val="clear" w:color="auto" w:fill="auto"/>
            <w:vAlign w:val="center"/>
          </w:tcPr>
          <w:p w14:paraId="54704920">
            <w:pPr>
              <w:shd w:val="clear"/>
              <w:jc w:val="center"/>
              <w:rPr>
                <w:rFonts w:hint="default" w:ascii="Times New Roman" w:hAnsi="Times New Roman" w:eastAsia="宋体" w:cs="Times New Roman"/>
                <w:i w:val="0"/>
                <w:iCs w:val="0"/>
                <w:color w:val="auto"/>
                <w:sz w:val="18"/>
                <w:szCs w:val="18"/>
                <w:highlight w:val="none"/>
                <w:u w:val="none"/>
              </w:rPr>
            </w:pPr>
          </w:p>
        </w:tc>
        <w:tc>
          <w:tcPr>
            <w:tcW w:w="262" w:type="pct"/>
            <w:tcBorders>
              <w:tl2br w:val="nil"/>
              <w:tr2bl w:val="nil"/>
            </w:tcBorders>
            <w:shd w:val="clear" w:color="auto" w:fill="auto"/>
            <w:noWrap/>
            <w:vAlign w:val="center"/>
          </w:tcPr>
          <w:p w14:paraId="060FAD58">
            <w:pPr>
              <w:keepNext w:val="0"/>
              <w:keepLines w:val="0"/>
              <w:widowControl/>
              <w:suppressLineNumbers w:val="0"/>
              <w:shd w:val="clear"/>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50</w:t>
            </w:r>
          </w:p>
        </w:tc>
        <w:tc>
          <w:tcPr>
            <w:tcW w:w="256" w:type="pct"/>
            <w:tcBorders>
              <w:tl2br w:val="nil"/>
              <w:tr2bl w:val="nil"/>
            </w:tcBorders>
            <w:shd w:val="clear" w:color="auto" w:fill="auto"/>
            <w:vAlign w:val="center"/>
          </w:tcPr>
          <w:p w14:paraId="5C76DC5A">
            <w:pPr>
              <w:keepNext w:val="0"/>
              <w:keepLines w:val="0"/>
              <w:widowControl/>
              <w:suppressLineNumbers w:val="0"/>
              <w:shd w:val="clear"/>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 xml:space="preserve">0.03 </w:t>
            </w:r>
          </w:p>
        </w:tc>
        <w:tc>
          <w:tcPr>
            <w:tcW w:w="274" w:type="pct"/>
            <w:vMerge w:val="continue"/>
            <w:tcBorders>
              <w:tl2br w:val="nil"/>
              <w:tr2bl w:val="nil"/>
            </w:tcBorders>
            <w:shd w:val="clear" w:color="auto" w:fill="auto"/>
            <w:vAlign w:val="center"/>
          </w:tcPr>
          <w:p w14:paraId="53B0BC14">
            <w:pPr>
              <w:shd w:val="clear"/>
              <w:jc w:val="center"/>
              <w:rPr>
                <w:rFonts w:hint="default" w:ascii="Times New Roman" w:hAnsi="Times New Roman" w:eastAsia="宋体" w:cs="Times New Roman"/>
                <w:i w:val="0"/>
                <w:iCs w:val="0"/>
                <w:color w:val="auto"/>
                <w:sz w:val="18"/>
                <w:szCs w:val="18"/>
                <w:highlight w:val="none"/>
                <w:u w:val="none"/>
              </w:rPr>
            </w:pPr>
          </w:p>
        </w:tc>
        <w:tc>
          <w:tcPr>
            <w:tcW w:w="348" w:type="pct"/>
            <w:tcBorders>
              <w:tl2br w:val="nil"/>
              <w:tr2bl w:val="nil"/>
            </w:tcBorders>
            <w:shd w:val="clear" w:color="auto" w:fill="auto"/>
            <w:vAlign w:val="center"/>
          </w:tcPr>
          <w:p w14:paraId="52BC3881">
            <w:pPr>
              <w:keepNext w:val="0"/>
              <w:keepLines w:val="0"/>
              <w:widowControl/>
              <w:suppressLineNumbers w:val="0"/>
              <w:shd w:val="clear"/>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w:t>
            </w:r>
          </w:p>
        </w:tc>
        <w:tc>
          <w:tcPr>
            <w:tcW w:w="341" w:type="pct"/>
            <w:tcBorders>
              <w:tl2br w:val="nil"/>
              <w:tr2bl w:val="nil"/>
            </w:tcBorders>
            <w:shd w:val="clear" w:color="auto" w:fill="auto"/>
            <w:vAlign w:val="center"/>
          </w:tcPr>
          <w:p w14:paraId="168FB7F8">
            <w:pPr>
              <w:keepNext w:val="0"/>
              <w:keepLines w:val="0"/>
              <w:widowControl/>
              <w:suppressLineNumbers w:val="0"/>
              <w:shd w:val="clear"/>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物料衡算</w:t>
            </w:r>
          </w:p>
        </w:tc>
        <w:tc>
          <w:tcPr>
            <w:tcW w:w="257" w:type="pct"/>
            <w:vMerge w:val="continue"/>
            <w:tcBorders>
              <w:tl2br w:val="nil"/>
              <w:tr2bl w:val="nil"/>
            </w:tcBorders>
            <w:shd w:val="clear" w:color="auto" w:fill="auto"/>
            <w:vAlign w:val="center"/>
          </w:tcPr>
          <w:p w14:paraId="705C9423">
            <w:pPr>
              <w:shd w:val="clear"/>
              <w:jc w:val="center"/>
              <w:rPr>
                <w:rFonts w:hint="default" w:ascii="Times New Roman" w:hAnsi="Times New Roman" w:eastAsia="宋体" w:cs="Times New Roman"/>
                <w:i w:val="0"/>
                <w:iCs w:val="0"/>
                <w:color w:val="auto"/>
                <w:sz w:val="18"/>
                <w:szCs w:val="18"/>
                <w:highlight w:val="none"/>
                <w:u w:val="none"/>
              </w:rPr>
            </w:pPr>
          </w:p>
        </w:tc>
        <w:tc>
          <w:tcPr>
            <w:tcW w:w="354" w:type="pct"/>
            <w:tcBorders>
              <w:tl2br w:val="nil"/>
              <w:tr2bl w:val="nil"/>
            </w:tcBorders>
            <w:shd w:val="clear" w:color="auto" w:fill="auto"/>
            <w:vAlign w:val="center"/>
          </w:tcPr>
          <w:p w14:paraId="7967B72A">
            <w:pPr>
              <w:keepNext w:val="0"/>
              <w:keepLines w:val="0"/>
              <w:widowControl/>
              <w:suppressLineNumbers w:val="0"/>
              <w:shd w:val="clear"/>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0.3</w:t>
            </w:r>
          </w:p>
        </w:tc>
        <w:tc>
          <w:tcPr>
            <w:tcW w:w="246" w:type="pct"/>
            <w:tcBorders>
              <w:tl2br w:val="nil"/>
              <w:tr2bl w:val="nil"/>
            </w:tcBorders>
            <w:shd w:val="clear" w:color="auto" w:fill="auto"/>
            <w:vAlign w:val="center"/>
          </w:tcPr>
          <w:p w14:paraId="3DE23E0B">
            <w:pPr>
              <w:keepNext w:val="0"/>
              <w:keepLines w:val="0"/>
              <w:widowControl/>
              <w:suppressLineNumbers w:val="0"/>
              <w:shd w:val="clear"/>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sz w:val="18"/>
                <w:szCs w:val="18"/>
                <w:highlight w:val="none"/>
                <w:u w:val="none"/>
                <w:lang w:val="en-US" w:eastAsia="zh-CN"/>
              </w:rPr>
              <w:t>少量</w:t>
            </w:r>
          </w:p>
        </w:tc>
        <w:tc>
          <w:tcPr>
            <w:tcW w:w="344" w:type="pct"/>
            <w:tcBorders>
              <w:tl2br w:val="nil"/>
              <w:tr2bl w:val="nil"/>
            </w:tcBorders>
            <w:shd w:val="clear" w:color="auto" w:fill="auto"/>
            <w:vAlign w:val="center"/>
          </w:tcPr>
          <w:p w14:paraId="32E745A0">
            <w:pPr>
              <w:keepNext w:val="0"/>
              <w:keepLines w:val="0"/>
              <w:widowControl/>
              <w:suppressLineNumbers w:val="0"/>
              <w:shd w:val="clear"/>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250</w:t>
            </w:r>
          </w:p>
        </w:tc>
      </w:tr>
      <w:tr w14:paraId="54DB9C2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12" w:hRule="atLeast"/>
          <w:jc w:val="center"/>
        </w:trPr>
        <w:tc>
          <w:tcPr>
            <w:tcW w:w="477" w:type="pct"/>
            <w:vMerge w:val="continue"/>
            <w:tcBorders>
              <w:tl2br w:val="nil"/>
              <w:tr2bl w:val="nil"/>
            </w:tcBorders>
            <w:shd w:val="clear" w:color="auto" w:fill="auto"/>
            <w:vAlign w:val="center"/>
          </w:tcPr>
          <w:p w14:paraId="709DD27F">
            <w:pPr>
              <w:shd w:val="clear"/>
              <w:jc w:val="center"/>
              <w:rPr>
                <w:rFonts w:hint="default" w:ascii="Times New Roman" w:hAnsi="Times New Roman" w:eastAsia="宋体" w:cs="Times New Roman"/>
                <w:i w:val="0"/>
                <w:iCs w:val="0"/>
                <w:color w:val="auto"/>
                <w:sz w:val="18"/>
                <w:szCs w:val="18"/>
                <w:highlight w:val="none"/>
                <w:u w:val="none"/>
              </w:rPr>
            </w:pPr>
          </w:p>
        </w:tc>
        <w:tc>
          <w:tcPr>
            <w:tcW w:w="794" w:type="pct"/>
            <w:vMerge w:val="continue"/>
            <w:tcBorders>
              <w:tl2br w:val="nil"/>
              <w:tr2bl w:val="nil"/>
            </w:tcBorders>
            <w:shd w:val="clear" w:color="auto" w:fill="auto"/>
            <w:vAlign w:val="center"/>
          </w:tcPr>
          <w:p w14:paraId="35E2CCE5">
            <w:pPr>
              <w:shd w:val="clear"/>
              <w:jc w:val="center"/>
              <w:rPr>
                <w:rFonts w:hint="default" w:ascii="Times New Roman" w:hAnsi="Times New Roman" w:eastAsia="宋体" w:cs="Times New Roman"/>
                <w:i w:val="0"/>
                <w:iCs w:val="0"/>
                <w:color w:val="auto"/>
                <w:sz w:val="18"/>
                <w:szCs w:val="18"/>
                <w:highlight w:val="none"/>
                <w:u w:val="none"/>
              </w:rPr>
            </w:pPr>
          </w:p>
        </w:tc>
        <w:tc>
          <w:tcPr>
            <w:tcW w:w="273" w:type="pct"/>
            <w:tcBorders>
              <w:tl2br w:val="nil"/>
              <w:tr2bl w:val="nil"/>
            </w:tcBorders>
            <w:shd w:val="clear" w:color="auto" w:fill="auto"/>
            <w:noWrap/>
            <w:vAlign w:val="center"/>
          </w:tcPr>
          <w:p w14:paraId="17EEA2B3">
            <w:pPr>
              <w:keepNext w:val="0"/>
              <w:keepLines w:val="0"/>
              <w:widowControl/>
              <w:suppressLineNumbers w:val="0"/>
              <w:shd w:val="clear"/>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SS</w:t>
            </w:r>
          </w:p>
        </w:tc>
        <w:tc>
          <w:tcPr>
            <w:tcW w:w="341" w:type="pct"/>
            <w:tcBorders>
              <w:tl2br w:val="nil"/>
              <w:tr2bl w:val="nil"/>
            </w:tcBorders>
            <w:shd w:val="clear" w:color="auto" w:fill="auto"/>
            <w:vAlign w:val="center"/>
          </w:tcPr>
          <w:p w14:paraId="5A785A75">
            <w:pPr>
              <w:keepNext w:val="0"/>
              <w:keepLines w:val="0"/>
              <w:widowControl/>
              <w:suppressLineNumbers w:val="0"/>
              <w:shd w:val="clear"/>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物料衡算</w:t>
            </w:r>
          </w:p>
        </w:tc>
        <w:tc>
          <w:tcPr>
            <w:tcW w:w="257" w:type="pct"/>
            <w:vMerge w:val="continue"/>
            <w:tcBorders>
              <w:tl2br w:val="nil"/>
              <w:tr2bl w:val="nil"/>
            </w:tcBorders>
            <w:shd w:val="clear" w:color="auto" w:fill="auto"/>
            <w:vAlign w:val="center"/>
          </w:tcPr>
          <w:p w14:paraId="3487D407">
            <w:pPr>
              <w:shd w:val="clear"/>
              <w:jc w:val="center"/>
              <w:rPr>
                <w:rFonts w:hint="default" w:ascii="Times New Roman" w:hAnsi="Times New Roman" w:eastAsia="宋体" w:cs="Times New Roman"/>
                <w:i w:val="0"/>
                <w:iCs w:val="0"/>
                <w:color w:val="auto"/>
                <w:sz w:val="18"/>
                <w:szCs w:val="18"/>
                <w:highlight w:val="none"/>
                <w:u w:val="none"/>
              </w:rPr>
            </w:pPr>
          </w:p>
        </w:tc>
        <w:tc>
          <w:tcPr>
            <w:tcW w:w="262" w:type="pct"/>
            <w:tcBorders>
              <w:tl2br w:val="nil"/>
              <w:tr2bl w:val="nil"/>
            </w:tcBorders>
            <w:shd w:val="clear" w:color="auto" w:fill="auto"/>
            <w:noWrap/>
            <w:vAlign w:val="center"/>
          </w:tcPr>
          <w:p w14:paraId="019D0FA3">
            <w:pPr>
              <w:keepNext w:val="0"/>
              <w:keepLines w:val="0"/>
              <w:widowControl/>
              <w:suppressLineNumbers w:val="0"/>
              <w:shd w:val="clear"/>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10000</w:t>
            </w:r>
          </w:p>
        </w:tc>
        <w:tc>
          <w:tcPr>
            <w:tcW w:w="256" w:type="pct"/>
            <w:tcBorders>
              <w:tl2br w:val="nil"/>
              <w:tr2bl w:val="nil"/>
            </w:tcBorders>
            <w:shd w:val="clear" w:color="auto" w:fill="auto"/>
            <w:noWrap/>
            <w:vAlign w:val="center"/>
          </w:tcPr>
          <w:p w14:paraId="55532E51">
            <w:pPr>
              <w:keepNext w:val="0"/>
              <w:keepLines w:val="0"/>
              <w:widowControl/>
              <w:suppressLineNumbers w:val="0"/>
              <w:shd w:val="clear"/>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 xml:space="preserve">5.00 </w:t>
            </w:r>
          </w:p>
        </w:tc>
        <w:tc>
          <w:tcPr>
            <w:tcW w:w="274" w:type="pct"/>
            <w:vMerge w:val="continue"/>
            <w:tcBorders>
              <w:tl2br w:val="nil"/>
              <w:tr2bl w:val="nil"/>
            </w:tcBorders>
            <w:shd w:val="clear" w:color="auto" w:fill="auto"/>
            <w:vAlign w:val="center"/>
          </w:tcPr>
          <w:p w14:paraId="4CF65DAC">
            <w:pPr>
              <w:shd w:val="clear"/>
              <w:jc w:val="center"/>
              <w:rPr>
                <w:rFonts w:hint="default" w:ascii="Times New Roman" w:hAnsi="Times New Roman" w:eastAsia="宋体" w:cs="Times New Roman"/>
                <w:i w:val="0"/>
                <w:iCs w:val="0"/>
                <w:color w:val="auto"/>
                <w:sz w:val="18"/>
                <w:szCs w:val="18"/>
                <w:highlight w:val="none"/>
                <w:u w:val="none"/>
              </w:rPr>
            </w:pPr>
          </w:p>
        </w:tc>
        <w:tc>
          <w:tcPr>
            <w:tcW w:w="348" w:type="pct"/>
            <w:tcBorders>
              <w:tl2br w:val="nil"/>
              <w:tr2bl w:val="nil"/>
            </w:tcBorders>
            <w:shd w:val="clear" w:color="auto" w:fill="auto"/>
            <w:vAlign w:val="center"/>
          </w:tcPr>
          <w:p w14:paraId="5646510E">
            <w:pPr>
              <w:keepNext w:val="0"/>
              <w:keepLines w:val="0"/>
              <w:widowControl/>
              <w:suppressLineNumbers w:val="0"/>
              <w:shd w:val="clear"/>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w:t>
            </w:r>
          </w:p>
        </w:tc>
        <w:tc>
          <w:tcPr>
            <w:tcW w:w="341" w:type="pct"/>
            <w:tcBorders>
              <w:tl2br w:val="nil"/>
              <w:tr2bl w:val="nil"/>
            </w:tcBorders>
            <w:shd w:val="clear" w:color="auto" w:fill="auto"/>
            <w:vAlign w:val="center"/>
          </w:tcPr>
          <w:p w14:paraId="20FDDA42">
            <w:pPr>
              <w:keepNext w:val="0"/>
              <w:keepLines w:val="0"/>
              <w:widowControl/>
              <w:suppressLineNumbers w:val="0"/>
              <w:shd w:val="clear"/>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物料衡算</w:t>
            </w:r>
          </w:p>
        </w:tc>
        <w:tc>
          <w:tcPr>
            <w:tcW w:w="257" w:type="pct"/>
            <w:vMerge w:val="continue"/>
            <w:tcBorders>
              <w:tl2br w:val="nil"/>
              <w:tr2bl w:val="nil"/>
            </w:tcBorders>
            <w:shd w:val="clear" w:color="auto" w:fill="auto"/>
            <w:vAlign w:val="center"/>
          </w:tcPr>
          <w:p w14:paraId="117DA53F">
            <w:pPr>
              <w:shd w:val="clear"/>
              <w:jc w:val="center"/>
              <w:rPr>
                <w:rFonts w:hint="default" w:ascii="Times New Roman" w:hAnsi="Times New Roman" w:eastAsia="宋体" w:cs="Times New Roman"/>
                <w:i w:val="0"/>
                <w:iCs w:val="0"/>
                <w:color w:val="auto"/>
                <w:sz w:val="18"/>
                <w:szCs w:val="18"/>
                <w:highlight w:val="none"/>
                <w:u w:val="none"/>
              </w:rPr>
            </w:pPr>
          </w:p>
        </w:tc>
        <w:tc>
          <w:tcPr>
            <w:tcW w:w="354" w:type="pct"/>
            <w:tcBorders>
              <w:tl2br w:val="nil"/>
              <w:tr2bl w:val="nil"/>
            </w:tcBorders>
            <w:shd w:val="clear" w:color="auto" w:fill="auto"/>
            <w:noWrap/>
            <w:vAlign w:val="center"/>
          </w:tcPr>
          <w:p w14:paraId="6B3055C2">
            <w:pPr>
              <w:keepNext w:val="0"/>
              <w:keepLines w:val="0"/>
              <w:widowControl/>
              <w:suppressLineNumbers w:val="0"/>
              <w:shd w:val="clear"/>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10</w:t>
            </w:r>
          </w:p>
        </w:tc>
        <w:tc>
          <w:tcPr>
            <w:tcW w:w="246" w:type="pct"/>
            <w:tcBorders>
              <w:tl2br w:val="nil"/>
              <w:tr2bl w:val="nil"/>
            </w:tcBorders>
            <w:shd w:val="clear" w:color="auto" w:fill="auto"/>
            <w:vAlign w:val="center"/>
          </w:tcPr>
          <w:p w14:paraId="247E35AF">
            <w:pPr>
              <w:keepNext w:val="0"/>
              <w:keepLines w:val="0"/>
              <w:widowControl/>
              <w:suppressLineNumbers w:val="0"/>
              <w:shd w:val="clear"/>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 xml:space="preserve">0.01 </w:t>
            </w:r>
          </w:p>
        </w:tc>
        <w:tc>
          <w:tcPr>
            <w:tcW w:w="344" w:type="pct"/>
            <w:tcBorders>
              <w:tl2br w:val="nil"/>
              <w:tr2bl w:val="nil"/>
            </w:tcBorders>
            <w:shd w:val="clear" w:color="auto" w:fill="auto"/>
            <w:vAlign w:val="center"/>
          </w:tcPr>
          <w:p w14:paraId="042BD52A">
            <w:pPr>
              <w:keepNext w:val="0"/>
              <w:keepLines w:val="0"/>
              <w:widowControl/>
              <w:suppressLineNumbers w:val="0"/>
              <w:shd w:val="clear"/>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250</w:t>
            </w:r>
          </w:p>
        </w:tc>
      </w:tr>
      <w:tr w14:paraId="062E9F5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36" w:hRule="atLeast"/>
          <w:jc w:val="center"/>
        </w:trPr>
        <w:tc>
          <w:tcPr>
            <w:tcW w:w="477" w:type="pct"/>
            <w:vMerge w:val="restart"/>
            <w:tcBorders>
              <w:tl2br w:val="nil"/>
              <w:tr2bl w:val="nil"/>
            </w:tcBorders>
            <w:shd w:val="clear" w:color="auto" w:fill="auto"/>
            <w:noWrap/>
            <w:vAlign w:val="center"/>
          </w:tcPr>
          <w:p w14:paraId="3FFEABBD">
            <w:pPr>
              <w:keepNext w:val="0"/>
              <w:keepLines w:val="0"/>
              <w:widowControl/>
              <w:suppressLineNumbers w:val="0"/>
              <w:shd w:val="clear"/>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喷雾干燥器</w:t>
            </w:r>
          </w:p>
        </w:tc>
        <w:tc>
          <w:tcPr>
            <w:tcW w:w="794" w:type="pct"/>
            <w:vMerge w:val="restart"/>
            <w:tcBorders>
              <w:tl2br w:val="nil"/>
              <w:tr2bl w:val="nil"/>
            </w:tcBorders>
            <w:shd w:val="clear" w:color="auto" w:fill="auto"/>
            <w:noWrap/>
            <w:vAlign w:val="center"/>
          </w:tcPr>
          <w:p w14:paraId="63BF9BB4">
            <w:pPr>
              <w:keepNext w:val="0"/>
              <w:keepLines w:val="0"/>
              <w:widowControl/>
              <w:suppressLineNumbers w:val="0"/>
              <w:shd w:val="clear"/>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喷雾干燥器清洗废水W2</w:t>
            </w:r>
          </w:p>
        </w:tc>
        <w:tc>
          <w:tcPr>
            <w:tcW w:w="273" w:type="pct"/>
            <w:tcBorders>
              <w:tl2br w:val="nil"/>
              <w:tr2bl w:val="nil"/>
            </w:tcBorders>
            <w:shd w:val="clear" w:color="auto" w:fill="auto"/>
            <w:vAlign w:val="center"/>
          </w:tcPr>
          <w:p w14:paraId="6221780A">
            <w:pPr>
              <w:keepNext w:val="0"/>
              <w:keepLines w:val="0"/>
              <w:widowControl/>
              <w:suppressLineNumbers w:val="0"/>
              <w:shd w:val="clear"/>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COD</w:t>
            </w:r>
            <w:r>
              <w:rPr>
                <w:rFonts w:hint="default" w:ascii="Times New Roman" w:hAnsi="Times New Roman" w:eastAsia="宋体" w:cs="Times New Roman"/>
                <w:i w:val="0"/>
                <w:iCs w:val="0"/>
                <w:color w:val="auto"/>
                <w:kern w:val="0"/>
                <w:sz w:val="18"/>
                <w:szCs w:val="18"/>
                <w:highlight w:val="none"/>
                <w:u w:val="none"/>
                <w:vertAlign w:val="subscript"/>
                <w:lang w:val="en-US" w:eastAsia="zh-CN" w:bidi="ar"/>
              </w:rPr>
              <w:t>Cr</w:t>
            </w:r>
          </w:p>
        </w:tc>
        <w:tc>
          <w:tcPr>
            <w:tcW w:w="341" w:type="pct"/>
            <w:tcBorders>
              <w:tl2br w:val="nil"/>
              <w:tr2bl w:val="nil"/>
            </w:tcBorders>
            <w:shd w:val="clear" w:color="auto" w:fill="auto"/>
            <w:vAlign w:val="center"/>
          </w:tcPr>
          <w:p w14:paraId="30F05574">
            <w:pPr>
              <w:keepNext w:val="0"/>
              <w:keepLines w:val="0"/>
              <w:widowControl/>
              <w:suppressLineNumbers w:val="0"/>
              <w:shd w:val="clear"/>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物料衡算</w:t>
            </w:r>
          </w:p>
        </w:tc>
        <w:tc>
          <w:tcPr>
            <w:tcW w:w="257" w:type="pct"/>
            <w:vMerge w:val="restart"/>
            <w:tcBorders>
              <w:tl2br w:val="nil"/>
              <w:tr2bl w:val="nil"/>
            </w:tcBorders>
            <w:shd w:val="clear" w:color="auto" w:fill="auto"/>
            <w:noWrap/>
            <w:vAlign w:val="center"/>
          </w:tcPr>
          <w:p w14:paraId="4158D71C">
            <w:pPr>
              <w:keepNext w:val="0"/>
              <w:keepLines w:val="0"/>
              <w:widowControl/>
              <w:suppressLineNumbers w:val="0"/>
              <w:shd w:val="clear"/>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 xml:space="preserve">3.00 </w:t>
            </w:r>
          </w:p>
        </w:tc>
        <w:tc>
          <w:tcPr>
            <w:tcW w:w="262" w:type="pct"/>
            <w:tcBorders>
              <w:tl2br w:val="nil"/>
              <w:tr2bl w:val="nil"/>
            </w:tcBorders>
            <w:shd w:val="clear" w:color="auto" w:fill="auto"/>
            <w:noWrap/>
            <w:vAlign w:val="center"/>
          </w:tcPr>
          <w:p w14:paraId="7A7972AF">
            <w:pPr>
              <w:keepNext w:val="0"/>
              <w:keepLines w:val="0"/>
              <w:widowControl/>
              <w:suppressLineNumbers w:val="0"/>
              <w:shd w:val="clear"/>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30</w:t>
            </w:r>
          </w:p>
        </w:tc>
        <w:tc>
          <w:tcPr>
            <w:tcW w:w="256" w:type="pct"/>
            <w:tcBorders>
              <w:tl2br w:val="nil"/>
              <w:tr2bl w:val="nil"/>
            </w:tcBorders>
            <w:shd w:val="clear" w:color="auto" w:fill="auto"/>
            <w:noWrap/>
            <w:vAlign w:val="center"/>
          </w:tcPr>
          <w:p w14:paraId="4078FAB0">
            <w:pPr>
              <w:keepNext w:val="0"/>
              <w:keepLines w:val="0"/>
              <w:widowControl/>
              <w:suppressLineNumbers w:val="0"/>
              <w:shd w:val="clear"/>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 xml:space="preserve">0.09 </w:t>
            </w:r>
          </w:p>
        </w:tc>
        <w:tc>
          <w:tcPr>
            <w:tcW w:w="274" w:type="pct"/>
            <w:vMerge w:val="continue"/>
            <w:tcBorders>
              <w:tl2br w:val="nil"/>
              <w:tr2bl w:val="nil"/>
            </w:tcBorders>
            <w:shd w:val="clear" w:color="auto" w:fill="auto"/>
            <w:vAlign w:val="center"/>
          </w:tcPr>
          <w:p w14:paraId="776968E3">
            <w:pPr>
              <w:shd w:val="clear"/>
              <w:jc w:val="center"/>
              <w:rPr>
                <w:rFonts w:hint="default" w:ascii="Times New Roman" w:hAnsi="Times New Roman" w:eastAsia="宋体" w:cs="Times New Roman"/>
                <w:i w:val="0"/>
                <w:iCs w:val="0"/>
                <w:color w:val="auto"/>
                <w:sz w:val="18"/>
                <w:szCs w:val="18"/>
                <w:highlight w:val="none"/>
                <w:u w:val="none"/>
              </w:rPr>
            </w:pPr>
          </w:p>
        </w:tc>
        <w:tc>
          <w:tcPr>
            <w:tcW w:w="348" w:type="pct"/>
            <w:tcBorders>
              <w:tl2br w:val="nil"/>
              <w:tr2bl w:val="nil"/>
            </w:tcBorders>
            <w:shd w:val="clear" w:color="auto" w:fill="auto"/>
            <w:vAlign w:val="center"/>
          </w:tcPr>
          <w:p w14:paraId="7D964273">
            <w:pPr>
              <w:keepNext w:val="0"/>
              <w:keepLines w:val="0"/>
              <w:widowControl/>
              <w:suppressLineNumbers w:val="0"/>
              <w:shd w:val="clear"/>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w:t>
            </w:r>
          </w:p>
        </w:tc>
        <w:tc>
          <w:tcPr>
            <w:tcW w:w="341" w:type="pct"/>
            <w:tcBorders>
              <w:tl2br w:val="nil"/>
              <w:tr2bl w:val="nil"/>
            </w:tcBorders>
            <w:shd w:val="clear" w:color="auto" w:fill="auto"/>
            <w:vAlign w:val="center"/>
          </w:tcPr>
          <w:p w14:paraId="111C0B6C">
            <w:pPr>
              <w:keepNext w:val="0"/>
              <w:keepLines w:val="0"/>
              <w:widowControl/>
              <w:suppressLineNumbers w:val="0"/>
              <w:shd w:val="clear"/>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物料衡算</w:t>
            </w:r>
          </w:p>
        </w:tc>
        <w:tc>
          <w:tcPr>
            <w:tcW w:w="257" w:type="pct"/>
            <w:vMerge w:val="restart"/>
            <w:tcBorders>
              <w:tl2br w:val="nil"/>
              <w:tr2bl w:val="nil"/>
            </w:tcBorders>
            <w:shd w:val="clear" w:color="auto" w:fill="auto"/>
            <w:noWrap/>
            <w:vAlign w:val="center"/>
          </w:tcPr>
          <w:p w14:paraId="315D1424">
            <w:pPr>
              <w:keepNext w:val="0"/>
              <w:keepLines w:val="0"/>
              <w:widowControl/>
              <w:suppressLineNumbers w:val="0"/>
              <w:shd w:val="clear"/>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 xml:space="preserve">3.00 </w:t>
            </w:r>
          </w:p>
        </w:tc>
        <w:tc>
          <w:tcPr>
            <w:tcW w:w="354" w:type="pct"/>
            <w:tcBorders>
              <w:tl2br w:val="nil"/>
              <w:tr2bl w:val="nil"/>
            </w:tcBorders>
            <w:shd w:val="clear" w:color="auto" w:fill="auto"/>
            <w:vAlign w:val="center"/>
          </w:tcPr>
          <w:p w14:paraId="641EF7C6">
            <w:pPr>
              <w:keepNext w:val="0"/>
              <w:keepLines w:val="0"/>
              <w:widowControl/>
              <w:suppressLineNumbers w:val="0"/>
              <w:shd w:val="clear"/>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40</w:t>
            </w:r>
          </w:p>
        </w:tc>
        <w:tc>
          <w:tcPr>
            <w:tcW w:w="246" w:type="pct"/>
            <w:tcBorders>
              <w:tl2br w:val="nil"/>
              <w:tr2bl w:val="nil"/>
            </w:tcBorders>
            <w:shd w:val="clear" w:color="auto" w:fill="auto"/>
            <w:vAlign w:val="center"/>
          </w:tcPr>
          <w:p w14:paraId="17CC3436">
            <w:pPr>
              <w:keepNext w:val="0"/>
              <w:keepLines w:val="0"/>
              <w:widowControl/>
              <w:suppressLineNumbers w:val="0"/>
              <w:shd w:val="clear"/>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 xml:space="preserve">0.12 </w:t>
            </w:r>
          </w:p>
        </w:tc>
        <w:tc>
          <w:tcPr>
            <w:tcW w:w="344" w:type="pct"/>
            <w:tcBorders>
              <w:tl2br w:val="nil"/>
              <w:tr2bl w:val="nil"/>
            </w:tcBorders>
            <w:shd w:val="clear" w:color="auto" w:fill="auto"/>
            <w:vAlign w:val="center"/>
          </w:tcPr>
          <w:p w14:paraId="2B7DB936">
            <w:pPr>
              <w:keepNext w:val="0"/>
              <w:keepLines w:val="0"/>
              <w:widowControl/>
              <w:suppressLineNumbers w:val="0"/>
              <w:shd w:val="clear"/>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250</w:t>
            </w:r>
          </w:p>
        </w:tc>
      </w:tr>
      <w:tr w14:paraId="49C463F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477" w:type="pct"/>
            <w:vMerge w:val="continue"/>
            <w:tcBorders>
              <w:tl2br w:val="nil"/>
              <w:tr2bl w:val="nil"/>
            </w:tcBorders>
            <w:shd w:val="clear" w:color="auto" w:fill="auto"/>
            <w:noWrap/>
            <w:vAlign w:val="center"/>
          </w:tcPr>
          <w:p w14:paraId="731A6F49">
            <w:pPr>
              <w:shd w:val="clear"/>
              <w:jc w:val="center"/>
              <w:rPr>
                <w:rFonts w:hint="default" w:ascii="Times New Roman" w:hAnsi="Times New Roman" w:eastAsia="宋体" w:cs="Times New Roman"/>
                <w:i w:val="0"/>
                <w:iCs w:val="0"/>
                <w:color w:val="auto"/>
                <w:sz w:val="18"/>
                <w:szCs w:val="18"/>
                <w:highlight w:val="none"/>
                <w:u w:val="none"/>
              </w:rPr>
            </w:pPr>
          </w:p>
        </w:tc>
        <w:tc>
          <w:tcPr>
            <w:tcW w:w="794" w:type="pct"/>
            <w:vMerge w:val="continue"/>
            <w:tcBorders>
              <w:tl2br w:val="nil"/>
              <w:tr2bl w:val="nil"/>
            </w:tcBorders>
            <w:shd w:val="clear" w:color="auto" w:fill="auto"/>
            <w:noWrap/>
            <w:vAlign w:val="center"/>
          </w:tcPr>
          <w:p w14:paraId="4C8FBA67">
            <w:pPr>
              <w:shd w:val="clear"/>
              <w:jc w:val="center"/>
              <w:rPr>
                <w:rFonts w:hint="default" w:ascii="Times New Roman" w:hAnsi="Times New Roman" w:eastAsia="宋体" w:cs="Times New Roman"/>
                <w:i w:val="0"/>
                <w:iCs w:val="0"/>
                <w:color w:val="auto"/>
                <w:sz w:val="18"/>
                <w:szCs w:val="18"/>
                <w:highlight w:val="none"/>
                <w:u w:val="none"/>
              </w:rPr>
            </w:pPr>
          </w:p>
        </w:tc>
        <w:tc>
          <w:tcPr>
            <w:tcW w:w="273" w:type="pct"/>
            <w:tcBorders>
              <w:tl2br w:val="nil"/>
              <w:tr2bl w:val="nil"/>
            </w:tcBorders>
            <w:shd w:val="clear" w:color="auto" w:fill="auto"/>
            <w:vAlign w:val="center"/>
          </w:tcPr>
          <w:p w14:paraId="349C1BF8">
            <w:pPr>
              <w:keepNext w:val="0"/>
              <w:keepLines w:val="0"/>
              <w:widowControl/>
              <w:suppressLineNumbers w:val="0"/>
              <w:shd w:val="clear"/>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TP</w:t>
            </w:r>
          </w:p>
        </w:tc>
        <w:tc>
          <w:tcPr>
            <w:tcW w:w="341" w:type="pct"/>
            <w:tcBorders>
              <w:tl2br w:val="nil"/>
              <w:tr2bl w:val="nil"/>
            </w:tcBorders>
            <w:shd w:val="clear" w:color="auto" w:fill="auto"/>
            <w:vAlign w:val="center"/>
          </w:tcPr>
          <w:p w14:paraId="25ED2402">
            <w:pPr>
              <w:keepNext w:val="0"/>
              <w:keepLines w:val="0"/>
              <w:widowControl/>
              <w:suppressLineNumbers w:val="0"/>
              <w:shd w:val="clear"/>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物料衡算</w:t>
            </w:r>
          </w:p>
        </w:tc>
        <w:tc>
          <w:tcPr>
            <w:tcW w:w="257" w:type="pct"/>
            <w:vMerge w:val="continue"/>
            <w:tcBorders>
              <w:tl2br w:val="nil"/>
              <w:tr2bl w:val="nil"/>
            </w:tcBorders>
            <w:shd w:val="clear" w:color="auto" w:fill="auto"/>
            <w:noWrap/>
            <w:vAlign w:val="center"/>
          </w:tcPr>
          <w:p w14:paraId="7FA0DA81">
            <w:pPr>
              <w:shd w:val="clear"/>
              <w:jc w:val="center"/>
              <w:rPr>
                <w:rFonts w:hint="default" w:ascii="Times New Roman" w:hAnsi="Times New Roman" w:eastAsia="宋体" w:cs="Times New Roman"/>
                <w:i w:val="0"/>
                <w:iCs w:val="0"/>
                <w:color w:val="auto"/>
                <w:sz w:val="18"/>
                <w:szCs w:val="18"/>
                <w:highlight w:val="none"/>
                <w:u w:val="none"/>
              </w:rPr>
            </w:pPr>
          </w:p>
        </w:tc>
        <w:tc>
          <w:tcPr>
            <w:tcW w:w="262" w:type="pct"/>
            <w:tcBorders>
              <w:tl2br w:val="nil"/>
              <w:tr2bl w:val="nil"/>
            </w:tcBorders>
            <w:shd w:val="clear" w:color="auto" w:fill="auto"/>
            <w:noWrap/>
            <w:vAlign w:val="center"/>
          </w:tcPr>
          <w:p w14:paraId="7591F4D6">
            <w:pPr>
              <w:keepNext w:val="0"/>
              <w:keepLines w:val="0"/>
              <w:widowControl/>
              <w:suppressLineNumbers w:val="0"/>
              <w:shd w:val="clear"/>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30</w:t>
            </w:r>
          </w:p>
        </w:tc>
        <w:tc>
          <w:tcPr>
            <w:tcW w:w="256" w:type="pct"/>
            <w:tcBorders>
              <w:tl2br w:val="nil"/>
              <w:tr2bl w:val="nil"/>
            </w:tcBorders>
            <w:shd w:val="clear" w:color="auto" w:fill="auto"/>
            <w:noWrap/>
            <w:vAlign w:val="center"/>
          </w:tcPr>
          <w:p w14:paraId="5EEBC8E9">
            <w:pPr>
              <w:keepNext w:val="0"/>
              <w:keepLines w:val="0"/>
              <w:widowControl/>
              <w:suppressLineNumbers w:val="0"/>
              <w:shd w:val="clear"/>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 xml:space="preserve">0.09 </w:t>
            </w:r>
          </w:p>
        </w:tc>
        <w:tc>
          <w:tcPr>
            <w:tcW w:w="274" w:type="pct"/>
            <w:vMerge w:val="continue"/>
            <w:tcBorders>
              <w:tl2br w:val="nil"/>
              <w:tr2bl w:val="nil"/>
            </w:tcBorders>
            <w:shd w:val="clear" w:color="auto" w:fill="auto"/>
            <w:vAlign w:val="center"/>
          </w:tcPr>
          <w:p w14:paraId="748F917C">
            <w:pPr>
              <w:shd w:val="clear"/>
              <w:jc w:val="center"/>
              <w:rPr>
                <w:rFonts w:hint="default" w:ascii="Times New Roman" w:hAnsi="Times New Roman" w:eastAsia="宋体" w:cs="Times New Roman"/>
                <w:i w:val="0"/>
                <w:iCs w:val="0"/>
                <w:color w:val="auto"/>
                <w:sz w:val="18"/>
                <w:szCs w:val="18"/>
                <w:highlight w:val="none"/>
                <w:u w:val="none"/>
              </w:rPr>
            </w:pPr>
          </w:p>
        </w:tc>
        <w:tc>
          <w:tcPr>
            <w:tcW w:w="348" w:type="pct"/>
            <w:tcBorders>
              <w:tl2br w:val="nil"/>
              <w:tr2bl w:val="nil"/>
            </w:tcBorders>
            <w:shd w:val="clear" w:color="auto" w:fill="auto"/>
            <w:vAlign w:val="center"/>
          </w:tcPr>
          <w:p w14:paraId="3AC9CD59">
            <w:pPr>
              <w:keepNext w:val="0"/>
              <w:keepLines w:val="0"/>
              <w:widowControl/>
              <w:suppressLineNumbers w:val="0"/>
              <w:shd w:val="clear"/>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w:t>
            </w:r>
          </w:p>
        </w:tc>
        <w:tc>
          <w:tcPr>
            <w:tcW w:w="341" w:type="pct"/>
            <w:tcBorders>
              <w:tl2br w:val="nil"/>
              <w:tr2bl w:val="nil"/>
            </w:tcBorders>
            <w:shd w:val="clear" w:color="auto" w:fill="auto"/>
            <w:vAlign w:val="center"/>
          </w:tcPr>
          <w:p w14:paraId="779FE866">
            <w:pPr>
              <w:keepNext w:val="0"/>
              <w:keepLines w:val="0"/>
              <w:widowControl/>
              <w:suppressLineNumbers w:val="0"/>
              <w:shd w:val="clear"/>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物料衡算</w:t>
            </w:r>
          </w:p>
        </w:tc>
        <w:tc>
          <w:tcPr>
            <w:tcW w:w="257" w:type="pct"/>
            <w:vMerge w:val="continue"/>
            <w:tcBorders>
              <w:tl2br w:val="nil"/>
              <w:tr2bl w:val="nil"/>
            </w:tcBorders>
            <w:shd w:val="clear" w:color="auto" w:fill="auto"/>
            <w:noWrap/>
            <w:vAlign w:val="center"/>
          </w:tcPr>
          <w:p w14:paraId="1DECAEBC">
            <w:pPr>
              <w:shd w:val="clear"/>
              <w:jc w:val="center"/>
              <w:rPr>
                <w:rFonts w:hint="default" w:ascii="Times New Roman" w:hAnsi="Times New Roman" w:eastAsia="宋体" w:cs="Times New Roman"/>
                <w:i w:val="0"/>
                <w:iCs w:val="0"/>
                <w:color w:val="auto"/>
                <w:sz w:val="18"/>
                <w:szCs w:val="18"/>
                <w:highlight w:val="none"/>
                <w:u w:val="none"/>
              </w:rPr>
            </w:pPr>
          </w:p>
        </w:tc>
        <w:tc>
          <w:tcPr>
            <w:tcW w:w="354" w:type="pct"/>
            <w:tcBorders>
              <w:tl2br w:val="nil"/>
              <w:tr2bl w:val="nil"/>
            </w:tcBorders>
            <w:shd w:val="clear" w:color="auto" w:fill="auto"/>
            <w:vAlign w:val="center"/>
          </w:tcPr>
          <w:p w14:paraId="77E8D626">
            <w:pPr>
              <w:keepNext w:val="0"/>
              <w:keepLines w:val="0"/>
              <w:widowControl/>
              <w:suppressLineNumbers w:val="0"/>
              <w:shd w:val="clear"/>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0.3</w:t>
            </w:r>
          </w:p>
        </w:tc>
        <w:tc>
          <w:tcPr>
            <w:tcW w:w="246" w:type="pct"/>
            <w:tcBorders>
              <w:tl2br w:val="nil"/>
              <w:tr2bl w:val="nil"/>
            </w:tcBorders>
            <w:shd w:val="clear" w:color="auto" w:fill="auto"/>
            <w:vAlign w:val="center"/>
          </w:tcPr>
          <w:p w14:paraId="4AA105C4">
            <w:pPr>
              <w:keepNext w:val="0"/>
              <w:keepLines w:val="0"/>
              <w:widowControl/>
              <w:suppressLineNumbers w:val="0"/>
              <w:shd w:val="clear"/>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sz w:val="18"/>
                <w:szCs w:val="18"/>
                <w:highlight w:val="none"/>
                <w:u w:val="none"/>
                <w:lang w:val="en-US" w:eastAsia="zh-CN"/>
              </w:rPr>
              <w:t>少量</w:t>
            </w:r>
          </w:p>
        </w:tc>
        <w:tc>
          <w:tcPr>
            <w:tcW w:w="344" w:type="pct"/>
            <w:tcBorders>
              <w:tl2br w:val="nil"/>
              <w:tr2bl w:val="nil"/>
            </w:tcBorders>
            <w:shd w:val="clear" w:color="auto" w:fill="auto"/>
            <w:vAlign w:val="center"/>
          </w:tcPr>
          <w:p w14:paraId="79C29ADB">
            <w:pPr>
              <w:keepNext w:val="0"/>
              <w:keepLines w:val="0"/>
              <w:widowControl/>
              <w:suppressLineNumbers w:val="0"/>
              <w:shd w:val="clear"/>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250</w:t>
            </w:r>
          </w:p>
        </w:tc>
      </w:tr>
      <w:tr w14:paraId="348276D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12" w:hRule="atLeast"/>
          <w:jc w:val="center"/>
        </w:trPr>
        <w:tc>
          <w:tcPr>
            <w:tcW w:w="477" w:type="pct"/>
            <w:vMerge w:val="continue"/>
            <w:tcBorders>
              <w:tl2br w:val="nil"/>
              <w:tr2bl w:val="nil"/>
            </w:tcBorders>
            <w:shd w:val="clear" w:color="auto" w:fill="auto"/>
            <w:noWrap/>
            <w:vAlign w:val="center"/>
          </w:tcPr>
          <w:p w14:paraId="31D6D953">
            <w:pPr>
              <w:shd w:val="clear"/>
              <w:jc w:val="center"/>
              <w:rPr>
                <w:rFonts w:hint="default" w:ascii="Times New Roman" w:hAnsi="Times New Roman" w:eastAsia="宋体" w:cs="Times New Roman"/>
                <w:i w:val="0"/>
                <w:iCs w:val="0"/>
                <w:color w:val="auto"/>
                <w:sz w:val="18"/>
                <w:szCs w:val="18"/>
                <w:highlight w:val="none"/>
                <w:u w:val="none"/>
              </w:rPr>
            </w:pPr>
          </w:p>
        </w:tc>
        <w:tc>
          <w:tcPr>
            <w:tcW w:w="794" w:type="pct"/>
            <w:vMerge w:val="continue"/>
            <w:tcBorders>
              <w:tl2br w:val="nil"/>
              <w:tr2bl w:val="nil"/>
            </w:tcBorders>
            <w:shd w:val="clear" w:color="auto" w:fill="auto"/>
            <w:noWrap/>
            <w:vAlign w:val="center"/>
          </w:tcPr>
          <w:p w14:paraId="1627A2EE">
            <w:pPr>
              <w:shd w:val="clear"/>
              <w:jc w:val="center"/>
              <w:rPr>
                <w:rFonts w:hint="default" w:ascii="Times New Roman" w:hAnsi="Times New Roman" w:eastAsia="宋体" w:cs="Times New Roman"/>
                <w:i w:val="0"/>
                <w:iCs w:val="0"/>
                <w:color w:val="auto"/>
                <w:sz w:val="18"/>
                <w:szCs w:val="18"/>
                <w:highlight w:val="none"/>
                <w:u w:val="none"/>
              </w:rPr>
            </w:pPr>
          </w:p>
        </w:tc>
        <w:tc>
          <w:tcPr>
            <w:tcW w:w="273" w:type="pct"/>
            <w:tcBorders>
              <w:tl2br w:val="nil"/>
              <w:tr2bl w:val="nil"/>
            </w:tcBorders>
            <w:shd w:val="clear" w:color="auto" w:fill="auto"/>
            <w:noWrap/>
            <w:vAlign w:val="center"/>
          </w:tcPr>
          <w:p w14:paraId="4A620657">
            <w:pPr>
              <w:keepNext w:val="0"/>
              <w:keepLines w:val="0"/>
              <w:widowControl/>
              <w:suppressLineNumbers w:val="0"/>
              <w:shd w:val="clear"/>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SS</w:t>
            </w:r>
          </w:p>
        </w:tc>
        <w:tc>
          <w:tcPr>
            <w:tcW w:w="341" w:type="pct"/>
            <w:tcBorders>
              <w:tl2br w:val="nil"/>
              <w:tr2bl w:val="nil"/>
            </w:tcBorders>
            <w:shd w:val="clear" w:color="auto" w:fill="auto"/>
            <w:vAlign w:val="center"/>
          </w:tcPr>
          <w:p w14:paraId="65FFE6FD">
            <w:pPr>
              <w:keepNext w:val="0"/>
              <w:keepLines w:val="0"/>
              <w:widowControl/>
              <w:suppressLineNumbers w:val="0"/>
              <w:shd w:val="clear"/>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物料衡算</w:t>
            </w:r>
          </w:p>
        </w:tc>
        <w:tc>
          <w:tcPr>
            <w:tcW w:w="257" w:type="pct"/>
            <w:vMerge w:val="continue"/>
            <w:tcBorders>
              <w:tl2br w:val="nil"/>
              <w:tr2bl w:val="nil"/>
            </w:tcBorders>
            <w:shd w:val="clear" w:color="auto" w:fill="auto"/>
            <w:noWrap/>
            <w:vAlign w:val="center"/>
          </w:tcPr>
          <w:p w14:paraId="7F6B06EF">
            <w:pPr>
              <w:shd w:val="clear"/>
              <w:jc w:val="center"/>
              <w:rPr>
                <w:rFonts w:hint="default" w:ascii="Times New Roman" w:hAnsi="Times New Roman" w:eastAsia="宋体" w:cs="Times New Roman"/>
                <w:i w:val="0"/>
                <w:iCs w:val="0"/>
                <w:color w:val="auto"/>
                <w:sz w:val="18"/>
                <w:szCs w:val="18"/>
                <w:highlight w:val="none"/>
                <w:u w:val="none"/>
              </w:rPr>
            </w:pPr>
          </w:p>
        </w:tc>
        <w:tc>
          <w:tcPr>
            <w:tcW w:w="262" w:type="pct"/>
            <w:tcBorders>
              <w:tl2br w:val="nil"/>
              <w:tr2bl w:val="nil"/>
            </w:tcBorders>
            <w:shd w:val="clear" w:color="auto" w:fill="auto"/>
            <w:noWrap/>
            <w:vAlign w:val="center"/>
          </w:tcPr>
          <w:p w14:paraId="25B4D02A">
            <w:pPr>
              <w:keepNext w:val="0"/>
              <w:keepLines w:val="0"/>
              <w:widowControl/>
              <w:suppressLineNumbers w:val="0"/>
              <w:shd w:val="clear"/>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10000</w:t>
            </w:r>
          </w:p>
        </w:tc>
        <w:tc>
          <w:tcPr>
            <w:tcW w:w="256" w:type="pct"/>
            <w:tcBorders>
              <w:tl2br w:val="nil"/>
              <w:tr2bl w:val="nil"/>
            </w:tcBorders>
            <w:shd w:val="clear" w:color="auto" w:fill="auto"/>
            <w:noWrap/>
            <w:vAlign w:val="center"/>
          </w:tcPr>
          <w:p w14:paraId="7C2CC008">
            <w:pPr>
              <w:keepNext w:val="0"/>
              <w:keepLines w:val="0"/>
              <w:widowControl/>
              <w:suppressLineNumbers w:val="0"/>
              <w:shd w:val="clear"/>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 xml:space="preserve">30.00 </w:t>
            </w:r>
          </w:p>
        </w:tc>
        <w:tc>
          <w:tcPr>
            <w:tcW w:w="274" w:type="pct"/>
            <w:vMerge w:val="continue"/>
            <w:tcBorders>
              <w:tl2br w:val="nil"/>
              <w:tr2bl w:val="nil"/>
            </w:tcBorders>
            <w:shd w:val="clear" w:color="auto" w:fill="auto"/>
            <w:vAlign w:val="center"/>
          </w:tcPr>
          <w:p w14:paraId="6B7529F7">
            <w:pPr>
              <w:shd w:val="clear"/>
              <w:jc w:val="center"/>
              <w:rPr>
                <w:rFonts w:hint="default" w:ascii="Times New Roman" w:hAnsi="Times New Roman" w:eastAsia="宋体" w:cs="Times New Roman"/>
                <w:i w:val="0"/>
                <w:iCs w:val="0"/>
                <w:color w:val="auto"/>
                <w:sz w:val="18"/>
                <w:szCs w:val="18"/>
                <w:highlight w:val="none"/>
                <w:u w:val="none"/>
              </w:rPr>
            </w:pPr>
          </w:p>
        </w:tc>
        <w:tc>
          <w:tcPr>
            <w:tcW w:w="348" w:type="pct"/>
            <w:tcBorders>
              <w:tl2br w:val="nil"/>
              <w:tr2bl w:val="nil"/>
            </w:tcBorders>
            <w:shd w:val="clear" w:color="auto" w:fill="auto"/>
            <w:vAlign w:val="center"/>
          </w:tcPr>
          <w:p w14:paraId="7BFBA573">
            <w:pPr>
              <w:keepNext w:val="0"/>
              <w:keepLines w:val="0"/>
              <w:widowControl/>
              <w:suppressLineNumbers w:val="0"/>
              <w:shd w:val="clear"/>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w:t>
            </w:r>
          </w:p>
        </w:tc>
        <w:tc>
          <w:tcPr>
            <w:tcW w:w="341" w:type="pct"/>
            <w:tcBorders>
              <w:tl2br w:val="nil"/>
              <w:tr2bl w:val="nil"/>
            </w:tcBorders>
            <w:shd w:val="clear" w:color="auto" w:fill="auto"/>
            <w:vAlign w:val="center"/>
          </w:tcPr>
          <w:p w14:paraId="50F41F1E">
            <w:pPr>
              <w:keepNext w:val="0"/>
              <w:keepLines w:val="0"/>
              <w:widowControl/>
              <w:suppressLineNumbers w:val="0"/>
              <w:shd w:val="clear"/>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物料衡算</w:t>
            </w:r>
          </w:p>
        </w:tc>
        <w:tc>
          <w:tcPr>
            <w:tcW w:w="257" w:type="pct"/>
            <w:vMerge w:val="continue"/>
            <w:tcBorders>
              <w:tl2br w:val="nil"/>
              <w:tr2bl w:val="nil"/>
            </w:tcBorders>
            <w:shd w:val="clear" w:color="auto" w:fill="auto"/>
            <w:noWrap/>
            <w:vAlign w:val="center"/>
          </w:tcPr>
          <w:p w14:paraId="49215FB4">
            <w:pPr>
              <w:shd w:val="clear"/>
              <w:jc w:val="center"/>
              <w:rPr>
                <w:rFonts w:hint="default" w:ascii="Times New Roman" w:hAnsi="Times New Roman" w:eastAsia="宋体" w:cs="Times New Roman"/>
                <w:i w:val="0"/>
                <w:iCs w:val="0"/>
                <w:color w:val="auto"/>
                <w:sz w:val="18"/>
                <w:szCs w:val="18"/>
                <w:highlight w:val="none"/>
                <w:u w:val="none"/>
              </w:rPr>
            </w:pPr>
          </w:p>
        </w:tc>
        <w:tc>
          <w:tcPr>
            <w:tcW w:w="354" w:type="pct"/>
            <w:tcBorders>
              <w:tl2br w:val="nil"/>
              <w:tr2bl w:val="nil"/>
            </w:tcBorders>
            <w:shd w:val="clear" w:color="auto" w:fill="auto"/>
            <w:noWrap/>
            <w:vAlign w:val="center"/>
          </w:tcPr>
          <w:p w14:paraId="791764CB">
            <w:pPr>
              <w:keepNext w:val="0"/>
              <w:keepLines w:val="0"/>
              <w:widowControl/>
              <w:suppressLineNumbers w:val="0"/>
              <w:shd w:val="clear"/>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10</w:t>
            </w:r>
          </w:p>
        </w:tc>
        <w:tc>
          <w:tcPr>
            <w:tcW w:w="246" w:type="pct"/>
            <w:tcBorders>
              <w:tl2br w:val="nil"/>
              <w:tr2bl w:val="nil"/>
            </w:tcBorders>
            <w:shd w:val="clear" w:color="auto" w:fill="auto"/>
            <w:vAlign w:val="center"/>
          </w:tcPr>
          <w:p w14:paraId="7D1668B5">
            <w:pPr>
              <w:keepNext w:val="0"/>
              <w:keepLines w:val="0"/>
              <w:widowControl/>
              <w:suppressLineNumbers w:val="0"/>
              <w:shd w:val="clear"/>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 xml:space="preserve">0.03 </w:t>
            </w:r>
          </w:p>
        </w:tc>
        <w:tc>
          <w:tcPr>
            <w:tcW w:w="344" w:type="pct"/>
            <w:tcBorders>
              <w:tl2br w:val="nil"/>
              <w:tr2bl w:val="nil"/>
            </w:tcBorders>
            <w:shd w:val="clear" w:color="auto" w:fill="auto"/>
            <w:vAlign w:val="center"/>
          </w:tcPr>
          <w:p w14:paraId="07776098">
            <w:pPr>
              <w:keepNext w:val="0"/>
              <w:keepLines w:val="0"/>
              <w:widowControl/>
              <w:suppressLineNumbers w:val="0"/>
              <w:shd w:val="clear"/>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250</w:t>
            </w:r>
          </w:p>
        </w:tc>
      </w:tr>
      <w:tr w14:paraId="3C54174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12" w:hRule="atLeast"/>
          <w:jc w:val="center"/>
        </w:trPr>
        <w:tc>
          <w:tcPr>
            <w:tcW w:w="477" w:type="pct"/>
            <w:tcBorders>
              <w:tl2br w:val="nil"/>
              <w:tr2bl w:val="nil"/>
            </w:tcBorders>
            <w:shd w:val="clear" w:color="auto" w:fill="auto"/>
            <w:noWrap/>
            <w:vAlign w:val="center"/>
          </w:tcPr>
          <w:p w14:paraId="50B75E60">
            <w:pPr>
              <w:keepNext w:val="0"/>
              <w:keepLines w:val="0"/>
              <w:widowControl/>
              <w:suppressLineNumbers w:val="0"/>
              <w:shd w:val="clear"/>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纯水制备装置</w:t>
            </w:r>
          </w:p>
        </w:tc>
        <w:tc>
          <w:tcPr>
            <w:tcW w:w="794" w:type="pct"/>
            <w:tcBorders>
              <w:tl2br w:val="nil"/>
              <w:tr2bl w:val="nil"/>
            </w:tcBorders>
            <w:shd w:val="clear" w:color="auto" w:fill="auto"/>
            <w:noWrap/>
            <w:vAlign w:val="center"/>
          </w:tcPr>
          <w:p w14:paraId="5BFED715">
            <w:pPr>
              <w:keepNext w:val="0"/>
              <w:keepLines w:val="0"/>
              <w:widowControl/>
              <w:suppressLineNumbers w:val="0"/>
              <w:shd w:val="clear"/>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纯水制备浓水W3</w:t>
            </w:r>
          </w:p>
        </w:tc>
        <w:tc>
          <w:tcPr>
            <w:tcW w:w="273" w:type="pct"/>
            <w:tcBorders>
              <w:tl2br w:val="nil"/>
              <w:tr2bl w:val="nil"/>
            </w:tcBorders>
            <w:shd w:val="clear" w:color="auto" w:fill="auto"/>
            <w:noWrap/>
            <w:vAlign w:val="center"/>
          </w:tcPr>
          <w:p w14:paraId="30F261DA">
            <w:pPr>
              <w:keepNext w:val="0"/>
              <w:keepLines w:val="0"/>
              <w:widowControl/>
              <w:suppressLineNumbers w:val="0"/>
              <w:shd w:val="clear"/>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COD</w:t>
            </w:r>
            <w:r>
              <w:rPr>
                <w:rFonts w:hint="default" w:ascii="Times New Roman" w:hAnsi="Times New Roman" w:eastAsia="宋体" w:cs="Times New Roman"/>
                <w:i w:val="0"/>
                <w:iCs w:val="0"/>
                <w:color w:val="auto"/>
                <w:kern w:val="0"/>
                <w:sz w:val="18"/>
                <w:szCs w:val="18"/>
                <w:highlight w:val="none"/>
                <w:u w:val="none"/>
                <w:vertAlign w:val="subscript"/>
                <w:lang w:val="en-US" w:eastAsia="zh-CN" w:bidi="ar"/>
              </w:rPr>
              <w:t>Cr</w:t>
            </w:r>
          </w:p>
        </w:tc>
        <w:tc>
          <w:tcPr>
            <w:tcW w:w="341" w:type="pct"/>
            <w:tcBorders>
              <w:tl2br w:val="nil"/>
              <w:tr2bl w:val="nil"/>
            </w:tcBorders>
            <w:shd w:val="clear" w:color="auto" w:fill="auto"/>
            <w:noWrap/>
            <w:vAlign w:val="center"/>
          </w:tcPr>
          <w:p w14:paraId="1233FC5A">
            <w:pPr>
              <w:keepNext w:val="0"/>
              <w:keepLines w:val="0"/>
              <w:widowControl/>
              <w:suppressLineNumbers w:val="0"/>
              <w:shd w:val="clear"/>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类比</w:t>
            </w:r>
          </w:p>
        </w:tc>
        <w:tc>
          <w:tcPr>
            <w:tcW w:w="257" w:type="pct"/>
            <w:tcBorders>
              <w:tl2br w:val="nil"/>
              <w:tr2bl w:val="nil"/>
            </w:tcBorders>
            <w:shd w:val="clear" w:color="auto" w:fill="auto"/>
            <w:noWrap/>
            <w:vAlign w:val="center"/>
          </w:tcPr>
          <w:p w14:paraId="45B59749">
            <w:pPr>
              <w:keepNext w:val="0"/>
              <w:keepLines w:val="0"/>
              <w:widowControl/>
              <w:suppressLineNumbers w:val="0"/>
              <w:shd w:val="clear"/>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 xml:space="preserve">7.05 </w:t>
            </w:r>
          </w:p>
        </w:tc>
        <w:tc>
          <w:tcPr>
            <w:tcW w:w="262" w:type="pct"/>
            <w:tcBorders>
              <w:tl2br w:val="nil"/>
              <w:tr2bl w:val="nil"/>
            </w:tcBorders>
            <w:shd w:val="clear" w:color="auto" w:fill="auto"/>
            <w:noWrap/>
            <w:vAlign w:val="center"/>
          </w:tcPr>
          <w:p w14:paraId="1EC54DEC">
            <w:pPr>
              <w:keepNext w:val="0"/>
              <w:keepLines w:val="0"/>
              <w:widowControl/>
              <w:suppressLineNumbers w:val="0"/>
              <w:shd w:val="clear"/>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50</w:t>
            </w:r>
          </w:p>
        </w:tc>
        <w:tc>
          <w:tcPr>
            <w:tcW w:w="256" w:type="pct"/>
            <w:tcBorders>
              <w:tl2br w:val="nil"/>
              <w:tr2bl w:val="nil"/>
            </w:tcBorders>
            <w:shd w:val="clear" w:color="auto" w:fill="auto"/>
            <w:noWrap/>
            <w:vAlign w:val="center"/>
          </w:tcPr>
          <w:p w14:paraId="7C9FD1ED">
            <w:pPr>
              <w:keepNext w:val="0"/>
              <w:keepLines w:val="0"/>
              <w:widowControl/>
              <w:suppressLineNumbers w:val="0"/>
              <w:shd w:val="clear"/>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 xml:space="preserve">0.35 </w:t>
            </w:r>
          </w:p>
        </w:tc>
        <w:tc>
          <w:tcPr>
            <w:tcW w:w="274" w:type="pct"/>
            <w:tcBorders>
              <w:tl2br w:val="nil"/>
              <w:tr2bl w:val="nil"/>
            </w:tcBorders>
            <w:shd w:val="clear" w:color="auto" w:fill="auto"/>
            <w:noWrap/>
            <w:vAlign w:val="center"/>
          </w:tcPr>
          <w:p w14:paraId="7702D1BF">
            <w:pPr>
              <w:keepNext w:val="0"/>
              <w:keepLines w:val="0"/>
              <w:widowControl/>
              <w:suppressLineNumbers w:val="0"/>
              <w:shd w:val="clear"/>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w:t>
            </w:r>
          </w:p>
        </w:tc>
        <w:tc>
          <w:tcPr>
            <w:tcW w:w="348" w:type="pct"/>
            <w:tcBorders>
              <w:tl2br w:val="nil"/>
              <w:tr2bl w:val="nil"/>
            </w:tcBorders>
            <w:shd w:val="clear" w:color="auto" w:fill="auto"/>
            <w:vAlign w:val="center"/>
          </w:tcPr>
          <w:p w14:paraId="7A0738B1">
            <w:pPr>
              <w:keepNext w:val="0"/>
              <w:keepLines w:val="0"/>
              <w:widowControl/>
              <w:suppressLineNumbers w:val="0"/>
              <w:shd w:val="clear"/>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w:t>
            </w:r>
          </w:p>
        </w:tc>
        <w:tc>
          <w:tcPr>
            <w:tcW w:w="341" w:type="pct"/>
            <w:tcBorders>
              <w:tl2br w:val="nil"/>
              <w:tr2bl w:val="nil"/>
            </w:tcBorders>
            <w:shd w:val="clear" w:color="auto" w:fill="auto"/>
            <w:noWrap/>
            <w:vAlign w:val="center"/>
          </w:tcPr>
          <w:p w14:paraId="1EF30866">
            <w:pPr>
              <w:keepNext w:val="0"/>
              <w:keepLines w:val="0"/>
              <w:widowControl/>
              <w:suppressLineNumbers w:val="0"/>
              <w:shd w:val="clear"/>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类比法</w:t>
            </w:r>
          </w:p>
        </w:tc>
        <w:tc>
          <w:tcPr>
            <w:tcW w:w="257" w:type="pct"/>
            <w:tcBorders>
              <w:tl2br w:val="nil"/>
              <w:tr2bl w:val="nil"/>
            </w:tcBorders>
            <w:shd w:val="clear" w:color="auto" w:fill="auto"/>
            <w:noWrap/>
            <w:vAlign w:val="center"/>
          </w:tcPr>
          <w:p w14:paraId="648B5242">
            <w:pPr>
              <w:keepNext w:val="0"/>
              <w:keepLines w:val="0"/>
              <w:widowControl/>
              <w:suppressLineNumbers w:val="0"/>
              <w:shd w:val="clear"/>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 xml:space="preserve">7.05 </w:t>
            </w:r>
          </w:p>
        </w:tc>
        <w:tc>
          <w:tcPr>
            <w:tcW w:w="354" w:type="pct"/>
            <w:tcBorders>
              <w:tl2br w:val="nil"/>
              <w:tr2bl w:val="nil"/>
            </w:tcBorders>
            <w:shd w:val="clear" w:color="auto" w:fill="auto"/>
            <w:noWrap/>
            <w:vAlign w:val="center"/>
          </w:tcPr>
          <w:p w14:paraId="4D14043B">
            <w:pPr>
              <w:keepNext w:val="0"/>
              <w:keepLines w:val="0"/>
              <w:widowControl/>
              <w:suppressLineNumbers w:val="0"/>
              <w:shd w:val="clear"/>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40</w:t>
            </w:r>
          </w:p>
        </w:tc>
        <w:tc>
          <w:tcPr>
            <w:tcW w:w="246" w:type="pct"/>
            <w:tcBorders>
              <w:tl2br w:val="nil"/>
              <w:tr2bl w:val="nil"/>
            </w:tcBorders>
            <w:shd w:val="clear" w:color="auto" w:fill="auto"/>
            <w:vAlign w:val="center"/>
          </w:tcPr>
          <w:p w14:paraId="5F058B6A">
            <w:pPr>
              <w:keepNext w:val="0"/>
              <w:keepLines w:val="0"/>
              <w:widowControl/>
              <w:suppressLineNumbers w:val="0"/>
              <w:shd w:val="clear"/>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 xml:space="preserve">0.28 </w:t>
            </w:r>
          </w:p>
        </w:tc>
        <w:tc>
          <w:tcPr>
            <w:tcW w:w="344" w:type="pct"/>
            <w:tcBorders>
              <w:tl2br w:val="nil"/>
              <w:tr2bl w:val="nil"/>
            </w:tcBorders>
            <w:shd w:val="clear" w:color="auto" w:fill="auto"/>
            <w:vAlign w:val="center"/>
          </w:tcPr>
          <w:p w14:paraId="0C256785">
            <w:pPr>
              <w:keepNext w:val="0"/>
              <w:keepLines w:val="0"/>
              <w:widowControl/>
              <w:suppressLineNumbers w:val="0"/>
              <w:shd w:val="clear"/>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250</w:t>
            </w:r>
          </w:p>
        </w:tc>
      </w:tr>
      <w:tr w14:paraId="00CB9F8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12" w:hRule="atLeast"/>
          <w:jc w:val="center"/>
        </w:trPr>
        <w:tc>
          <w:tcPr>
            <w:tcW w:w="477" w:type="pct"/>
            <w:tcBorders>
              <w:tl2br w:val="nil"/>
              <w:tr2bl w:val="nil"/>
            </w:tcBorders>
            <w:shd w:val="clear" w:color="auto" w:fill="auto"/>
            <w:noWrap/>
            <w:vAlign w:val="center"/>
          </w:tcPr>
          <w:p w14:paraId="4A264E90">
            <w:pPr>
              <w:keepNext w:val="0"/>
              <w:keepLines w:val="0"/>
              <w:widowControl/>
              <w:suppressLineNumbers w:val="0"/>
              <w:shd w:val="clear"/>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冷水机</w:t>
            </w:r>
          </w:p>
        </w:tc>
        <w:tc>
          <w:tcPr>
            <w:tcW w:w="794" w:type="pct"/>
            <w:tcBorders>
              <w:tl2br w:val="nil"/>
              <w:tr2bl w:val="nil"/>
            </w:tcBorders>
            <w:shd w:val="clear" w:color="auto" w:fill="auto"/>
            <w:noWrap/>
            <w:vAlign w:val="center"/>
          </w:tcPr>
          <w:p w14:paraId="6EE88863">
            <w:pPr>
              <w:keepNext w:val="0"/>
              <w:keepLines w:val="0"/>
              <w:widowControl/>
              <w:suppressLineNumbers w:val="0"/>
              <w:shd w:val="clear"/>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循环冷却水外排W4</w:t>
            </w:r>
          </w:p>
        </w:tc>
        <w:tc>
          <w:tcPr>
            <w:tcW w:w="273" w:type="pct"/>
            <w:tcBorders>
              <w:tl2br w:val="nil"/>
              <w:tr2bl w:val="nil"/>
            </w:tcBorders>
            <w:shd w:val="clear" w:color="auto" w:fill="auto"/>
            <w:noWrap/>
            <w:vAlign w:val="center"/>
          </w:tcPr>
          <w:p w14:paraId="30190E8F">
            <w:pPr>
              <w:keepNext w:val="0"/>
              <w:keepLines w:val="0"/>
              <w:widowControl/>
              <w:suppressLineNumbers w:val="0"/>
              <w:shd w:val="clear"/>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COD</w:t>
            </w:r>
            <w:r>
              <w:rPr>
                <w:rFonts w:hint="default" w:ascii="Times New Roman" w:hAnsi="Times New Roman" w:eastAsia="宋体" w:cs="Times New Roman"/>
                <w:i w:val="0"/>
                <w:iCs w:val="0"/>
                <w:color w:val="auto"/>
                <w:kern w:val="0"/>
                <w:sz w:val="18"/>
                <w:szCs w:val="18"/>
                <w:highlight w:val="none"/>
                <w:u w:val="none"/>
                <w:vertAlign w:val="subscript"/>
                <w:lang w:val="en-US" w:eastAsia="zh-CN" w:bidi="ar"/>
              </w:rPr>
              <w:t>Cr</w:t>
            </w:r>
          </w:p>
        </w:tc>
        <w:tc>
          <w:tcPr>
            <w:tcW w:w="341" w:type="pct"/>
            <w:tcBorders>
              <w:tl2br w:val="nil"/>
              <w:tr2bl w:val="nil"/>
            </w:tcBorders>
            <w:shd w:val="clear" w:color="auto" w:fill="auto"/>
            <w:noWrap/>
            <w:vAlign w:val="center"/>
          </w:tcPr>
          <w:p w14:paraId="22FC6E75">
            <w:pPr>
              <w:keepNext w:val="0"/>
              <w:keepLines w:val="0"/>
              <w:widowControl/>
              <w:suppressLineNumbers w:val="0"/>
              <w:shd w:val="clear"/>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类比</w:t>
            </w:r>
          </w:p>
        </w:tc>
        <w:tc>
          <w:tcPr>
            <w:tcW w:w="257" w:type="pct"/>
            <w:tcBorders>
              <w:tl2br w:val="nil"/>
              <w:tr2bl w:val="nil"/>
            </w:tcBorders>
            <w:shd w:val="clear" w:color="auto" w:fill="auto"/>
            <w:noWrap/>
            <w:vAlign w:val="center"/>
          </w:tcPr>
          <w:p w14:paraId="78DF4084">
            <w:pPr>
              <w:keepNext w:val="0"/>
              <w:keepLines w:val="0"/>
              <w:widowControl/>
              <w:suppressLineNumbers w:val="0"/>
              <w:shd w:val="clear"/>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 xml:space="preserve">27.38 </w:t>
            </w:r>
          </w:p>
        </w:tc>
        <w:tc>
          <w:tcPr>
            <w:tcW w:w="262" w:type="pct"/>
            <w:tcBorders>
              <w:tl2br w:val="nil"/>
              <w:tr2bl w:val="nil"/>
            </w:tcBorders>
            <w:shd w:val="clear" w:color="auto" w:fill="auto"/>
            <w:noWrap/>
            <w:vAlign w:val="center"/>
          </w:tcPr>
          <w:p w14:paraId="3561D2CD">
            <w:pPr>
              <w:keepNext w:val="0"/>
              <w:keepLines w:val="0"/>
              <w:widowControl/>
              <w:suppressLineNumbers w:val="0"/>
              <w:shd w:val="clear"/>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50</w:t>
            </w:r>
          </w:p>
        </w:tc>
        <w:tc>
          <w:tcPr>
            <w:tcW w:w="256" w:type="pct"/>
            <w:tcBorders>
              <w:tl2br w:val="nil"/>
              <w:tr2bl w:val="nil"/>
            </w:tcBorders>
            <w:shd w:val="clear" w:color="auto" w:fill="auto"/>
            <w:noWrap/>
            <w:vAlign w:val="center"/>
          </w:tcPr>
          <w:p w14:paraId="29CC5249">
            <w:pPr>
              <w:keepNext w:val="0"/>
              <w:keepLines w:val="0"/>
              <w:widowControl/>
              <w:suppressLineNumbers w:val="0"/>
              <w:shd w:val="clear"/>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 xml:space="preserve">1.37 </w:t>
            </w:r>
          </w:p>
        </w:tc>
        <w:tc>
          <w:tcPr>
            <w:tcW w:w="274" w:type="pct"/>
            <w:tcBorders>
              <w:tl2br w:val="nil"/>
              <w:tr2bl w:val="nil"/>
            </w:tcBorders>
            <w:shd w:val="clear" w:color="auto" w:fill="auto"/>
            <w:noWrap/>
            <w:vAlign w:val="center"/>
          </w:tcPr>
          <w:p w14:paraId="0D117C21">
            <w:pPr>
              <w:keepNext w:val="0"/>
              <w:keepLines w:val="0"/>
              <w:widowControl/>
              <w:suppressLineNumbers w:val="0"/>
              <w:shd w:val="clear"/>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w:t>
            </w:r>
          </w:p>
        </w:tc>
        <w:tc>
          <w:tcPr>
            <w:tcW w:w="348" w:type="pct"/>
            <w:tcBorders>
              <w:tl2br w:val="nil"/>
              <w:tr2bl w:val="nil"/>
            </w:tcBorders>
            <w:shd w:val="clear" w:color="auto" w:fill="auto"/>
            <w:vAlign w:val="center"/>
          </w:tcPr>
          <w:p w14:paraId="2B96EC5C">
            <w:pPr>
              <w:keepNext w:val="0"/>
              <w:keepLines w:val="0"/>
              <w:widowControl/>
              <w:suppressLineNumbers w:val="0"/>
              <w:shd w:val="clear"/>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w:t>
            </w:r>
          </w:p>
        </w:tc>
        <w:tc>
          <w:tcPr>
            <w:tcW w:w="341" w:type="pct"/>
            <w:tcBorders>
              <w:tl2br w:val="nil"/>
              <w:tr2bl w:val="nil"/>
            </w:tcBorders>
            <w:shd w:val="clear" w:color="auto" w:fill="auto"/>
            <w:noWrap/>
            <w:vAlign w:val="center"/>
          </w:tcPr>
          <w:p w14:paraId="349D1877">
            <w:pPr>
              <w:keepNext w:val="0"/>
              <w:keepLines w:val="0"/>
              <w:widowControl/>
              <w:suppressLineNumbers w:val="0"/>
              <w:shd w:val="clear"/>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类比法</w:t>
            </w:r>
          </w:p>
        </w:tc>
        <w:tc>
          <w:tcPr>
            <w:tcW w:w="257" w:type="pct"/>
            <w:tcBorders>
              <w:tl2br w:val="nil"/>
              <w:tr2bl w:val="nil"/>
            </w:tcBorders>
            <w:shd w:val="clear" w:color="auto" w:fill="auto"/>
            <w:noWrap/>
            <w:vAlign w:val="center"/>
          </w:tcPr>
          <w:p w14:paraId="6F1B7A2D">
            <w:pPr>
              <w:keepNext w:val="0"/>
              <w:keepLines w:val="0"/>
              <w:widowControl/>
              <w:suppressLineNumbers w:val="0"/>
              <w:shd w:val="clear"/>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 xml:space="preserve">27.38 </w:t>
            </w:r>
          </w:p>
        </w:tc>
        <w:tc>
          <w:tcPr>
            <w:tcW w:w="354" w:type="pct"/>
            <w:tcBorders>
              <w:tl2br w:val="nil"/>
              <w:tr2bl w:val="nil"/>
            </w:tcBorders>
            <w:shd w:val="clear" w:color="auto" w:fill="auto"/>
            <w:noWrap/>
            <w:vAlign w:val="center"/>
          </w:tcPr>
          <w:p w14:paraId="366EBB89">
            <w:pPr>
              <w:keepNext w:val="0"/>
              <w:keepLines w:val="0"/>
              <w:widowControl/>
              <w:suppressLineNumbers w:val="0"/>
              <w:shd w:val="clear"/>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40</w:t>
            </w:r>
          </w:p>
        </w:tc>
        <w:tc>
          <w:tcPr>
            <w:tcW w:w="246" w:type="pct"/>
            <w:tcBorders>
              <w:tl2br w:val="nil"/>
              <w:tr2bl w:val="nil"/>
            </w:tcBorders>
            <w:shd w:val="clear" w:color="auto" w:fill="auto"/>
            <w:vAlign w:val="center"/>
          </w:tcPr>
          <w:p w14:paraId="122DAD9A">
            <w:pPr>
              <w:keepNext w:val="0"/>
              <w:keepLines w:val="0"/>
              <w:widowControl/>
              <w:suppressLineNumbers w:val="0"/>
              <w:shd w:val="clear"/>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 xml:space="preserve">1.10 </w:t>
            </w:r>
          </w:p>
        </w:tc>
        <w:tc>
          <w:tcPr>
            <w:tcW w:w="344" w:type="pct"/>
            <w:tcBorders>
              <w:tl2br w:val="nil"/>
              <w:tr2bl w:val="nil"/>
            </w:tcBorders>
            <w:shd w:val="clear" w:color="auto" w:fill="auto"/>
            <w:vAlign w:val="center"/>
          </w:tcPr>
          <w:p w14:paraId="7990724F">
            <w:pPr>
              <w:keepNext w:val="0"/>
              <w:keepLines w:val="0"/>
              <w:widowControl/>
              <w:suppressLineNumbers w:val="0"/>
              <w:shd w:val="clear"/>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250</w:t>
            </w:r>
          </w:p>
        </w:tc>
      </w:tr>
      <w:tr w14:paraId="0E6E188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12" w:hRule="atLeast"/>
          <w:jc w:val="center"/>
        </w:trPr>
        <w:tc>
          <w:tcPr>
            <w:tcW w:w="477" w:type="pct"/>
            <w:vMerge w:val="restart"/>
            <w:tcBorders>
              <w:tl2br w:val="nil"/>
              <w:tr2bl w:val="nil"/>
            </w:tcBorders>
            <w:shd w:val="clear" w:color="auto" w:fill="auto"/>
            <w:noWrap/>
            <w:vAlign w:val="center"/>
          </w:tcPr>
          <w:p w14:paraId="34F13CD1">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喷淋塔</w:t>
            </w:r>
          </w:p>
        </w:tc>
        <w:tc>
          <w:tcPr>
            <w:tcW w:w="794" w:type="pct"/>
            <w:vMerge w:val="restart"/>
            <w:tcBorders>
              <w:tl2br w:val="nil"/>
              <w:tr2bl w:val="nil"/>
            </w:tcBorders>
            <w:shd w:val="clear" w:color="auto" w:fill="auto"/>
            <w:noWrap/>
            <w:vAlign w:val="center"/>
          </w:tcPr>
          <w:p w14:paraId="438F0989">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喷淋塔废水W</w:t>
            </w:r>
            <w:r>
              <w:rPr>
                <w:rFonts w:hint="default" w:cs="Times New Roman"/>
                <w:i w:val="0"/>
                <w:iCs w:val="0"/>
                <w:color w:val="auto"/>
                <w:kern w:val="0"/>
                <w:sz w:val="18"/>
                <w:szCs w:val="18"/>
                <w:highlight w:val="none"/>
                <w:u w:val="none"/>
                <w:lang w:val="en-US" w:eastAsia="zh-CN" w:bidi="ar"/>
              </w:rPr>
              <w:t>5</w:t>
            </w:r>
          </w:p>
        </w:tc>
        <w:tc>
          <w:tcPr>
            <w:tcW w:w="273" w:type="pct"/>
            <w:tcBorders>
              <w:tl2br w:val="nil"/>
              <w:tr2bl w:val="nil"/>
            </w:tcBorders>
            <w:shd w:val="clear" w:color="auto" w:fill="auto"/>
            <w:noWrap/>
            <w:vAlign w:val="center"/>
          </w:tcPr>
          <w:p w14:paraId="0C64DBB2">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COD</w:t>
            </w:r>
            <w:r>
              <w:rPr>
                <w:rFonts w:hint="default" w:ascii="Times New Roman" w:hAnsi="Times New Roman" w:eastAsia="宋体" w:cs="Times New Roman"/>
                <w:i w:val="0"/>
                <w:iCs w:val="0"/>
                <w:color w:val="auto"/>
                <w:kern w:val="0"/>
                <w:sz w:val="18"/>
                <w:szCs w:val="18"/>
                <w:highlight w:val="none"/>
                <w:u w:val="none"/>
                <w:vertAlign w:val="subscript"/>
                <w:lang w:val="en-US" w:eastAsia="zh-CN" w:bidi="ar"/>
              </w:rPr>
              <w:t>Cr</w:t>
            </w:r>
          </w:p>
        </w:tc>
        <w:tc>
          <w:tcPr>
            <w:tcW w:w="341" w:type="pct"/>
            <w:tcBorders>
              <w:tl2br w:val="nil"/>
              <w:tr2bl w:val="nil"/>
            </w:tcBorders>
            <w:shd w:val="clear" w:color="auto" w:fill="auto"/>
            <w:noWrap/>
            <w:vAlign w:val="center"/>
          </w:tcPr>
          <w:p w14:paraId="3C9EC94F">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类比</w:t>
            </w:r>
          </w:p>
        </w:tc>
        <w:tc>
          <w:tcPr>
            <w:tcW w:w="257" w:type="pct"/>
            <w:vMerge w:val="restart"/>
            <w:tcBorders>
              <w:tl2br w:val="nil"/>
              <w:tr2bl w:val="nil"/>
            </w:tcBorders>
            <w:shd w:val="clear" w:color="auto" w:fill="auto"/>
            <w:noWrap/>
            <w:vAlign w:val="center"/>
          </w:tcPr>
          <w:p w14:paraId="5988065A">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 xml:space="preserve">24.00 </w:t>
            </w:r>
          </w:p>
        </w:tc>
        <w:tc>
          <w:tcPr>
            <w:tcW w:w="262" w:type="pct"/>
            <w:tcBorders>
              <w:tl2br w:val="nil"/>
              <w:tr2bl w:val="nil"/>
            </w:tcBorders>
            <w:shd w:val="clear" w:color="auto" w:fill="auto"/>
            <w:noWrap/>
            <w:vAlign w:val="center"/>
          </w:tcPr>
          <w:p w14:paraId="08520F2C">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100</w:t>
            </w:r>
          </w:p>
        </w:tc>
        <w:tc>
          <w:tcPr>
            <w:tcW w:w="256" w:type="pct"/>
            <w:tcBorders>
              <w:tl2br w:val="nil"/>
              <w:tr2bl w:val="nil"/>
            </w:tcBorders>
            <w:shd w:val="clear" w:color="auto" w:fill="auto"/>
            <w:noWrap/>
            <w:vAlign w:val="center"/>
          </w:tcPr>
          <w:p w14:paraId="0D92F870">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 xml:space="preserve">2.40 </w:t>
            </w:r>
          </w:p>
        </w:tc>
        <w:tc>
          <w:tcPr>
            <w:tcW w:w="274" w:type="pct"/>
            <w:vMerge w:val="restart"/>
            <w:tcBorders>
              <w:tl2br w:val="nil"/>
              <w:tr2bl w:val="nil"/>
            </w:tcBorders>
            <w:shd w:val="clear" w:color="auto" w:fill="auto"/>
            <w:noWrap/>
            <w:vAlign w:val="center"/>
          </w:tcPr>
          <w:p w14:paraId="61FBE7DD">
            <w:pPr>
              <w:keepNext w:val="0"/>
              <w:keepLines w:val="0"/>
              <w:widowControl/>
              <w:suppressLineNumbers w:val="0"/>
              <w:shd w:val="clear"/>
              <w:jc w:val="center"/>
              <w:textAlignment w:val="center"/>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w:t>
            </w:r>
          </w:p>
          <w:p w14:paraId="27CD321F">
            <w:pPr>
              <w:keepNext w:val="0"/>
              <w:keepLines w:val="0"/>
              <w:widowControl/>
              <w:suppressLineNumbers w:val="0"/>
              <w:shd w:val="clear"/>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w:t>
            </w:r>
          </w:p>
        </w:tc>
        <w:tc>
          <w:tcPr>
            <w:tcW w:w="348" w:type="pct"/>
            <w:tcBorders>
              <w:tl2br w:val="nil"/>
              <w:tr2bl w:val="nil"/>
            </w:tcBorders>
            <w:shd w:val="clear" w:color="auto" w:fill="auto"/>
            <w:vAlign w:val="center"/>
          </w:tcPr>
          <w:p w14:paraId="521A09C0">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w:t>
            </w:r>
          </w:p>
        </w:tc>
        <w:tc>
          <w:tcPr>
            <w:tcW w:w="341" w:type="pct"/>
            <w:tcBorders>
              <w:tl2br w:val="nil"/>
              <w:tr2bl w:val="nil"/>
            </w:tcBorders>
            <w:shd w:val="clear" w:color="auto" w:fill="auto"/>
            <w:noWrap/>
            <w:vAlign w:val="center"/>
          </w:tcPr>
          <w:p w14:paraId="0E9D0D01">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类比</w:t>
            </w:r>
          </w:p>
        </w:tc>
        <w:tc>
          <w:tcPr>
            <w:tcW w:w="257" w:type="pct"/>
            <w:vMerge w:val="restart"/>
            <w:tcBorders>
              <w:tl2br w:val="nil"/>
              <w:tr2bl w:val="nil"/>
            </w:tcBorders>
            <w:shd w:val="clear" w:color="auto" w:fill="auto"/>
            <w:noWrap/>
            <w:vAlign w:val="center"/>
          </w:tcPr>
          <w:p w14:paraId="518EC7BD">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24</w:t>
            </w:r>
          </w:p>
        </w:tc>
        <w:tc>
          <w:tcPr>
            <w:tcW w:w="354" w:type="pct"/>
            <w:tcBorders>
              <w:tl2br w:val="nil"/>
              <w:tr2bl w:val="nil"/>
            </w:tcBorders>
            <w:shd w:val="clear" w:color="auto" w:fill="auto"/>
            <w:noWrap/>
            <w:vAlign w:val="center"/>
          </w:tcPr>
          <w:p w14:paraId="3BB0C7B4">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40</w:t>
            </w:r>
          </w:p>
        </w:tc>
        <w:tc>
          <w:tcPr>
            <w:tcW w:w="246" w:type="pct"/>
            <w:tcBorders>
              <w:tl2br w:val="nil"/>
              <w:tr2bl w:val="nil"/>
            </w:tcBorders>
            <w:shd w:val="clear" w:color="auto" w:fill="auto"/>
            <w:vAlign w:val="center"/>
          </w:tcPr>
          <w:p w14:paraId="3DF89D2D">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 xml:space="preserve">0.96 </w:t>
            </w:r>
          </w:p>
        </w:tc>
        <w:tc>
          <w:tcPr>
            <w:tcW w:w="344" w:type="pct"/>
            <w:tcBorders>
              <w:tl2br w:val="nil"/>
              <w:tr2bl w:val="nil"/>
            </w:tcBorders>
            <w:shd w:val="clear" w:color="auto" w:fill="auto"/>
            <w:vAlign w:val="center"/>
          </w:tcPr>
          <w:p w14:paraId="678EAA32">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250</w:t>
            </w:r>
          </w:p>
        </w:tc>
      </w:tr>
      <w:tr w14:paraId="5DA6978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12" w:hRule="atLeast"/>
          <w:jc w:val="center"/>
        </w:trPr>
        <w:tc>
          <w:tcPr>
            <w:tcW w:w="477" w:type="pct"/>
            <w:vMerge w:val="continue"/>
            <w:tcBorders>
              <w:tl2br w:val="nil"/>
              <w:tr2bl w:val="nil"/>
            </w:tcBorders>
            <w:shd w:val="clear" w:color="auto" w:fill="auto"/>
            <w:noWrap/>
            <w:vAlign w:val="center"/>
          </w:tcPr>
          <w:p w14:paraId="01E2204C">
            <w:pPr>
              <w:shd w:val="clear"/>
              <w:jc w:val="center"/>
              <w:rPr>
                <w:rFonts w:hint="default" w:ascii="Times New Roman" w:hAnsi="Times New Roman" w:eastAsia="宋体" w:cs="Times New Roman"/>
                <w:i w:val="0"/>
                <w:iCs w:val="0"/>
                <w:color w:val="auto"/>
                <w:sz w:val="18"/>
                <w:szCs w:val="18"/>
                <w:highlight w:val="none"/>
                <w:u w:val="none"/>
              </w:rPr>
            </w:pPr>
          </w:p>
        </w:tc>
        <w:tc>
          <w:tcPr>
            <w:tcW w:w="794" w:type="pct"/>
            <w:vMerge w:val="continue"/>
            <w:tcBorders>
              <w:tl2br w:val="nil"/>
              <w:tr2bl w:val="nil"/>
            </w:tcBorders>
            <w:shd w:val="clear" w:color="auto" w:fill="auto"/>
            <w:noWrap/>
            <w:vAlign w:val="center"/>
          </w:tcPr>
          <w:p w14:paraId="7EF8B4CC">
            <w:pPr>
              <w:shd w:val="clear"/>
              <w:jc w:val="center"/>
              <w:rPr>
                <w:rFonts w:hint="default" w:ascii="Times New Roman" w:hAnsi="Times New Roman" w:eastAsia="宋体" w:cs="Times New Roman"/>
                <w:i w:val="0"/>
                <w:iCs w:val="0"/>
                <w:color w:val="auto"/>
                <w:sz w:val="18"/>
                <w:szCs w:val="18"/>
                <w:highlight w:val="none"/>
                <w:u w:val="none"/>
              </w:rPr>
            </w:pPr>
          </w:p>
        </w:tc>
        <w:tc>
          <w:tcPr>
            <w:tcW w:w="273" w:type="pct"/>
            <w:tcBorders>
              <w:tl2br w:val="nil"/>
              <w:tr2bl w:val="nil"/>
            </w:tcBorders>
            <w:shd w:val="clear" w:color="auto" w:fill="auto"/>
            <w:noWrap/>
            <w:vAlign w:val="center"/>
          </w:tcPr>
          <w:p w14:paraId="7F221BDC">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SS</w:t>
            </w:r>
          </w:p>
        </w:tc>
        <w:tc>
          <w:tcPr>
            <w:tcW w:w="341" w:type="pct"/>
            <w:tcBorders>
              <w:tl2br w:val="nil"/>
              <w:tr2bl w:val="nil"/>
            </w:tcBorders>
            <w:shd w:val="clear" w:color="auto" w:fill="auto"/>
            <w:noWrap/>
            <w:vAlign w:val="center"/>
          </w:tcPr>
          <w:p w14:paraId="132E3A4E">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类比</w:t>
            </w:r>
          </w:p>
        </w:tc>
        <w:tc>
          <w:tcPr>
            <w:tcW w:w="257" w:type="pct"/>
            <w:vMerge w:val="continue"/>
            <w:tcBorders>
              <w:tl2br w:val="nil"/>
              <w:tr2bl w:val="nil"/>
            </w:tcBorders>
            <w:shd w:val="clear" w:color="auto" w:fill="auto"/>
            <w:noWrap/>
            <w:vAlign w:val="center"/>
          </w:tcPr>
          <w:p w14:paraId="2402CA19">
            <w:pPr>
              <w:shd w:val="clear"/>
              <w:jc w:val="center"/>
              <w:rPr>
                <w:rFonts w:hint="default" w:ascii="Times New Roman" w:hAnsi="Times New Roman" w:eastAsia="宋体" w:cs="Times New Roman"/>
                <w:i w:val="0"/>
                <w:iCs w:val="0"/>
                <w:color w:val="auto"/>
                <w:sz w:val="18"/>
                <w:szCs w:val="18"/>
                <w:highlight w:val="none"/>
                <w:u w:val="none"/>
              </w:rPr>
            </w:pPr>
          </w:p>
        </w:tc>
        <w:tc>
          <w:tcPr>
            <w:tcW w:w="262" w:type="pct"/>
            <w:tcBorders>
              <w:tl2br w:val="nil"/>
              <w:tr2bl w:val="nil"/>
            </w:tcBorders>
            <w:shd w:val="clear" w:color="auto" w:fill="auto"/>
            <w:noWrap/>
            <w:vAlign w:val="center"/>
          </w:tcPr>
          <w:p w14:paraId="6A79BD04">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50</w:t>
            </w:r>
          </w:p>
        </w:tc>
        <w:tc>
          <w:tcPr>
            <w:tcW w:w="256" w:type="pct"/>
            <w:tcBorders>
              <w:tl2br w:val="nil"/>
              <w:tr2bl w:val="nil"/>
            </w:tcBorders>
            <w:shd w:val="clear" w:color="auto" w:fill="auto"/>
            <w:noWrap/>
            <w:vAlign w:val="center"/>
          </w:tcPr>
          <w:p w14:paraId="4176B251">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 xml:space="preserve">1.20 </w:t>
            </w:r>
          </w:p>
        </w:tc>
        <w:tc>
          <w:tcPr>
            <w:tcW w:w="274" w:type="pct"/>
            <w:vMerge w:val="continue"/>
            <w:tcBorders>
              <w:tl2br w:val="nil"/>
              <w:tr2bl w:val="nil"/>
            </w:tcBorders>
            <w:shd w:val="clear" w:color="auto" w:fill="auto"/>
            <w:noWrap/>
            <w:vAlign w:val="center"/>
          </w:tcPr>
          <w:p w14:paraId="01FD80FD">
            <w:pPr>
              <w:jc w:val="center"/>
              <w:textAlignment w:val="center"/>
              <w:rPr>
                <w:rFonts w:hint="default" w:ascii="Times New Roman" w:hAnsi="Times New Roman" w:eastAsia="宋体" w:cs="Times New Roman"/>
                <w:i w:val="0"/>
                <w:iCs w:val="0"/>
                <w:color w:val="auto"/>
                <w:sz w:val="18"/>
                <w:szCs w:val="18"/>
                <w:highlight w:val="none"/>
                <w:u w:val="none"/>
              </w:rPr>
            </w:pPr>
          </w:p>
        </w:tc>
        <w:tc>
          <w:tcPr>
            <w:tcW w:w="348" w:type="pct"/>
            <w:tcBorders>
              <w:tl2br w:val="nil"/>
              <w:tr2bl w:val="nil"/>
            </w:tcBorders>
            <w:shd w:val="clear" w:color="auto" w:fill="auto"/>
            <w:vAlign w:val="center"/>
          </w:tcPr>
          <w:p w14:paraId="344B4991">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w:t>
            </w:r>
          </w:p>
        </w:tc>
        <w:tc>
          <w:tcPr>
            <w:tcW w:w="341" w:type="pct"/>
            <w:tcBorders>
              <w:tl2br w:val="nil"/>
              <w:tr2bl w:val="nil"/>
            </w:tcBorders>
            <w:shd w:val="clear" w:color="auto" w:fill="auto"/>
            <w:noWrap/>
            <w:vAlign w:val="center"/>
          </w:tcPr>
          <w:p w14:paraId="5D6B1DC5">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类比</w:t>
            </w:r>
          </w:p>
        </w:tc>
        <w:tc>
          <w:tcPr>
            <w:tcW w:w="257" w:type="pct"/>
            <w:vMerge w:val="continue"/>
            <w:tcBorders>
              <w:tl2br w:val="nil"/>
              <w:tr2bl w:val="nil"/>
            </w:tcBorders>
            <w:shd w:val="clear" w:color="auto" w:fill="auto"/>
            <w:noWrap/>
            <w:vAlign w:val="center"/>
          </w:tcPr>
          <w:p w14:paraId="059599BF">
            <w:pPr>
              <w:shd w:val="clear"/>
              <w:jc w:val="center"/>
              <w:rPr>
                <w:rFonts w:hint="default" w:ascii="Times New Roman" w:hAnsi="Times New Roman" w:eastAsia="宋体" w:cs="Times New Roman"/>
                <w:i w:val="0"/>
                <w:iCs w:val="0"/>
                <w:color w:val="auto"/>
                <w:sz w:val="18"/>
                <w:szCs w:val="18"/>
                <w:highlight w:val="none"/>
                <w:u w:val="none"/>
              </w:rPr>
            </w:pPr>
          </w:p>
        </w:tc>
        <w:tc>
          <w:tcPr>
            <w:tcW w:w="354" w:type="pct"/>
            <w:tcBorders>
              <w:tl2br w:val="nil"/>
              <w:tr2bl w:val="nil"/>
            </w:tcBorders>
            <w:shd w:val="clear" w:color="auto" w:fill="auto"/>
            <w:vAlign w:val="center"/>
          </w:tcPr>
          <w:p w14:paraId="68B8EC36">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10</w:t>
            </w:r>
          </w:p>
        </w:tc>
        <w:tc>
          <w:tcPr>
            <w:tcW w:w="246" w:type="pct"/>
            <w:tcBorders>
              <w:tl2br w:val="nil"/>
              <w:tr2bl w:val="nil"/>
            </w:tcBorders>
            <w:shd w:val="clear" w:color="auto" w:fill="auto"/>
            <w:vAlign w:val="center"/>
          </w:tcPr>
          <w:p w14:paraId="708BD40F">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 xml:space="preserve">0.24 </w:t>
            </w:r>
          </w:p>
        </w:tc>
        <w:tc>
          <w:tcPr>
            <w:tcW w:w="344" w:type="pct"/>
            <w:tcBorders>
              <w:tl2br w:val="nil"/>
              <w:tr2bl w:val="nil"/>
            </w:tcBorders>
            <w:shd w:val="clear" w:color="auto" w:fill="auto"/>
            <w:vAlign w:val="center"/>
          </w:tcPr>
          <w:p w14:paraId="4E8690F5">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250</w:t>
            </w:r>
          </w:p>
        </w:tc>
      </w:tr>
      <w:tr w14:paraId="48D7056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477" w:type="pct"/>
            <w:vMerge w:val="restart"/>
            <w:tcBorders>
              <w:tl2br w:val="nil"/>
              <w:tr2bl w:val="nil"/>
            </w:tcBorders>
            <w:shd w:val="clear" w:color="auto" w:fill="auto"/>
            <w:noWrap/>
            <w:vAlign w:val="center"/>
          </w:tcPr>
          <w:p w14:paraId="18A90C51">
            <w:pPr>
              <w:keepNext w:val="0"/>
              <w:keepLines w:val="0"/>
              <w:widowControl/>
              <w:suppressLineNumbers w:val="0"/>
              <w:shd w:val="clear"/>
              <w:jc w:val="center"/>
              <w:textAlignment w:val="center"/>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员工生活</w:t>
            </w:r>
          </w:p>
        </w:tc>
        <w:tc>
          <w:tcPr>
            <w:tcW w:w="794" w:type="pct"/>
            <w:vMerge w:val="restart"/>
            <w:tcBorders>
              <w:tl2br w:val="nil"/>
              <w:tr2bl w:val="nil"/>
            </w:tcBorders>
            <w:shd w:val="clear" w:color="auto" w:fill="auto"/>
            <w:noWrap/>
            <w:vAlign w:val="center"/>
          </w:tcPr>
          <w:p w14:paraId="4680D78B">
            <w:pPr>
              <w:keepNext w:val="0"/>
              <w:keepLines w:val="0"/>
              <w:widowControl/>
              <w:suppressLineNumbers w:val="0"/>
              <w:shd w:val="clear"/>
              <w:jc w:val="center"/>
              <w:textAlignment w:val="center"/>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生活污水W</w:t>
            </w:r>
            <w:r>
              <w:rPr>
                <w:rFonts w:hint="default" w:cs="Times New Roman"/>
                <w:i w:val="0"/>
                <w:iCs w:val="0"/>
                <w:color w:val="auto"/>
                <w:kern w:val="0"/>
                <w:sz w:val="18"/>
                <w:szCs w:val="18"/>
                <w:highlight w:val="none"/>
                <w:u w:val="none"/>
                <w:lang w:val="en-US" w:eastAsia="zh-CN" w:bidi="ar"/>
              </w:rPr>
              <w:t>6</w:t>
            </w:r>
          </w:p>
        </w:tc>
        <w:tc>
          <w:tcPr>
            <w:tcW w:w="273" w:type="pct"/>
            <w:tcBorders>
              <w:tl2br w:val="nil"/>
              <w:tr2bl w:val="nil"/>
            </w:tcBorders>
            <w:shd w:val="clear" w:color="auto" w:fill="auto"/>
            <w:noWrap/>
            <w:vAlign w:val="center"/>
          </w:tcPr>
          <w:p w14:paraId="4EBC1023">
            <w:pPr>
              <w:keepNext w:val="0"/>
              <w:keepLines w:val="0"/>
              <w:widowControl/>
              <w:suppressLineNumbers w:val="0"/>
              <w:shd w:val="clear"/>
              <w:jc w:val="center"/>
              <w:textAlignment w:val="center"/>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COD</w:t>
            </w:r>
            <w:r>
              <w:rPr>
                <w:rFonts w:hint="default" w:ascii="Times New Roman" w:hAnsi="Times New Roman" w:eastAsia="宋体" w:cs="Times New Roman"/>
                <w:i w:val="0"/>
                <w:iCs w:val="0"/>
                <w:color w:val="auto"/>
                <w:kern w:val="0"/>
                <w:sz w:val="18"/>
                <w:szCs w:val="18"/>
                <w:highlight w:val="none"/>
                <w:u w:val="none"/>
                <w:vertAlign w:val="subscript"/>
                <w:lang w:val="en-US" w:eastAsia="zh-CN" w:bidi="ar"/>
              </w:rPr>
              <w:t>Cr</w:t>
            </w:r>
          </w:p>
        </w:tc>
        <w:tc>
          <w:tcPr>
            <w:tcW w:w="341" w:type="pct"/>
            <w:tcBorders>
              <w:tl2br w:val="nil"/>
              <w:tr2bl w:val="nil"/>
            </w:tcBorders>
            <w:shd w:val="clear" w:color="auto" w:fill="auto"/>
            <w:noWrap/>
            <w:vAlign w:val="center"/>
          </w:tcPr>
          <w:p w14:paraId="35E45433">
            <w:pPr>
              <w:keepNext w:val="0"/>
              <w:keepLines w:val="0"/>
              <w:widowControl/>
              <w:suppressLineNumbers w:val="0"/>
              <w:shd w:val="clear"/>
              <w:jc w:val="center"/>
              <w:textAlignment w:val="center"/>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产污系数</w:t>
            </w:r>
          </w:p>
        </w:tc>
        <w:tc>
          <w:tcPr>
            <w:tcW w:w="257" w:type="pct"/>
            <w:vMerge w:val="restart"/>
            <w:tcBorders>
              <w:tl2br w:val="nil"/>
              <w:tr2bl w:val="nil"/>
            </w:tcBorders>
            <w:shd w:val="clear" w:color="auto" w:fill="auto"/>
            <w:noWrap/>
            <w:vAlign w:val="center"/>
          </w:tcPr>
          <w:p w14:paraId="0CA4A848">
            <w:pPr>
              <w:keepNext w:val="0"/>
              <w:keepLines w:val="0"/>
              <w:widowControl/>
              <w:suppressLineNumbers w:val="0"/>
              <w:shd w:val="clear"/>
              <w:jc w:val="center"/>
              <w:textAlignment w:val="center"/>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 xml:space="preserve">137.02 </w:t>
            </w:r>
          </w:p>
        </w:tc>
        <w:tc>
          <w:tcPr>
            <w:tcW w:w="262" w:type="pct"/>
            <w:tcBorders>
              <w:tl2br w:val="nil"/>
              <w:tr2bl w:val="nil"/>
            </w:tcBorders>
            <w:shd w:val="clear" w:color="auto" w:fill="auto"/>
            <w:noWrap/>
            <w:vAlign w:val="center"/>
          </w:tcPr>
          <w:p w14:paraId="5AC723B7">
            <w:pPr>
              <w:keepNext w:val="0"/>
              <w:keepLines w:val="0"/>
              <w:widowControl/>
              <w:suppressLineNumbers w:val="0"/>
              <w:shd w:val="clear"/>
              <w:jc w:val="center"/>
              <w:textAlignment w:val="center"/>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340</w:t>
            </w:r>
          </w:p>
        </w:tc>
        <w:tc>
          <w:tcPr>
            <w:tcW w:w="256" w:type="pct"/>
            <w:tcBorders>
              <w:tl2br w:val="nil"/>
              <w:tr2bl w:val="nil"/>
            </w:tcBorders>
            <w:shd w:val="clear" w:color="auto" w:fill="auto"/>
            <w:noWrap/>
            <w:vAlign w:val="center"/>
          </w:tcPr>
          <w:p w14:paraId="00C5A157">
            <w:pPr>
              <w:keepNext w:val="0"/>
              <w:keepLines w:val="0"/>
              <w:widowControl/>
              <w:suppressLineNumbers w:val="0"/>
              <w:shd w:val="clear"/>
              <w:jc w:val="center"/>
              <w:textAlignment w:val="center"/>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 xml:space="preserve">46.59 </w:t>
            </w:r>
          </w:p>
        </w:tc>
        <w:tc>
          <w:tcPr>
            <w:tcW w:w="274" w:type="pct"/>
            <w:vMerge w:val="restart"/>
            <w:tcBorders>
              <w:tl2br w:val="nil"/>
              <w:tr2bl w:val="nil"/>
            </w:tcBorders>
            <w:shd w:val="clear" w:color="auto" w:fill="auto"/>
            <w:noWrap/>
            <w:vAlign w:val="center"/>
          </w:tcPr>
          <w:p w14:paraId="224975FF">
            <w:pPr>
              <w:keepNext w:val="0"/>
              <w:keepLines w:val="0"/>
              <w:widowControl/>
              <w:suppressLineNumbers w:val="0"/>
              <w:shd w:val="clear"/>
              <w:jc w:val="center"/>
              <w:textAlignment w:val="center"/>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化粪池</w:t>
            </w:r>
          </w:p>
        </w:tc>
        <w:tc>
          <w:tcPr>
            <w:tcW w:w="348" w:type="pct"/>
            <w:tcBorders>
              <w:tl2br w:val="nil"/>
              <w:tr2bl w:val="nil"/>
            </w:tcBorders>
            <w:shd w:val="clear" w:color="auto" w:fill="auto"/>
            <w:vAlign w:val="center"/>
          </w:tcPr>
          <w:p w14:paraId="24C24E8F">
            <w:pPr>
              <w:keepNext w:val="0"/>
              <w:keepLines w:val="0"/>
              <w:widowControl/>
              <w:suppressLineNumbers w:val="0"/>
              <w:shd w:val="clear"/>
              <w:jc w:val="center"/>
              <w:textAlignment w:val="center"/>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w:t>
            </w:r>
          </w:p>
        </w:tc>
        <w:tc>
          <w:tcPr>
            <w:tcW w:w="341" w:type="pct"/>
            <w:tcBorders>
              <w:tl2br w:val="nil"/>
              <w:tr2bl w:val="nil"/>
            </w:tcBorders>
            <w:shd w:val="clear" w:color="auto" w:fill="auto"/>
            <w:noWrap/>
            <w:vAlign w:val="center"/>
          </w:tcPr>
          <w:p w14:paraId="7ADD9671">
            <w:pPr>
              <w:keepNext w:val="0"/>
              <w:keepLines w:val="0"/>
              <w:widowControl/>
              <w:suppressLineNumbers w:val="0"/>
              <w:shd w:val="clear"/>
              <w:jc w:val="center"/>
              <w:textAlignment w:val="center"/>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产污系数</w:t>
            </w:r>
          </w:p>
        </w:tc>
        <w:tc>
          <w:tcPr>
            <w:tcW w:w="257" w:type="pct"/>
            <w:vMerge w:val="restart"/>
            <w:tcBorders>
              <w:tl2br w:val="nil"/>
              <w:tr2bl w:val="nil"/>
            </w:tcBorders>
            <w:shd w:val="clear" w:color="auto" w:fill="auto"/>
            <w:noWrap/>
            <w:vAlign w:val="center"/>
          </w:tcPr>
          <w:p w14:paraId="2424D564">
            <w:pPr>
              <w:keepNext w:val="0"/>
              <w:keepLines w:val="0"/>
              <w:widowControl/>
              <w:suppressLineNumbers w:val="0"/>
              <w:shd w:val="clear"/>
              <w:jc w:val="center"/>
              <w:textAlignment w:val="center"/>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 xml:space="preserve">137.02 </w:t>
            </w:r>
          </w:p>
        </w:tc>
        <w:tc>
          <w:tcPr>
            <w:tcW w:w="354" w:type="pct"/>
            <w:tcBorders>
              <w:tl2br w:val="nil"/>
              <w:tr2bl w:val="nil"/>
            </w:tcBorders>
            <w:shd w:val="clear" w:color="auto" w:fill="auto"/>
            <w:vAlign w:val="center"/>
          </w:tcPr>
          <w:p w14:paraId="2F81D0EC">
            <w:pPr>
              <w:keepNext w:val="0"/>
              <w:keepLines w:val="0"/>
              <w:widowControl/>
              <w:suppressLineNumbers w:val="0"/>
              <w:shd w:val="clear"/>
              <w:jc w:val="center"/>
              <w:textAlignment w:val="center"/>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40</w:t>
            </w:r>
          </w:p>
        </w:tc>
        <w:tc>
          <w:tcPr>
            <w:tcW w:w="246" w:type="pct"/>
            <w:tcBorders>
              <w:tl2br w:val="nil"/>
              <w:tr2bl w:val="nil"/>
            </w:tcBorders>
            <w:shd w:val="clear" w:color="auto" w:fill="auto"/>
            <w:vAlign w:val="center"/>
          </w:tcPr>
          <w:p w14:paraId="3338FA84">
            <w:pPr>
              <w:keepNext w:val="0"/>
              <w:keepLines w:val="0"/>
              <w:widowControl/>
              <w:suppressLineNumbers w:val="0"/>
              <w:shd w:val="clear"/>
              <w:jc w:val="center"/>
              <w:textAlignment w:val="center"/>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 xml:space="preserve">5.48 </w:t>
            </w:r>
          </w:p>
        </w:tc>
        <w:tc>
          <w:tcPr>
            <w:tcW w:w="344" w:type="pct"/>
            <w:tcBorders>
              <w:tl2br w:val="nil"/>
              <w:tr2bl w:val="nil"/>
            </w:tcBorders>
            <w:shd w:val="clear" w:color="auto" w:fill="auto"/>
            <w:vAlign w:val="center"/>
          </w:tcPr>
          <w:p w14:paraId="2516859D">
            <w:pPr>
              <w:keepNext w:val="0"/>
              <w:keepLines w:val="0"/>
              <w:widowControl/>
              <w:suppressLineNumbers w:val="0"/>
              <w:shd w:val="clear"/>
              <w:jc w:val="center"/>
              <w:textAlignment w:val="center"/>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250</w:t>
            </w:r>
          </w:p>
        </w:tc>
      </w:tr>
      <w:tr w14:paraId="7233763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12" w:hRule="atLeast"/>
          <w:jc w:val="center"/>
        </w:trPr>
        <w:tc>
          <w:tcPr>
            <w:tcW w:w="477" w:type="pct"/>
            <w:vMerge w:val="continue"/>
            <w:tcBorders>
              <w:tl2br w:val="nil"/>
              <w:tr2bl w:val="nil"/>
            </w:tcBorders>
            <w:shd w:val="clear" w:color="auto" w:fill="auto"/>
            <w:noWrap/>
            <w:vAlign w:val="center"/>
          </w:tcPr>
          <w:p w14:paraId="657E66EC">
            <w:pPr>
              <w:shd w:val="clear"/>
              <w:jc w:val="center"/>
              <w:rPr>
                <w:rFonts w:hint="default" w:ascii="Times New Roman" w:hAnsi="Times New Roman" w:eastAsia="宋体" w:cs="Times New Roman"/>
                <w:i w:val="0"/>
                <w:iCs w:val="0"/>
                <w:color w:val="auto"/>
                <w:sz w:val="18"/>
                <w:szCs w:val="18"/>
                <w:highlight w:val="none"/>
                <w:u w:val="none"/>
              </w:rPr>
            </w:pPr>
          </w:p>
        </w:tc>
        <w:tc>
          <w:tcPr>
            <w:tcW w:w="794" w:type="pct"/>
            <w:vMerge w:val="continue"/>
            <w:tcBorders>
              <w:tl2br w:val="nil"/>
              <w:tr2bl w:val="nil"/>
            </w:tcBorders>
            <w:shd w:val="clear" w:color="auto" w:fill="auto"/>
            <w:noWrap/>
            <w:vAlign w:val="center"/>
          </w:tcPr>
          <w:p w14:paraId="5E70B640">
            <w:pPr>
              <w:shd w:val="clear"/>
              <w:jc w:val="center"/>
              <w:rPr>
                <w:rFonts w:hint="default" w:ascii="Times New Roman" w:hAnsi="Times New Roman" w:eastAsia="宋体" w:cs="Times New Roman"/>
                <w:i w:val="0"/>
                <w:iCs w:val="0"/>
                <w:color w:val="auto"/>
                <w:sz w:val="18"/>
                <w:szCs w:val="18"/>
                <w:highlight w:val="none"/>
                <w:u w:val="none"/>
              </w:rPr>
            </w:pPr>
          </w:p>
        </w:tc>
        <w:tc>
          <w:tcPr>
            <w:tcW w:w="273" w:type="pct"/>
            <w:tcBorders>
              <w:tl2br w:val="nil"/>
              <w:tr2bl w:val="nil"/>
            </w:tcBorders>
            <w:shd w:val="clear" w:color="auto" w:fill="auto"/>
            <w:noWrap/>
            <w:vAlign w:val="center"/>
          </w:tcPr>
          <w:p w14:paraId="3D60923B">
            <w:pPr>
              <w:keepNext w:val="0"/>
              <w:keepLines w:val="0"/>
              <w:widowControl/>
              <w:suppressLineNumbers w:val="0"/>
              <w:shd w:val="clear"/>
              <w:jc w:val="center"/>
              <w:textAlignment w:val="center"/>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NH</w:t>
            </w:r>
            <w:r>
              <w:rPr>
                <w:rFonts w:hint="default" w:ascii="Times New Roman" w:hAnsi="Times New Roman" w:eastAsia="宋体" w:cs="Times New Roman"/>
                <w:i w:val="0"/>
                <w:iCs w:val="0"/>
                <w:color w:val="auto"/>
                <w:kern w:val="0"/>
                <w:sz w:val="18"/>
                <w:szCs w:val="18"/>
                <w:highlight w:val="none"/>
                <w:u w:val="none"/>
                <w:vertAlign w:val="subscript"/>
                <w:lang w:val="en-US" w:eastAsia="zh-CN" w:bidi="ar"/>
              </w:rPr>
              <w:t>3</w:t>
            </w:r>
            <w:r>
              <w:rPr>
                <w:rFonts w:hint="default" w:ascii="Times New Roman" w:hAnsi="Times New Roman" w:eastAsia="宋体" w:cs="Times New Roman"/>
                <w:i w:val="0"/>
                <w:iCs w:val="0"/>
                <w:color w:val="auto"/>
                <w:kern w:val="0"/>
                <w:sz w:val="18"/>
                <w:szCs w:val="18"/>
                <w:highlight w:val="none"/>
                <w:u w:val="none"/>
                <w:lang w:val="en-US" w:eastAsia="zh-CN" w:bidi="ar"/>
              </w:rPr>
              <w:t>-N</w:t>
            </w:r>
          </w:p>
        </w:tc>
        <w:tc>
          <w:tcPr>
            <w:tcW w:w="341" w:type="pct"/>
            <w:tcBorders>
              <w:tl2br w:val="nil"/>
              <w:tr2bl w:val="nil"/>
            </w:tcBorders>
            <w:shd w:val="clear" w:color="auto" w:fill="auto"/>
            <w:noWrap/>
            <w:vAlign w:val="center"/>
          </w:tcPr>
          <w:p w14:paraId="38C2E435">
            <w:pPr>
              <w:keepNext w:val="0"/>
              <w:keepLines w:val="0"/>
              <w:widowControl/>
              <w:suppressLineNumbers w:val="0"/>
              <w:shd w:val="clear"/>
              <w:jc w:val="center"/>
              <w:textAlignment w:val="center"/>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产污系数</w:t>
            </w:r>
          </w:p>
        </w:tc>
        <w:tc>
          <w:tcPr>
            <w:tcW w:w="257" w:type="pct"/>
            <w:vMerge w:val="continue"/>
            <w:tcBorders>
              <w:tl2br w:val="nil"/>
              <w:tr2bl w:val="nil"/>
            </w:tcBorders>
            <w:shd w:val="clear" w:color="auto" w:fill="auto"/>
            <w:noWrap/>
            <w:vAlign w:val="center"/>
          </w:tcPr>
          <w:p w14:paraId="1200774F">
            <w:pPr>
              <w:shd w:val="clear"/>
              <w:jc w:val="center"/>
              <w:rPr>
                <w:rFonts w:hint="default" w:ascii="Times New Roman" w:hAnsi="Times New Roman" w:eastAsia="宋体" w:cs="Times New Roman"/>
                <w:i w:val="0"/>
                <w:iCs w:val="0"/>
                <w:color w:val="auto"/>
                <w:sz w:val="18"/>
                <w:szCs w:val="18"/>
                <w:highlight w:val="none"/>
                <w:u w:val="none"/>
              </w:rPr>
            </w:pPr>
          </w:p>
        </w:tc>
        <w:tc>
          <w:tcPr>
            <w:tcW w:w="262" w:type="pct"/>
            <w:tcBorders>
              <w:tl2br w:val="nil"/>
              <w:tr2bl w:val="nil"/>
            </w:tcBorders>
            <w:shd w:val="clear" w:color="auto" w:fill="auto"/>
            <w:noWrap/>
            <w:vAlign w:val="center"/>
          </w:tcPr>
          <w:p w14:paraId="17E7366A">
            <w:pPr>
              <w:keepNext w:val="0"/>
              <w:keepLines w:val="0"/>
              <w:widowControl/>
              <w:suppressLineNumbers w:val="0"/>
              <w:shd w:val="clear"/>
              <w:jc w:val="center"/>
              <w:textAlignment w:val="center"/>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32.6</w:t>
            </w:r>
          </w:p>
        </w:tc>
        <w:tc>
          <w:tcPr>
            <w:tcW w:w="256" w:type="pct"/>
            <w:tcBorders>
              <w:tl2br w:val="nil"/>
              <w:tr2bl w:val="nil"/>
            </w:tcBorders>
            <w:shd w:val="clear" w:color="auto" w:fill="auto"/>
            <w:noWrap/>
            <w:vAlign w:val="center"/>
          </w:tcPr>
          <w:p w14:paraId="2F5065A3">
            <w:pPr>
              <w:keepNext w:val="0"/>
              <w:keepLines w:val="0"/>
              <w:widowControl/>
              <w:suppressLineNumbers w:val="0"/>
              <w:shd w:val="clear"/>
              <w:jc w:val="center"/>
              <w:textAlignment w:val="center"/>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 xml:space="preserve">4.47 </w:t>
            </w:r>
          </w:p>
        </w:tc>
        <w:tc>
          <w:tcPr>
            <w:tcW w:w="274" w:type="pct"/>
            <w:vMerge w:val="continue"/>
            <w:tcBorders>
              <w:tl2br w:val="nil"/>
              <w:tr2bl w:val="nil"/>
            </w:tcBorders>
            <w:shd w:val="clear" w:color="auto" w:fill="auto"/>
            <w:noWrap/>
            <w:vAlign w:val="center"/>
          </w:tcPr>
          <w:p w14:paraId="484959E0">
            <w:pPr>
              <w:shd w:val="clear"/>
              <w:jc w:val="center"/>
              <w:rPr>
                <w:rFonts w:hint="default" w:ascii="Times New Roman" w:hAnsi="Times New Roman" w:eastAsia="宋体" w:cs="Times New Roman"/>
                <w:i w:val="0"/>
                <w:iCs w:val="0"/>
                <w:color w:val="auto"/>
                <w:sz w:val="18"/>
                <w:szCs w:val="18"/>
                <w:highlight w:val="none"/>
                <w:u w:val="none"/>
              </w:rPr>
            </w:pPr>
          </w:p>
        </w:tc>
        <w:tc>
          <w:tcPr>
            <w:tcW w:w="348" w:type="pct"/>
            <w:tcBorders>
              <w:tl2br w:val="nil"/>
              <w:tr2bl w:val="nil"/>
            </w:tcBorders>
            <w:shd w:val="clear" w:color="auto" w:fill="auto"/>
            <w:vAlign w:val="center"/>
          </w:tcPr>
          <w:p w14:paraId="44EE8FA7">
            <w:pPr>
              <w:keepNext w:val="0"/>
              <w:keepLines w:val="0"/>
              <w:widowControl/>
              <w:suppressLineNumbers w:val="0"/>
              <w:shd w:val="clear"/>
              <w:jc w:val="center"/>
              <w:textAlignment w:val="center"/>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w:t>
            </w:r>
          </w:p>
        </w:tc>
        <w:tc>
          <w:tcPr>
            <w:tcW w:w="341" w:type="pct"/>
            <w:tcBorders>
              <w:tl2br w:val="nil"/>
              <w:tr2bl w:val="nil"/>
            </w:tcBorders>
            <w:shd w:val="clear" w:color="auto" w:fill="auto"/>
            <w:noWrap/>
            <w:vAlign w:val="center"/>
          </w:tcPr>
          <w:p w14:paraId="060225B4">
            <w:pPr>
              <w:keepNext w:val="0"/>
              <w:keepLines w:val="0"/>
              <w:widowControl/>
              <w:suppressLineNumbers w:val="0"/>
              <w:shd w:val="clear"/>
              <w:jc w:val="center"/>
              <w:textAlignment w:val="center"/>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产污系数</w:t>
            </w:r>
          </w:p>
        </w:tc>
        <w:tc>
          <w:tcPr>
            <w:tcW w:w="257" w:type="pct"/>
            <w:vMerge w:val="continue"/>
            <w:tcBorders>
              <w:tl2br w:val="nil"/>
              <w:tr2bl w:val="nil"/>
            </w:tcBorders>
            <w:shd w:val="clear" w:color="auto" w:fill="auto"/>
            <w:noWrap/>
            <w:vAlign w:val="center"/>
          </w:tcPr>
          <w:p w14:paraId="40D5CAD6">
            <w:pPr>
              <w:shd w:val="clear"/>
              <w:jc w:val="center"/>
              <w:rPr>
                <w:rFonts w:hint="default" w:ascii="Times New Roman" w:hAnsi="Times New Roman" w:eastAsia="宋体" w:cs="Times New Roman"/>
                <w:i w:val="0"/>
                <w:iCs w:val="0"/>
                <w:color w:val="auto"/>
                <w:sz w:val="18"/>
                <w:szCs w:val="18"/>
                <w:highlight w:val="none"/>
                <w:u w:val="none"/>
              </w:rPr>
            </w:pPr>
          </w:p>
        </w:tc>
        <w:tc>
          <w:tcPr>
            <w:tcW w:w="354" w:type="pct"/>
            <w:tcBorders>
              <w:tl2br w:val="nil"/>
              <w:tr2bl w:val="nil"/>
            </w:tcBorders>
            <w:shd w:val="clear" w:color="auto" w:fill="auto"/>
            <w:vAlign w:val="center"/>
          </w:tcPr>
          <w:p w14:paraId="2E1A3B8A">
            <w:pPr>
              <w:keepNext w:val="0"/>
              <w:keepLines w:val="0"/>
              <w:widowControl/>
              <w:suppressLineNumbers w:val="0"/>
              <w:shd w:val="clear"/>
              <w:jc w:val="center"/>
              <w:textAlignment w:val="center"/>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2 (4)</w:t>
            </w:r>
          </w:p>
        </w:tc>
        <w:tc>
          <w:tcPr>
            <w:tcW w:w="246" w:type="pct"/>
            <w:tcBorders>
              <w:tl2br w:val="nil"/>
              <w:tr2bl w:val="nil"/>
            </w:tcBorders>
            <w:shd w:val="clear" w:color="auto" w:fill="auto"/>
            <w:vAlign w:val="center"/>
          </w:tcPr>
          <w:p w14:paraId="439C1464">
            <w:pPr>
              <w:keepNext w:val="0"/>
              <w:keepLines w:val="0"/>
              <w:widowControl/>
              <w:suppressLineNumbers w:val="0"/>
              <w:shd w:val="clear"/>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0.27</w:t>
            </w:r>
          </w:p>
          <w:p w14:paraId="6C36F310">
            <w:pPr>
              <w:keepNext w:val="0"/>
              <w:keepLines w:val="0"/>
              <w:widowControl/>
              <w:suppressLineNumbers w:val="0"/>
              <w:shd w:val="clear"/>
              <w:jc w:val="center"/>
              <w:textAlignment w:val="center"/>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 xml:space="preserve">(0.54) </w:t>
            </w:r>
          </w:p>
        </w:tc>
        <w:tc>
          <w:tcPr>
            <w:tcW w:w="344" w:type="pct"/>
            <w:tcBorders>
              <w:tl2br w:val="nil"/>
              <w:tr2bl w:val="nil"/>
            </w:tcBorders>
            <w:shd w:val="clear" w:color="auto" w:fill="auto"/>
            <w:vAlign w:val="center"/>
          </w:tcPr>
          <w:p w14:paraId="107DF125">
            <w:pPr>
              <w:keepNext w:val="0"/>
              <w:keepLines w:val="0"/>
              <w:widowControl/>
              <w:suppressLineNumbers w:val="0"/>
              <w:shd w:val="clear"/>
              <w:jc w:val="center"/>
              <w:textAlignment w:val="center"/>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250</w:t>
            </w:r>
          </w:p>
        </w:tc>
      </w:tr>
      <w:tr w14:paraId="69BBA08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12" w:hRule="atLeast"/>
          <w:jc w:val="center"/>
        </w:trPr>
        <w:tc>
          <w:tcPr>
            <w:tcW w:w="1272" w:type="pct"/>
            <w:gridSpan w:val="2"/>
            <w:vMerge w:val="restart"/>
            <w:tcBorders>
              <w:tl2br w:val="nil"/>
              <w:tr2bl w:val="nil"/>
            </w:tcBorders>
            <w:shd w:val="clear" w:color="auto" w:fill="auto"/>
            <w:noWrap/>
            <w:vAlign w:val="center"/>
          </w:tcPr>
          <w:p w14:paraId="47330D8F">
            <w:pPr>
              <w:shd w:val="clear"/>
              <w:jc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合计</w:t>
            </w:r>
          </w:p>
        </w:tc>
        <w:tc>
          <w:tcPr>
            <w:tcW w:w="273" w:type="pct"/>
            <w:tcBorders>
              <w:tl2br w:val="nil"/>
              <w:tr2bl w:val="nil"/>
            </w:tcBorders>
            <w:shd w:val="clear" w:color="auto" w:fill="auto"/>
            <w:noWrap/>
            <w:vAlign w:val="center"/>
          </w:tcPr>
          <w:p w14:paraId="51832740">
            <w:pPr>
              <w:keepNext w:val="0"/>
              <w:keepLines w:val="0"/>
              <w:widowControl/>
              <w:suppressLineNumbers w:val="0"/>
              <w:shd w:val="clear"/>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COD</w:t>
            </w:r>
            <w:r>
              <w:rPr>
                <w:rFonts w:hint="default" w:ascii="Times New Roman" w:hAnsi="Times New Roman" w:eastAsia="宋体" w:cs="Times New Roman"/>
                <w:i w:val="0"/>
                <w:iCs w:val="0"/>
                <w:color w:val="auto"/>
                <w:kern w:val="0"/>
                <w:sz w:val="18"/>
                <w:szCs w:val="18"/>
                <w:highlight w:val="none"/>
                <w:u w:val="none"/>
                <w:vertAlign w:val="subscript"/>
                <w:lang w:val="en-US" w:eastAsia="zh-CN" w:bidi="ar"/>
              </w:rPr>
              <w:t>Cr</w:t>
            </w:r>
          </w:p>
        </w:tc>
        <w:tc>
          <w:tcPr>
            <w:tcW w:w="341" w:type="pct"/>
            <w:tcBorders>
              <w:tl2br w:val="nil"/>
              <w:tr2bl w:val="nil"/>
            </w:tcBorders>
            <w:shd w:val="clear" w:color="auto" w:fill="auto"/>
            <w:vAlign w:val="center"/>
          </w:tcPr>
          <w:p w14:paraId="253A4546">
            <w:pPr>
              <w:keepNext w:val="0"/>
              <w:keepLines w:val="0"/>
              <w:widowControl/>
              <w:suppressLineNumbers w:val="0"/>
              <w:shd w:val="clear"/>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w:t>
            </w:r>
          </w:p>
        </w:tc>
        <w:tc>
          <w:tcPr>
            <w:tcW w:w="257" w:type="pct"/>
            <w:vMerge w:val="restart"/>
            <w:tcBorders>
              <w:tl2br w:val="nil"/>
              <w:tr2bl w:val="nil"/>
            </w:tcBorders>
            <w:shd w:val="clear" w:color="auto" w:fill="auto"/>
            <w:noWrap/>
            <w:vAlign w:val="center"/>
          </w:tcPr>
          <w:p w14:paraId="11F253A7">
            <w:pPr>
              <w:keepNext w:val="0"/>
              <w:keepLines w:val="0"/>
              <w:widowControl/>
              <w:suppressLineNumbers w:val="0"/>
              <w:shd w:val="clear"/>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 xml:space="preserve">198.95 </w:t>
            </w:r>
          </w:p>
        </w:tc>
        <w:tc>
          <w:tcPr>
            <w:tcW w:w="262" w:type="pct"/>
            <w:tcBorders>
              <w:tl2br w:val="nil"/>
              <w:tr2bl w:val="nil"/>
            </w:tcBorders>
            <w:shd w:val="clear" w:color="auto" w:fill="auto"/>
            <w:noWrap/>
            <w:vAlign w:val="center"/>
          </w:tcPr>
          <w:p w14:paraId="3C9DE81E">
            <w:pPr>
              <w:keepNext w:val="0"/>
              <w:keepLines w:val="0"/>
              <w:widowControl/>
              <w:suppressLineNumbers w:val="0"/>
              <w:shd w:val="clear"/>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 xml:space="preserve">255.50 </w:t>
            </w:r>
          </w:p>
        </w:tc>
        <w:tc>
          <w:tcPr>
            <w:tcW w:w="256" w:type="pct"/>
            <w:tcBorders>
              <w:tl2br w:val="nil"/>
              <w:tr2bl w:val="nil"/>
            </w:tcBorders>
            <w:shd w:val="clear" w:color="auto" w:fill="auto"/>
            <w:noWrap/>
            <w:vAlign w:val="center"/>
          </w:tcPr>
          <w:p w14:paraId="2557C573">
            <w:pPr>
              <w:keepNext w:val="0"/>
              <w:keepLines w:val="0"/>
              <w:widowControl/>
              <w:suppressLineNumbers w:val="0"/>
              <w:shd w:val="clear"/>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 xml:space="preserve">50.83 </w:t>
            </w:r>
          </w:p>
        </w:tc>
        <w:tc>
          <w:tcPr>
            <w:tcW w:w="274" w:type="pct"/>
            <w:tcBorders>
              <w:tl2br w:val="nil"/>
              <w:tr2bl w:val="nil"/>
            </w:tcBorders>
            <w:shd w:val="clear" w:color="auto" w:fill="auto"/>
            <w:vAlign w:val="center"/>
          </w:tcPr>
          <w:p w14:paraId="14E0143B">
            <w:pPr>
              <w:keepNext w:val="0"/>
              <w:keepLines w:val="0"/>
              <w:widowControl/>
              <w:suppressLineNumbers w:val="0"/>
              <w:shd w:val="clear"/>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w:t>
            </w:r>
          </w:p>
        </w:tc>
        <w:tc>
          <w:tcPr>
            <w:tcW w:w="348" w:type="pct"/>
            <w:tcBorders>
              <w:tl2br w:val="nil"/>
              <w:tr2bl w:val="nil"/>
            </w:tcBorders>
            <w:shd w:val="clear" w:color="auto" w:fill="auto"/>
            <w:vAlign w:val="center"/>
          </w:tcPr>
          <w:p w14:paraId="15A95A26">
            <w:pPr>
              <w:keepNext w:val="0"/>
              <w:keepLines w:val="0"/>
              <w:widowControl/>
              <w:suppressLineNumbers w:val="0"/>
              <w:shd w:val="clear"/>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w:t>
            </w:r>
          </w:p>
        </w:tc>
        <w:tc>
          <w:tcPr>
            <w:tcW w:w="341" w:type="pct"/>
            <w:tcBorders>
              <w:tl2br w:val="nil"/>
              <w:tr2bl w:val="nil"/>
            </w:tcBorders>
            <w:shd w:val="clear" w:color="auto" w:fill="auto"/>
            <w:vAlign w:val="center"/>
          </w:tcPr>
          <w:p w14:paraId="5EC90FF6">
            <w:pPr>
              <w:keepNext w:val="0"/>
              <w:keepLines w:val="0"/>
              <w:widowControl/>
              <w:suppressLineNumbers w:val="0"/>
              <w:shd w:val="clear"/>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w:t>
            </w:r>
          </w:p>
        </w:tc>
        <w:tc>
          <w:tcPr>
            <w:tcW w:w="257" w:type="pct"/>
            <w:vMerge w:val="restart"/>
            <w:tcBorders>
              <w:tl2br w:val="nil"/>
              <w:tr2bl w:val="nil"/>
            </w:tcBorders>
            <w:shd w:val="clear" w:color="auto" w:fill="auto"/>
            <w:vAlign w:val="center"/>
          </w:tcPr>
          <w:p w14:paraId="57B9541F">
            <w:pPr>
              <w:keepNext w:val="0"/>
              <w:keepLines w:val="0"/>
              <w:widowControl/>
              <w:suppressLineNumbers w:val="0"/>
              <w:shd w:val="clear"/>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 xml:space="preserve">198.95 </w:t>
            </w:r>
          </w:p>
        </w:tc>
        <w:tc>
          <w:tcPr>
            <w:tcW w:w="354" w:type="pct"/>
            <w:tcBorders>
              <w:tl2br w:val="nil"/>
              <w:tr2bl w:val="nil"/>
            </w:tcBorders>
            <w:shd w:val="clear" w:color="auto" w:fill="auto"/>
            <w:noWrap/>
            <w:vAlign w:val="center"/>
          </w:tcPr>
          <w:p w14:paraId="2E029D01">
            <w:pPr>
              <w:keepNext w:val="0"/>
              <w:keepLines w:val="0"/>
              <w:widowControl/>
              <w:suppressLineNumbers w:val="0"/>
              <w:shd w:val="clear"/>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40</w:t>
            </w:r>
          </w:p>
        </w:tc>
        <w:tc>
          <w:tcPr>
            <w:tcW w:w="246" w:type="pct"/>
            <w:tcBorders>
              <w:tl2br w:val="nil"/>
              <w:tr2bl w:val="nil"/>
            </w:tcBorders>
            <w:shd w:val="clear" w:color="auto" w:fill="auto"/>
            <w:noWrap/>
            <w:vAlign w:val="center"/>
          </w:tcPr>
          <w:p w14:paraId="1F932A79">
            <w:pPr>
              <w:keepNext w:val="0"/>
              <w:keepLines w:val="0"/>
              <w:widowControl/>
              <w:suppressLineNumbers w:val="0"/>
              <w:shd w:val="clear"/>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 xml:space="preserve">7.96 </w:t>
            </w:r>
          </w:p>
        </w:tc>
        <w:tc>
          <w:tcPr>
            <w:tcW w:w="344" w:type="pct"/>
            <w:tcBorders>
              <w:tl2br w:val="nil"/>
              <w:tr2bl w:val="nil"/>
            </w:tcBorders>
            <w:shd w:val="clear" w:color="auto" w:fill="auto"/>
            <w:vAlign w:val="center"/>
          </w:tcPr>
          <w:p w14:paraId="13F99AC7">
            <w:pPr>
              <w:keepNext w:val="0"/>
              <w:keepLines w:val="0"/>
              <w:widowControl/>
              <w:suppressLineNumbers w:val="0"/>
              <w:shd w:val="clear"/>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250</w:t>
            </w:r>
          </w:p>
        </w:tc>
      </w:tr>
      <w:tr w14:paraId="193B6F0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1272" w:type="pct"/>
            <w:gridSpan w:val="2"/>
            <w:vMerge w:val="continue"/>
            <w:tcBorders>
              <w:tl2br w:val="nil"/>
              <w:tr2bl w:val="nil"/>
            </w:tcBorders>
            <w:shd w:val="clear" w:color="auto" w:fill="auto"/>
            <w:noWrap/>
            <w:vAlign w:val="center"/>
          </w:tcPr>
          <w:p w14:paraId="5738C6B7">
            <w:pPr>
              <w:shd w:val="clear"/>
              <w:jc w:val="center"/>
              <w:rPr>
                <w:rFonts w:hint="default" w:ascii="Times New Roman" w:hAnsi="Times New Roman" w:eastAsia="宋体" w:cs="Times New Roman"/>
                <w:i w:val="0"/>
                <w:iCs w:val="0"/>
                <w:color w:val="auto"/>
                <w:sz w:val="18"/>
                <w:szCs w:val="18"/>
                <w:highlight w:val="none"/>
                <w:u w:val="none"/>
              </w:rPr>
            </w:pPr>
          </w:p>
        </w:tc>
        <w:tc>
          <w:tcPr>
            <w:tcW w:w="273" w:type="pct"/>
            <w:tcBorders>
              <w:tl2br w:val="nil"/>
              <w:tr2bl w:val="nil"/>
            </w:tcBorders>
            <w:shd w:val="clear" w:color="auto" w:fill="auto"/>
            <w:vAlign w:val="center"/>
          </w:tcPr>
          <w:p w14:paraId="169347E0">
            <w:pPr>
              <w:keepNext w:val="0"/>
              <w:keepLines w:val="0"/>
              <w:widowControl/>
              <w:suppressLineNumbers w:val="0"/>
              <w:shd w:val="clear"/>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TP</w:t>
            </w:r>
          </w:p>
        </w:tc>
        <w:tc>
          <w:tcPr>
            <w:tcW w:w="341" w:type="pct"/>
            <w:tcBorders>
              <w:tl2br w:val="nil"/>
              <w:tr2bl w:val="nil"/>
            </w:tcBorders>
            <w:shd w:val="clear" w:color="auto" w:fill="auto"/>
            <w:vAlign w:val="center"/>
          </w:tcPr>
          <w:p w14:paraId="6B740AAC">
            <w:pPr>
              <w:keepNext w:val="0"/>
              <w:keepLines w:val="0"/>
              <w:widowControl/>
              <w:suppressLineNumbers w:val="0"/>
              <w:shd w:val="clear"/>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w:t>
            </w:r>
          </w:p>
        </w:tc>
        <w:tc>
          <w:tcPr>
            <w:tcW w:w="257" w:type="pct"/>
            <w:vMerge w:val="continue"/>
            <w:tcBorders>
              <w:tl2br w:val="nil"/>
              <w:tr2bl w:val="nil"/>
            </w:tcBorders>
            <w:shd w:val="clear" w:color="auto" w:fill="auto"/>
            <w:noWrap/>
            <w:vAlign w:val="center"/>
          </w:tcPr>
          <w:p w14:paraId="6C80404B">
            <w:pPr>
              <w:shd w:val="clear"/>
              <w:jc w:val="center"/>
              <w:rPr>
                <w:rFonts w:hint="default" w:ascii="Times New Roman" w:hAnsi="Times New Roman" w:eastAsia="宋体" w:cs="Times New Roman"/>
                <w:i w:val="0"/>
                <w:iCs w:val="0"/>
                <w:color w:val="auto"/>
                <w:sz w:val="18"/>
                <w:szCs w:val="18"/>
                <w:highlight w:val="none"/>
                <w:u w:val="none"/>
              </w:rPr>
            </w:pPr>
          </w:p>
        </w:tc>
        <w:tc>
          <w:tcPr>
            <w:tcW w:w="262" w:type="pct"/>
            <w:tcBorders>
              <w:tl2br w:val="nil"/>
              <w:tr2bl w:val="nil"/>
            </w:tcBorders>
            <w:shd w:val="clear" w:color="auto" w:fill="auto"/>
            <w:noWrap/>
            <w:vAlign w:val="center"/>
          </w:tcPr>
          <w:p w14:paraId="1310F53C">
            <w:pPr>
              <w:keepNext w:val="0"/>
              <w:keepLines w:val="0"/>
              <w:widowControl/>
              <w:suppressLineNumbers w:val="0"/>
              <w:shd w:val="clear"/>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 xml:space="preserve">0.58 </w:t>
            </w:r>
          </w:p>
        </w:tc>
        <w:tc>
          <w:tcPr>
            <w:tcW w:w="256" w:type="pct"/>
            <w:tcBorders>
              <w:tl2br w:val="nil"/>
              <w:tr2bl w:val="nil"/>
            </w:tcBorders>
            <w:shd w:val="clear" w:color="auto" w:fill="auto"/>
            <w:noWrap/>
            <w:vAlign w:val="center"/>
          </w:tcPr>
          <w:p w14:paraId="2B3F5399">
            <w:pPr>
              <w:keepNext w:val="0"/>
              <w:keepLines w:val="0"/>
              <w:widowControl/>
              <w:suppressLineNumbers w:val="0"/>
              <w:shd w:val="clear"/>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 xml:space="preserve">0.12 </w:t>
            </w:r>
          </w:p>
        </w:tc>
        <w:tc>
          <w:tcPr>
            <w:tcW w:w="274" w:type="pct"/>
            <w:tcBorders>
              <w:tl2br w:val="nil"/>
              <w:tr2bl w:val="nil"/>
            </w:tcBorders>
            <w:shd w:val="clear" w:color="auto" w:fill="auto"/>
            <w:vAlign w:val="center"/>
          </w:tcPr>
          <w:p w14:paraId="074A08F4">
            <w:pPr>
              <w:keepNext w:val="0"/>
              <w:keepLines w:val="0"/>
              <w:widowControl/>
              <w:suppressLineNumbers w:val="0"/>
              <w:shd w:val="clear"/>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w:t>
            </w:r>
          </w:p>
        </w:tc>
        <w:tc>
          <w:tcPr>
            <w:tcW w:w="348" w:type="pct"/>
            <w:tcBorders>
              <w:tl2br w:val="nil"/>
              <w:tr2bl w:val="nil"/>
            </w:tcBorders>
            <w:shd w:val="clear" w:color="auto" w:fill="auto"/>
            <w:vAlign w:val="center"/>
          </w:tcPr>
          <w:p w14:paraId="5F0A23D7">
            <w:pPr>
              <w:keepNext w:val="0"/>
              <w:keepLines w:val="0"/>
              <w:widowControl/>
              <w:suppressLineNumbers w:val="0"/>
              <w:shd w:val="clear"/>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w:t>
            </w:r>
          </w:p>
        </w:tc>
        <w:tc>
          <w:tcPr>
            <w:tcW w:w="341" w:type="pct"/>
            <w:tcBorders>
              <w:tl2br w:val="nil"/>
              <w:tr2bl w:val="nil"/>
            </w:tcBorders>
            <w:shd w:val="clear" w:color="auto" w:fill="auto"/>
            <w:vAlign w:val="center"/>
          </w:tcPr>
          <w:p w14:paraId="7FB713B4">
            <w:pPr>
              <w:keepNext w:val="0"/>
              <w:keepLines w:val="0"/>
              <w:widowControl/>
              <w:suppressLineNumbers w:val="0"/>
              <w:shd w:val="clear"/>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w:t>
            </w:r>
          </w:p>
        </w:tc>
        <w:tc>
          <w:tcPr>
            <w:tcW w:w="257" w:type="pct"/>
            <w:vMerge w:val="continue"/>
            <w:tcBorders>
              <w:tl2br w:val="nil"/>
              <w:tr2bl w:val="nil"/>
            </w:tcBorders>
            <w:shd w:val="clear" w:color="auto" w:fill="auto"/>
            <w:vAlign w:val="center"/>
          </w:tcPr>
          <w:p w14:paraId="702052D8">
            <w:pPr>
              <w:shd w:val="clear"/>
              <w:jc w:val="center"/>
              <w:rPr>
                <w:rFonts w:hint="default" w:ascii="Times New Roman" w:hAnsi="Times New Roman" w:eastAsia="宋体" w:cs="Times New Roman"/>
                <w:i w:val="0"/>
                <w:iCs w:val="0"/>
                <w:color w:val="auto"/>
                <w:sz w:val="18"/>
                <w:szCs w:val="18"/>
                <w:highlight w:val="none"/>
                <w:u w:val="none"/>
              </w:rPr>
            </w:pPr>
          </w:p>
        </w:tc>
        <w:tc>
          <w:tcPr>
            <w:tcW w:w="354" w:type="pct"/>
            <w:tcBorders>
              <w:tl2br w:val="nil"/>
              <w:tr2bl w:val="nil"/>
            </w:tcBorders>
            <w:shd w:val="clear" w:color="auto" w:fill="auto"/>
            <w:noWrap/>
            <w:vAlign w:val="center"/>
          </w:tcPr>
          <w:p w14:paraId="4495D364">
            <w:pPr>
              <w:keepNext w:val="0"/>
              <w:keepLines w:val="0"/>
              <w:widowControl/>
              <w:suppressLineNumbers w:val="0"/>
              <w:shd w:val="clear"/>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0.3</w:t>
            </w:r>
          </w:p>
        </w:tc>
        <w:tc>
          <w:tcPr>
            <w:tcW w:w="246" w:type="pct"/>
            <w:tcBorders>
              <w:tl2br w:val="nil"/>
              <w:tr2bl w:val="nil"/>
            </w:tcBorders>
            <w:shd w:val="clear" w:color="auto" w:fill="auto"/>
            <w:noWrap/>
            <w:vAlign w:val="center"/>
          </w:tcPr>
          <w:p w14:paraId="3496CB6F">
            <w:pPr>
              <w:keepNext w:val="0"/>
              <w:keepLines w:val="0"/>
              <w:widowControl/>
              <w:suppressLineNumbers w:val="0"/>
              <w:shd w:val="clear"/>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 xml:space="preserve">0.06 </w:t>
            </w:r>
          </w:p>
        </w:tc>
        <w:tc>
          <w:tcPr>
            <w:tcW w:w="344" w:type="pct"/>
            <w:tcBorders>
              <w:tl2br w:val="nil"/>
              <w:tr2bl w:val="nil"/>
            </w:tcBorders>
            <w:shd w:val="clear" w:color="auto" w:fill="auto"/>
            <w:vAlign w:val="center"/>
          </w:tcPr>
          <w:p w14:paraId="1EB9173D">
            <w:pPr>
              <w:keepNext w:val="0"/>
              <w:keepLines w:val="0"/>
              <w:widowControl/>
              <w:suppressLineNumbers w:val="0"/>
              <w:shd w:val="clear"/>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250</w:t>
            </w:r>
          </w:p>
        </w:tc>
      </w:tr>
      <w:tr w14:paraId="354BB24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12" w:hRule="atLeast"/>
          <w:jc w:val="center"/>
        </w:trPr>
        <w:tc>
          <w:tcPr>
            <w:tcW w:w="1272" w:type="pct"/>
            <w:gridSpan w:val="2"/>
            <w:vMerge w:val="continue"/>
            <w:tcBorders>
              <w:tl2br w:val="nil"/>
              <w:tr2bl w:val="nil"/>
            </w:tcBorders>
            <w:shd w:val="clear" w:color="auto" w:fill="auto"/>
            <w:noWrap/>
            <w:vAlign w:val="center"/>
          </w:tcPr>
          <w:p w14:paraId="02889440">
            <w:pPr>
              <w:shd w:val="clear"/>
              <w:jc w:val="center"/>
              <w:rPr>
                <w:rFonts w:hint="default" w:ascii="Times New Roman" w:hAnsi="Times New Roman" w:eastAsia="宋体" w:cs="Times New Roman"/>
                <w:i w:val="0"/>
                <w:iCs w:val="0"/>
                <w:color w:val="auto"/>
                <w:sz w:val="18"/>
                <w:szCs w:val="18"/>
                <w:highlight w:val="none"/>
                <w:u w:val="none"/>
              </w:rPr>
            </w:pPr>
          </w:p>
        </w:tc>
        <w:tc>
          <w:tcPr>
            <w:tcW w:w="273" w:type="pct"/>
            <w:tcBorders>
              <w:tl2br w:val="nil"/>
              <w:tr2bl w:val="nil"/>
            </w:tcBorders>
            <w:shd w:val="clear" w:color="auto" w:fill="auto"/>
            <w:noWrap/>
            <w:vAlign w:val="center"/>
          </w:tcPr>
          <w:p w14:paraId="07ABC6F9">
            <w:pPr>
              <w:keepNext w:val="0"/>
              <w:keepLines w:val="0"/>
              <w:widowControl/>
              <w:suppressLineNumbers w:val="0"/>
              <w:shd w:val="clear"/>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SS</w:t>
            </w:r>
          </w:p>
        </w:tc>
        <w:tc>
          <w:tcPr>
            <w:tcW w:w="341" w:type="pct"/>
            <w:tcBorders>
              <w:tl2br w:val="nil"/>
              <w:tr2bl w:val="nil"/>
            </w:tcBorders>
            <w:shd w:val="clear" w:color="auto" w:fill="auto"/>
            <w:vAlign w:val="center"/>
          </w:tcPr>
          <w:p w14:paraId="568D70B5">
            <w:pPr>
              <w:keepNext w:val="0"/>
              <w:keepLines w:val="0"/>
              <w:widowControl/>
              <w:suppressLineNumbers w:val="0"/>
              <w:shd w:val="clear"/>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w:t>
            </w:r>
          </w:p>
        </w:tc>
        <w:tc>
          <w:tcPr>
            <w:tcW w:w="257" w:type="pct"/>
            <w:vMerge w:val="continue"/>
            <w:tcBorders>
              <w:tl2br w:val="nil"/>
              <w:tr2bl w:val="nil"/>
            </w:tcBorders>
            <w:shd w:val="clear" w:color="auto" w:fill="auto"/>
            <w:noWrap/>
            <w:vAlign w:val="center"/>
          </w:tcPr>
          <w:p w14:paraId="1654A5FC">
            <w:pPr>
              <w:shd w:val="clear"/>
              <w:jc w:val="center"/>
              <w:rPr>
                <w:rFonts w:hint="default" w:ascii="Times New Roman" w:hAnsi="Times New Roman" w:eastAsia="宋体" w:cs="Times New Roman"/>
                <w:i w:val="0"/>
                <w:iCs w:val="0"/>
                <w:color w:val="auto"/>
                <w:sz w:val="18"/>
                <w:szCs w:val="18"/>
                <w:highlight w:val="none"/>
                <w:u w:val="none"/>
              </w:rPr>
            </w:pPr>
          </w:p>
        </w:tc>
        <w:tc>
          <w:tcPr>
            <w:tcW w:w="262" w:type="pct"/>
            <w:tcBorders>
              <w:tl2br w:val="nil"/>
              <w:tr2bl w:val="nil"/>
            </w:tcBorders>
            <w:shd w:val="clear" w:color="auto" w:fill="auto"/>
            <w:noWrap/>
            <w:vAlign w:val="center"/>
          </w:tcPr>
          <w:p w14:paraId="2AC89F95">
            <w:pPr>
              <w:keepNext w:val="0"/>
              <w:keepLines w:val="0"/>
              <w:widowControl/>
              <w:suppressLineNumbers w:val="0"/>
              <w:shd w:val="clear"/>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 xml:space="preserve">181.96 </w:t>
            </w:r>
          </w:p>
        </w:tc>
        <w:tc>
          <w:tcPr>
            <w:tcW w:w="256" w:type="pct"/>
            <w:tcBorders>
              <w:tl2br w:val="nil"/>
              <w:tr2bl w:val="nil"/>
            </w:tcBorders>
            <w:shd w:val="clear" w:color="auto" w:fill="auto"/>
            <w:noWrap/>
            <w:vAlign w:val="center"/>
          </w:tcPr>
          <w:p w14:paraId="2A85D89B">
            <w:pPr>
              <w:keepNext w:val="0"/>
              <w:keepLines w:val="0"/>
              <w:widowControl/>
              <w:suppressLineNumbers w:val="0"/>
              <w:shd w:val="clear"/>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 xml:space="preserve">36.20 </w:t>
            </w:r>
          </w:p>
        </w:tc>
        <w:tc>
          <w:tcPr>
            <w:tcW w:w="274" w:type="pct"/>
            <w:tcBorders>
              <w:tl2br w:val="nil"/>
              <w:tr2bl w:val="nil"/>
            </w:tcBorders>
            <w:shd w:val="clear" w:color="auto" w:fill="auto"/>
            <w:vAlign w:val="center"/>
          </w:tcPr>
          <w:p w14:paraId="22293AC1">
            <w:pPr>
              <w:keepNext w:val="0"/>
              <w:keepLines w:val="0"/>
              <w:widowControl/>
              <w:suppressLineNumbers w:val="0"/>
              <w:shd w:val="clear"/>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w:t>
            </w:r>
          </w:p>
        </w:tc>
        <w:tc>
          <w:tcPr>
            <w:tcW w:w="348" w:type="pct"/>
            <w:tcBorders>
              <w:tl2br w:val="nil"/>
              <w:tr2bl w:val="nil"/>
            </w:tcBorders>
            <w:shd w:val="clear" w:color="auto" w:fill="auto"/>
            <w:vAlign w:val="center"/>
          </w:tcPr>
          <w:p w14:paraId="224E199F">
            <w:pPr>
              <w:keepNext w:val="0"/>
              <w:keepLines w:val="0"/>
              <w:widowControl/>
              <w:suppressLineNumbers w:val="0"/>
              <w:shd w:val="clear"/>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w:t>
            </w:r>
          </w:p>
        </w:tc>
        <w:tc>
          <w:tcPr>
            <w:tcW w:w="341" w:type="pct"/>
            <w:tcBorders>
              <w:tl2br w:val="nil"/>
              <w:tr2bl w:val="nil"/>
            </w:tcBorders>
            <w:shd w:val="clear" w:color="auto" w:fill="auto"/>
            <w:vAlign w:val="center"/>
          </w:tcPr>
          <w:p w14:paraId="6AF06AD1">
            <w:pPr>
              <w:keepNext w:val="0"/>
              <w:keepLines w:val="0"/>
              <w:widowControl/>
              <w:suppressLineNumbers w:val="0"/>
              <w:shd w:val="clear"/>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w:t>
            </w:r>
          </w:p>
        </w:tc>
        <w:tc>
          <w:tcPr>
            <w:tcW w:w="257" w:type="pct"/>
            <w:vMerge w:val="continue"/>
            <w:tcBorders>
              <w:tl2br w:val="nil"/>
              <w:tr2bl w:val="nil"/>
            </w:tcBorders>
            <w:shd w:val="clear" w:color="auto" w:fill="auto"/>
            <w:vAlign w:val="center"/>
          </w:tcPr>
          <w:p w14:paraId="56B409D3">
            <w:pPr>
              <w:shd w:val="clear"/>
              <w:jc w:val="center"/>
              <w:rPr>
                <w:rFonts w:hint="default" w:ascii="Times New Roman" w:hAnsi="Times New Roman" w:eastAsia="宋体" w:cs="Times New Roman"/>
                <w:i w:val="0"/>
                <w:iCs w:val="0"/>
                <w:color w:val="auto"/>
                <w:sz w:val="18"/>
                <w:szCs w:val="18"/>
                <w:highlight w:val="none"/>
                <w:u w:val="none"/>
              </w:rPr>
            </w:pPr>
          </w:p>
        </w:tc>
        <w:tc>
          <w:tcPr>
            <w:tcW w:w="354" w:type="pct"/>
            <w:tcBorders>
              <w:tl2br w:val="nil"/>
              <w:tr2bl w:val="nil"/>
            </w:tcBorders>
            <w:shd w:val="clear" w:color="auto" w:fill="auto"/>
            <w:noWrap/>
            <w:vAlign w:val="center"/>
          </w:tcPr>
          <w:p w14:paraId="4DD47A64">
            <w:pPr>
              <w:keepNext w:val="0"/>
              <w:keepLines w:val="0"/>
              <w:widowControl/>
              <w:suppressLineNumbers w:val="0"/>
              <w:shd w:val="clear"/>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10</w:t>
            </w:r>
          </w:p>
        </w:tc>
        <w:tc>
          <w:tcPr>
            <w:tcW w:w="246" w:type="pct"/>
            <w:tcBorders>
              <w:tl2br w:val="nil"/>
              <w:tr2bl w:val="nil"/>
            </w:tcBorders>
            <w:shd w:val="clear" w:color="auto" w:fill="auto"/>
            <w:noWrap/>
            <w:vAlign w:val="center"/>
          </w:tcPr>
          <w:p w14:paraId="7A97C1AC">
            <w:pPr>
              <w:keepNext w:val="0"/>
              <w:keepLines w:val="0"/>
              <w:widowControl/>
              <w:suppressLineNumbers w:val="0"/>
              <w:shd w:val="clear"/>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 xml:space="preserve">1.99 </w:t>
            </w:r>
          </w:p>
        </w:tc>
        <w:tc>
          <w:tcPr>
            <w:tcW w:w="344" w:type="pct"/>
            <w:tcBorders>
              <w:tl2br w:val="nil"/>
              <w:tr2bl w:val="nil"/>
            </w:tcBorders>
            <w:shd w:val="clear" w:color="auto" w:fill="auto"/>
            <w:vAlign w:val="center"/>
          </w:tcPr>
          <w:p w14:paraId="2C81CE47">
            <w:pPr>
              <w:keepNext w:val="0"/>
              <w:keepLines w:val="0"/>
              <w:widowControl/>
              <w:suppressLineNumbers w:val="0"/>
              <w:shd w:val="clear"/>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250</w:t>
            </w:r>
          </w:p>
        </w:tc>
      </w:tr>
      <w:tr w14:paraId="24592D5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1272" w:type="pct"/>
            <w:gridSpan w:val="2"/>
            <w:vMerge w:val="continue"/>
            <w:tcBorders>
              <w:tl2br w:val="nil"/>
              <w:tr2bl w:val="nil"/>
            </w:tcBorders>
            <w:shd w:val="clear" w:color="auto" w:fill="auto"/>
            <w:noWrap/>
            <w:vAlign w:val="center"/>
          </w:tcPr>
          <w:p w14:paraId="33C8D40A">
            <w:pPr>
              <w:shd w:val="clear"/>
              <w:jc w:val="center"/>
              <w:rPr>
                <w:rFonts w:hint="default" w:ascii="Times New Roman" w:hAnsi="Times New Roman" w:eastAsia="宋体" w:cs="Times New Roman"/>
                <w:i w:val="0"/>
                <w:iCs w:val="0"/>
                <w:color w:val="auto"/>
                <w:sz w:val="18"/>
                <w:szCs w:val="18"/>
                <w:highlight w:val="none"/>
                <w:u w:val="none"/>
              </w:rPr>
            </w:pPr>
          </w:p>
        </w:tc>
        <w:tc>
          <w:tcPr>
            <w:tcW w:w="273" w:type="pct"/>
            <w:tcBorders>
              <w:tl2br w:val="nil"/>
              <w:tr2bl w:val="nil"/>
            </w:tcBorders>
            <w:shd w:val="clear" w:color="auto" w:fill="auto"/>
            <w:noWrap/>
            <w:vAlign w:val="center"/>
          </w:tcPr>
          <w:p w14:paraId="027C18B0">
            <w:pPr>
              <w:keepNext w:val="0"/>
              <w:keepLines w:val="0"/>
              <w:widowControl/>
              <w:suppressLineNumbers w:val="0"/>
              <w:shd w:val="clear"/>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NH</w:t>
            </w:r>
            <w:r>
              <w:rPr>
                <w:rFonts w:hint="default" w:ascii="Times New Roman" w:hAnsi="Times New Roman" w:eastAsia="宋体" w:cs="Times New Roman"/>
                <w:i w:val="0"/>
                <w:iCs w:val="0"/>
                <w:color w:val="auto"/>
                <w:kern w:val="0"/>
                <w:sz w:val="18"/>
                <w:szCs w:val="18"/>
                <w:highlight w:val="none"/>
                <w:u w:val="none"/>
                <w:vertAlign w:val="subscript"/>
                <w:lang w:val="en-US" w:eastAsia="zh-CN" w:bidi="ar"/>
              </w:rPr>
              <w:t>3</w:t>
            </w:r>
            <w:r>
              <w:rPr>
                <w:rFonts w:hint="default" w:ascii="Times New Roman" w:hAnsi="Times New Roman" w:eastAsia="宋体" w:cs="Times New Roman"/>
                <w:i w:val="0"/>
                <w:iCs w:val="0"/>
                <w:color w:val="auto"/>
                <w:kern w:val="0"/>
                <w:sz w:val="18"/>
                <w:szCs w:val="18"/>
                <w:highlight w:val="none"/>
                <w:u w:val="none"/>
                <w:lang w:val="en-US" w:eastAsia="zh-CN" w:bidi="ar"/>
              </w:rPr>
              <w:t>-N</w:t>
            </w:r>
          </w:p>
        </w:tc>
        <w:tc>
          <w:tcPr>
            <w:tcW w:w="341" w:type="pct"/>
            <w:tcBorders>
              <w:tl2br w:val="nil"/>
              <w:tr2bl w:val="nil"/>
            </w:tcBorders>
            <w:shd w:val="clear" w:color="auto" w:fill="auto"/>
            <w:vAlign w:val="center"/>
          </w:tcPr>
          <w:p w14:paraId="6CA17585">
            <w:pPr>
              <w:keepNext w:val="0"/>
              <w:keepLines w:val="0"/>
              <w:widowControl/>
              <w:suppressLineNumbers w:val="0"/>
              <w:shd w:val="clear"/>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w:t>
            </w:r>
          </w:p>
        </w:tc>
        <w:tc>
          <w:tcPr>
            <w:tcW w:w="257" w:type="pct"/>
            <w:vMerge w:val="continue"/>
            <w:tcBorders>
              <w:tl2br w:val="nil"/>
              <w:tr2bl w:val="nil"/>
            </w:tcBorders>
            <w:shd w:val="clear" w:color="auto" w:fill="auto"/>
            <w:noWrap/>
            <w:vAlign w:val="center"/>
          </w:tcPr>
          <w:p w14:paraId="7AAF7B50">
            <w:pPr>
              <w:shd w:val="clear"/>
              <w:jc w:val="center"/>
              <w:rPr>
                <w:rFonts w:hint="default" w:ascii="Times New Roman" w:hAnsi="Times New Roman" w:eastAsia="宋体" w:cs="Times New Roman"/>
                <w:i w:val="0"/>
                <w:iCs w:val="0"/>
                <w:color w:val="auto"/>
                <w:sz w:val="18"/>
                <w:szCs w:val="18"/>
                <w:highlight w:val="none"/>
                <w:u w:val="none"/>
              </w:rPr>
            </w:pPr>
          </w:p>
        </w:tc>
        <w:tc>
          <w:tcPr>
            <w:tcW w:w="262" w:type="pct"/>
            <w:tcBorders>
              <w:tl2br w:val="nil"/>
              <w:tr2bl w:val="nil"/>
            </w:tcBorders>
            <w:shd w:val="clear" w:color="auto" w:fill="auto"/>
            <w:noWrap/>
            <w:vAlign w:val="center"/>
          </w:tcPr>
          <w:p w14:paraId="2004D0CD">
            <w:pPr>
              <w:keepNext w:val="0"/>
              <w:keepLines w:val="0"/>
              <w:widowControl/>
              <w:suppressLineNumbers w:val="0"/>
              <w:shd w:val="clear"/>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 xml:space="preserve">22.45 </w:t>
            </w:r>
          </w:p>
        </w:tc>
        <w:tc>
          <w:tcPr>
            <w:tcW w:w="256" w:type="pct"/>
            <w:tcBorders>
              <w:tl2br w:val="nil"/>
              <w:tr2bl w:val="nil"/>
            </w:tcBorders>
            <w:shd w:val="clear" w:color="auto" w:fill="auto"/>
            <w:noWrap/>
            <w:vAlign w:val="center"/>
          </w:tcPr>
          <w:p w14:paraId="5046F8F3">
            <w:pPr>
              <w:keepNext w:val="0"/>
              <w:keepLines w:val="0"/>
              <w:widowControl/>
              <w:suppressLineNumbers w:val="0"/>
              <w:shd w:val="clear"/>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 xml:space="preserve">4.47 </w:t>
            </w:r>
          </w:p>
        </w:tc>
        <w:tc>
          <w:tcPr>
            <w:tcW w:w="274" w:type="pct"/>
            <w:tcBorders>
              <w:tl2br w:val="nil"/>
              <w:tr2bl w:val="nil"/>
            </w:tcBorders>
            <w:shd w:val="clear" w:color="auto" w:fill="auto"/>
            <w:vAlign w:val="center"/>
          </w:tcPr>
          <w:p w14:paraId="78485794">
            <w:pPr>
              <w:keepNext w:val="0"/>
              <w:keepLines w:val="0"/>
              <w:widowControl/>
              <w:suppressLineNumbers w:val="0"/>
              <w:shd w:val="clear"/>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w:t>
            </w:r>
          </w:p>
        </w:tc>
        <w:tc>
          <w:tcPr>
            <w:tcW w:w="348" w:type="pct"/>
            <w:tcBorders>
              <w:tl2br w:val="nil"/>
              <w:tr2bl w:val="nil"/>
            </w:tcBorders>
            <w:shd w:val="clear" w:color="auto" w:fill="auto"/>
            <w:vAlign w:val="center"/>
          </w:tcPr>
          <w:p w14:paraId="5A363DAC">
            <w:pPr>
              <w:keepNext w:val="0"/>
              <w:keepLines w:val="0"/>
              <w:widowControl/>
              <w:suppressLineNumbers w:val="0"/>
              <w:shd w:val="clear"/>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w:t>
            </w:r>
          </w:p>
        </w:tc>
        <w:tc>
          <w:tcPr>
            <w:tcW w:w="341" w:type="pct"/>
            <w:tcBorders>
              <w:tl2br w:val="nil"/>
              <w:tr2bl w:val="nil"/>
            </w:tcBorders>
            <w:shd w:val="clear" w:color="auto" w:fill="auto"/>
            <w:vAlign w:val="center"/>
          </w:tcPr>
          <w:p w14:paraId="2109E634">
            <w:pPr>
              <w:keepNext w:val="0"/>
              <w:keepLines w:val="0"/>
              <w:widowControl/>
              <w:suppressLineNumbers w:val="0"/>
              <w:shd w:val="clear"/>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w:t>
            </w:r>
          </w:p>
        </w:tc>
        <w:tc>
          <w:tcPr>
            <w:tcW w:w="257" w:type="pct"/>
            <w:vMerge w:val="continue"/>
            <w:tcBorders>
              <w:tl2br w:val="nil"/>
              <w:tr2bl w:val="nil"/>
            </w:tcBorders>
            <w:shd w:val="clear" w:color="auto" w:fill="auto"/>
            <w:vAlign w:val="center"/>
          </w:tcPr>
          <w:p w14:paraId="28076C3C">
            <w:pPr>
              <w:shd w:val="clear"/>
              <w:jc w:val="center"/>
              <w:rPr>
                <w:rFonts w:hint="default" w:ascii="Times New Roman" w:hAnsi="Times New Roman" w:eastAsia="宋体" w:cs="Times New Roman"/>
                <w:i w:val="0"/>
                <w:iCs w:val="0"/>
                <w:color w:val="auto"/>
                <w:sz w:val="18"/>
                <w:szCs w:val="18"/>
                <w:highlight w:val="none"/>
                <w:u w:val="none"/>
              </w:rPr>
            </w:pPr>
          </w:p>
        </w:tc>
        <w:tc>
          <w:tcPr>
            <w:tcW w:w="354" w:type="pct"/>
            <w:tcBorders>
              <w:tl2br w:val="nil"/>
              <w:tr2bl w:val="nil"/>
            </w:tcBorders>
            <w:shd w:val="clear" w:color="auto" w:fill="auto"/>
            <w:noWrap/>
            <w:vAlign w:val="center"/>
          </w:tcPr>
          <w:p w14:paraId="39980D9D">
            <w:pPr>
              <w:keepNext w:val="0"/>
              <w:keepLines w:val="0"/>
              <w:widowControl/>
              <w:suppressLineNumbers w:val="0"/>
              <w:shd w:val="clear"/>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2 (4)</w:t>
            </w:r>
          </w:p>
        </w:tc>
        <w:tc>
          <w:tcPr>
            <w:tcW w:w="246" w:type="pct"/>
            <w:tcBorders>
              <w:tl2br w:val="nil"/>
              <w:tr2bl w:val="nil"/>
            </w:tcBorders>
            <w:shd w:val="clear" w:color="auto" w:fill="auto"/>
            <w:noWrap/>
            <w:vAlign w:val="center"/>
          </w:tcPr>
          <w:p w14:paraId="26686184">
            <w:pPr>
              <w:keepNext w:val="0"/>
              <w:keepLines w:val="0"/>
              <w:widowControl/>
              <w:suppressLineNumbers w:val="0"/>
              <w:shd w:val="clear"/>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0.4</w:t>
            </w:r>
          </w:p>
          <w:p w14:paraId="25911BE0">
            <w:pPr>
              <w:keepNext w:val="0"/>
              <w:keepLines w:val="0"/>
              <w:widowControl/>
              <w:suppressLineNumbers w:val="0"/>
              <w:shd w:val="clear"/>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 xml:space="preserve">(0.8) </w:t>
            </w:r>
          </w:p>
        </w:tc>
        <w:tc>
          <w:tcPr>
            <w:tcW w:w="344" w:type="pct"/>
            <w:tcBorders>
              <w:tl2br w:val="nil"/>
              <w:tr2bl w:val="nil"/>
            </w:tcBorders>
            <w:shd w:val="clear" w:color="auto" w:fill="auto"/>
            <w:vAlign w:val="center"/>
          </w:tcPr>
          <w:p w14:paraId="0B850544">
            <w:pPr>
              <w:keepNext w:val="0"/>
              <w:keepLines w:val="0"/>
              <w:widowControl/>
              <w:suppressLineNumbers w:val="0"/>
              <w:shd w:val="clear"/>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250</w:t>
            </w:r>
          </w:p>
        </w:tc>
      </w:tr>
    </w:tbl>
    <w:p w14:paraId="2DE8757E">
      <w:pPr>
        <w:adjustRightInd w:val="0"/>
        <w:snapToGrid w:val="0"/>
        <w:rPr>
          <w:b/>
          <w:bCs/>
          <w:color w:val="auto"/>
          <w:spacing w:val="-10"/>
          <w:szCs w:val="21"/>
          <w:highlight w:val="none"/>
        </w:rPr>
      </w:pPr>
    </w:p>
    <w:p w14:paraId="18BB044C">
      <w:pPr>
        <w:numPr>
          <w:ilvl w:val="0"/>
          <w:numId w:val="8"/>
        </w:numPr>
        <w:spacing w:line="360" w:lineRule="auto"/>
        <w:jc w:val="center"/>
        <w:rPr>
          <w:rFonts w:hint="default" w:ascii="Times New Roman" w:hAnsi="Times New Roman" w:eastAsia="黑体" w:cs="Times New Roman"/>
          <w:b w:val="0"/>
          <w:bCs w:val="0"/>
          <w:color w:val="auto"/>
          <w:highlight w:val="none"/>
        </w:rPr>
      </w:pPr>
      <w:r>
        <w:rPr>
          <w:rFonts w:hint="default" w:ascii="Times New Roman" w:hAnsi="Times New Roman" w:eastAsia="黑体" w:cs="Times New Roman"/>
          <w:b w:val="0"/>
          <w:bCs w:val="0"/>
          <w:color w:val="auto"/>
          <w:highlight w:val="none"/>
          <w:lang w:val="en-US" w:eastAsia="zh-CN"/>
        </w:rPr>
        <w:t xml:space="preserve"> </w:t>
      </w:r>
      <w:r>
        <w:rPr>
          <w:rFonts w:hint="default" w:ascii="Times New Roman" w:hAnsi="Times New Roman" w:eastAsia="黑体" w:cs="Times New Roman"/>
          <w:b w:val="0"/>
          <w:bCs w:val="0"/>
          <w:color w:val="auto"/>
          <w:highlight w:val="none"/>
        </w:rPr>
        <w:t>废水类别、污染物及污染治理设施信息一览表</w:t>
      </w:r>
    </w:p>
    <w:tbl>
      <w:tblPr>
        <w:tblStyle w:val="24"/>
        <w:tblW w:w="5002"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0" w:type="dxa"/>
          <w:bottom w:w="0" w:type="dxa"/>
          <w:right w:w="0" w:type="dxa"/>
        </w:tblCellMar>
      </w:tblPr>
      <w:tblGrid>
        <w:gridCol w:w="413"/>
        <w:gridCol w:w="1689"/>
        <w:gridCol w:w="1086"/>
        <w:gridCol w:w="868"/>
        <w:gridCol w:w="2292"/>
        <w:gridCol w:w="920"/>
        <w:gridCol w:w="1227"/>
        <w:gridCol w:w="1214"/>
        <w:gridCol w:w="1086"/>
        <w:gridCol w:w="1126"/>
        <w:gridCol w:w="1064"/>
      </w:tblGrid>
      <w:tr w14:paraId="4DFAA90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159" w:type="pct"/>
            <w:vMerge w:val="restart"/>
            <w:tcBorders>
              <w:tl2br w:val="nil"/>
              <w:tr2bl w:val="nil"/>
            </w:tcBorders>
            <w:vAlign w:val="center"/>
          </w:tcPr>
          <w:p w14:paraId="72F0B881">
            <w:pPr>
              <w:adjustRightInd w:val="0"/>
              <w:snapToGrid w:val="0"/>
              <w:contextualSpacing/>
              <w:jc w:val="center"/>
              <w:rPr>
                <w:color w:val="auto"/>
                <w:sz w:val="18"/>
                <w:szCs w:val="18"/>
                <w:highlight w:val="none"/>
                <w:lang w:val="zh-CN"/>
              </w:rPr>
            </w:pPr>
            <w:r>
              <w:rPr>
                <w:color w:val="auto"/>
                <w:sz w:val="18"/>
                <w:szCs w:val="18"/>
                <w:highlight w:val="none"/>
                <w:lang w:val="zh-CN"/>
              </w:rPr>
              <w:t>序号</w:t>
            </w:r>
          </w:p>
        </w:tc>
        <w:tc>
          <w:tcPr>
            <w:tcW w:w="650" w:type="pct"/>
            <w:vMerge w:val="restart"/>
            <w:tcBorders>
              <w:tl2br w:val="nil"/>
              <w:tr2bl w:val="nil"/>
            </w:tcBorders>
            <w:vAlign w:val="center"/>
          </w:tcPr>
          <w:p w14:paraId="272B6A7B">
            <w:pPr>
              <w:adjustRightInd w:val="0"/>
              <w:snapToGrid w:val="0"/>
              <w:contextualSpacing/>
              <w:jc w:val="center"/>
              <w:rPr>
                <w:color w:val="auto"/>
                <w:sz w:val="18"/>
                <w:szCs w:val="18"/>
                <w:highlight w:val="none"/>
                <w:lang w:val="zh-CN"/>
              </w:rPr>
            </w:pPr>
            <w:r>
              <w:rPr>
                <w:color w:val="auto"/>
                <w:sz w:val="18"/>
                <w:szCs w:val="18"/>
                <w:highlight w:val="none"/>
                <w:lang w:val="zh-CN"/>
              </w:rPr>
              <w:t>废水类别</w:t>
            </w:r>
          </w:p>
        </w:tc>
        <w:tc>
          <w:tcPr>
            <w:tcW w:w="418" w:type="pct"/>
            <w:vMerge w:val="restart"/>
            <w:tcBorders>
              <w:tl2br w:val="nil"/>
              <w:tr2bl w:val="nil"/>
            </w:tcBorders>
            <w:vAlign w:val="center"/>
          </w:tcPr>
          <w:p w14:paraId="2DC162F8">
            <w:pPr>
              <w:adjustRightInd w:val="0"/>
              <w:snapToGrid w:val="0"/>
              <w:contextualSpacing/>
              <w:jc w:val="center"/>
              <w:rPr>
                <w:color w:val="auto"/>
                <w:sz w:val="18"/>
                <w:szCs w:val="18"/>
                <w:highlight w:val="none"/>
                <w:lang w:val="zh-CN"/>
              </w:rPr>
            </w:pPr>
            <w:r>
              <w:rPr>
                <w:color w:val="auto"/>
                <w:sz w:val="18"/>
                <w:szCs w:val="18"/>
                <w:highlight w:val="none"/>
                <w:lang w:val="zh-CN"/>
              </w:rPr>
              <w:t>污染物种类</w:t>
            </w:r>
          </w:p>
        </w:tc>
        <w:tc>
          <w:tcPr>
            <w:tcW w:w="334" w:type="pct"/>
            <w:vMerge w:val="restart"/>
            <w:tcBorders>
              <w:tl2br w:val="nil"/>
              <w:tr2bl w:val="nil"/>
            </w:tcBorders>
            <w:vAlign w:val="center"/>
          </w:tcPr>
          <w:p w14:paraId="0D694339">
            <w:pPr>
              <w:adjustRightInd w:val="0"/>
              <w:snapToGrid w:val="0"/>
              <w:contextualSpacing/>
              <w:jc w:val="center"/>
              <w:rPr>
                <w:color w:val="auto"/>
                <w:sz w:val="18"/>
                <w:szCs w:val="18"/>
                <w:highlight w:val="none"/>
                <w:lang w:val="zh-CN"/>
              </w:rPr>
            </w:pPr>
            <w:r>
              <w:rPr>
                <w:color w:val="auto"/>
                <w:sz w:val="18"/>
                <w:szCs w:val="18"/>
                <w:highlight w:val="none"/>
                <w:lang w:val="zh-CN"/>
              </w:rPr>
              <w:t>排放去向</w:t>
            </w:r>
          </w:p>
        </w:tc>
        <w:tc>
          <w:tcPr>
            <w:tcW w:w="882" w:type="pct"/>
            <w:vMerge w:val="restart"/>
            <w:tcBorders>
              <w:tl2br w:val="nil"/>
              <w:tr2bl w:val="nil"/>
            </w:tcBorders>
            <w:vAlign w:val="center"/>
          </w:tcPr>
          <w:p w14:paraId="306C6B05">
            <w:pPr>
              <w:adjustRightInd w:val="0"/>
              <w:snapToGrid w:val="0"/>
              <w:contextualSpacing/>
              <w:jc w:val="center"/>
              <w:rPr>
                <w:color w:val="auto"/>
                <w:sz w:val="18"/>
                <w:szCs w:val="18"/>
                <w:highlight w:val="none"/>
                <w:lang w:val="zh-CN"/>
              </w:rPr>
            </w:pPr>
            <w:r>
              <w:rPr>
                <w:color w:val="auto"/>
                <w:sz w:val="18"/>
                <w:szCs w:val="18"/>
                <w:highlight w:val="none"/>
                <w:lang w:val="zh-CN"/>
              </w:rPr>
              <w:t>排放规律</w:t>
            </w:r>
          </w:p>
        </w:tc>
        <w:tc>
          <w:tcPr>
            <w:tcW w:w="1293" w:type="pct"/>
            <w:gridSpan w:val="3"/>
            <w:tcBorders>
              <w:tl2br w:val="nil"/>
              <w:tr2bl w:val="nil"/>
            </w:tcBorders>
            <w:vAlign w:val="center"/>
          </w:tcPr>
          <w:p w14:paraId="4B13DFF5">
            <w:pPr>
              <w:adjustRightInd w:val="0"/>
              <w:snapToGrid w:val="0"/>
              <w:contextualSpacing/>
              <w:jc w:val="center"/>
              <w:rPr>
                <w:color w:val="auto"/>
                <w:sz w:val="18"/>
                <w:szCs w:val="18"/>
                <w:highlight w:val="none"/>
                <w:lang w:val="zh-CN"/>
              </w:rPr>
            </w:pPr>
            <w:r>
              <w:rPr>
                <w:color w:val="auto"/>
                <w:sz w:val="18"/>
                <w:szCs w:val="18"/>
                <w:highlight w:val="none"/>
                <w:lang w:val="zh-CN"/>
              </w:rPr>
              <w:t>污染治理设施</w:t>
            </w:r>
          </w:p>
        </w:tc>
        <w:tc>
          <w:tcPr>
            <w:tcW w:w="418" w:type="pct"/>
            <w:vMerge w:val="restart"/>
            <w:tcBorders>
              <w:tl2br w:val="nil"/>
              <w:tr2bl w:val="nil"/>
            </w:tcBorders>
            <w:vAlign w:val="center"/>
          </w:tcPr>
          <w:p w14:paraId="7589F49B">
            <w:pPr>
              <w:adjustRightInd w:val="0"/>
              <w:snapToGrid w:val="0"/>
              <w:contextualSpacing/>
              <w:jc w:val="center"/>
              <w:rPr>
                <w:color w:val="auto"/>
                <w:sz w:val="18"/>
                <w:szCs w:val="18"/>
                <w:highlight w:val="none"/>
                <w:lang w:val="zh-CN"/>
              </w:rPr>
            </w:pPr>
            <w:r>
              <w:rPr>
                <w:color w:val="auto"/>
                <w:sz w:val="18"/>
                <w:szCs w:val="18"/>
                <w:highlight w:val="none"/>
                <w:lang w:val="zh-CN"/>
              </w:rPr>
              <w:t>排放口编号</w:t>
            </w:r>
          </w:p>
        </w:tc>
        <w:tc>
          <w:tcPr>
            <w:tcW w:w="433" w:type="pct"/>
            <w:vMerge w:val="restart"/>
            <w:tcBorders>
              <w:tl2br w:val="nil"/>
              <w:tr2bl w:val="nil"/>
            </w:tcBorders>
            <w:vAlign w:val="center"/>
          </w:tcPr>
          <w:p w14:paraId="2B83EA41">
            <w:pPr>
              <w:adjustRightInd w:val="0"/>
              <w:snapToGrid w:val="0"/>
              <w:contextualSpacing/>
              <w:jc w:val="center"/>
              <w:rPr>
                <w:color w:val="auto"/>
                <w:sz w:val="18"/>
                <w:szCs w:val="18"/>
                <w:highlight w:val="none"/>
                <w:lang w:val="zh-CN"/>
              </w:rPr>
            </w:pPr>
            <w:r>
              <w:rPr>
                <w:color w:val="auto"/>
                <w:sz w:val="18"/>
                <w:szCs w:val="18"/>
                <w:highlight w:val="none"/>
                <w:lang w:val="zh-CN"/>
              </w:rPr>
              <w:t>排放口设置</w:t>
            </w:r>
          </w:p>
          <w:p w14:paraId="61BD8B9E">
            <w:pPr>
              <w:adjustRightInd w:val="0"/>
              <w:snapToGrid w:val="0"/>
              <w:contextualSpacing/>
              <w:jc w:val="center"/>
              <w:rPr>
                <w:color w:val="auto"/>
                <w:sz w:val="18"/>
                <w:szCs w:val="18"/>
                <w:highlight w:val="none"/>
                <w:lang w:val="zh-CN"/>
              </w:rPr>
            </w:pPr>
            <w:r>
              <w:rPr>
                <w:color w:val="auto"/>
                <w:sz w:val="18"/>
                <w:szCs w:val="18"/>
                <w:highlight w:val="none"/>
                <w:lang w:val="zh-CN"/>
              </w:rPr>
              <w:t>是否符合要求</w:t>
            </w:r>
          </w:p>
        </w:tc>
        <w:tc>
          <w:tcPr>
            <w:tcW w:w="409" w:type="pct"/>
            <w:vMerge w:val="restart"/>
            <w:tcBorders>
              <w:tl2br w:val="nil"/>
              <w:tr2bl w:val="nil"/>
            </w:tcBorders>
            <w:vAlign w:val="center"/>
          </w:tcPr>
          <w:p w14:paraId="72361985">
            <w:pPr>
              <w:adjustRightInd w:val="0"/>
              <w:snapToGrid w:val="0"/>
              <w:contextualSpacing/>
              <w:jc w:val="center"/>
              <w:rPr>
                <w:color w:val="auto"/>
                <w:sz w:val="18"/>
                <w:szCs w:val="18"/>
                <w:highlight w:val="none"/>
                <w:lang w:val="zh-CN"/>
              </w:rPr>
            </w:pPr>
            <w:r>
              <w:rPr>
                <w:color w:val="auto"/>
                <w:sz w:val="18"/>
                <w:szCs w:val="18"/>
                <w:highlight w:val="none"/>
                <w:lang w:val="zh-CN"/>
              </w:rPr>
              <w:t>排放口类型</w:t>
            </w:r>
          </w:p>
        </w:tc>
      </w:tr>
      <w:tr w14:paraId="787AD33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159" w:type="pct"/>
            <w:vMerge w:val="continue"/>
            <w:tcBorders>
              <w:tl2br w:val="nil"/>
              <w:tr2bl w:val="nil"/>
            </w:tcBorders>
            <w:vAlign w:val="center"/>
          </w:tcPr>
          <w:p w14:paraId="4C4C6569">
            <w:pPr>
              <w:adjustRightInd w:val="0"/>
              <w:snapToGrid w:val="0"/>
              <w:contextualSpacing/>
              <w:jc w:val="center"/>
              <w:rPr>
                <w:color w:val="auto"/>
                <w:sz w:val="18"/>
                <w:szCs w:val="18"/>
                <w:highlight w:val="none"/>
                <w:lang w:val="zh-CN"/>
              </w:rPr>
            </w:pPr>
          </w:p>
        </w:tc>
        <w:tc>
          <w:tcPr>
            <w:tcW w:w="650" w:type="pct"/>
            <w:vMerge w:val="continue"/>
            <w:tcBorders>
              <w:tl2br w:val="nil"/>
              <w:tr2bl w:val="nil"/>
            </w:tcBorders>
            <w:vAlign w:val="center"/>
          </w:tcPr>
          <w:p w14:paraId="453EFEF7">
            <w:pPr>
              <w:adjustRightInd w:val="0"/>
              <w:snapToGrid w:val="0"/>
              <w:contextualSpacing/>
              <w:jc w:val="center"/>
              <w:rPr>
                <w:color w:val="auto"/>
                <w:sz w:val="18"/>
                <w:szCs w:val="18"/>
                <w:highlight w:val="none"/>
                <w:lang w:val="zh-CN"/>
              </w:rPr>
            </w:pPr>
          </w:p>
        </w:tc>
        <w:tc>
          <w:tcPr>
            <w:tcW w:w="418" w:type="pct"/>
            <w:vMerge w:val="continue"/>
            <w:tcBorders>
              <w:tl2br w:val="nil"/>
              <w:tr2bl w:val="nil"/>
            </w:tcBorders>
            <w:vAlign w:val="center"/>
          </w:tcPr>
          <w:p w14:paraId="35A7BE6E">
            <w:pPr>
              <w:adjustRightInd w:val="0"/>
              <w:snapToGrid w:val="0"/>
              <w:contextualSpacing/>
              <w:jc w:val="center"/>
              <w:rPr>
                <w:color w:val="auto"/>
                <w:sz w:val="18"/>
                <w:szCs w:val="18"/>
                <w:highlight w:val="none"/>
                <w:lang w:val="zh-CN"/>
              </w:rPr>
            </w:pPr>
          </w:p>
        </w:tc>
        <w:tc>
          <w:tcPr>
            <w:tcW w:w="334" w:type="pct"/>
            <w:vMerge w:val="continue"/>
            <w:tcBorders>
              <w:tl2br w:val="nil"/>
              <w:tr2bl w:val="nil"/>
            </w:tcBorders>
            <w:vAlign w:val="center"/>
          </w:tcPr>
          <w:p w14:paraId="4DCF54DC">
            <w:pPr>
              <w:adjustRightInd w:val="0"/>
              <w:snapToGrid w:val="0"/>
              <w:contextualSpacing/>
              <w:jc w:val="center"/>
              <w:rPr>
                <w:color w:val="auto"/>
                <w:sz w:val="18"/>
                <w:szCs w:val="18"/>
                <w:highlight w:val="none"/>
                <w:lang w:val="zh-CN"/>
              </w:rPr>
            </w:pPr>
          </w:p>
        </w:tc>
        <w:tc>
          <w:tcPr>
            <w:tcW w:w="882" w:type="pct"/>
            <w:vMerge w:val="continue"/>
            <w:tcBorders>
              <w:tl2br w:val="nil"/>
              <w:tr2bl w:val="nil"/>
            </w:tcBorders>
            <w:vAlign w:val="center"/>
          </w:tcPr>
          <w:p w14:paraId="6236C143">
            <w:pPr>
              <w:adjustRightInd w:val="0"/>
              <w:snapToGrid w:val="0"/>
              <w:contextualSpacing/>
              <w:jc w:val="center"/>
              <w:rPr>
                <w:color w:val="auto"/>
                <w:sz w:val="18"/>
                <w:szCs w:val="18"/>
                <w:highlight w:val="none"/>
                <w:lang w:val="zh-CN"/>
              </w:rPr>
            </w:pPr>
          </w:p>
        </w:tc>
        <w:tc>
          <w:tcPr>
            <w:tcW w:w="354" w:type="pct"/>
            <w:tcBorders>
              <w:tl2br w:val="nil"/>
              <w:tr2bl w:val="nil"/>
            </w:tcBorders>
            <w:vAlign w:val="center"/>
          </w:tcPr>
          <w:p w14:paraId="51E0DC89">
            <w:pPr>
              <w:adjustRightInd w:val="0"/>
              <w:snapToGrid w:val="0"/>
              <w:contextualSpacing/>
              <w:jc w:val="center"/>
              <w:rPr>
                <w:color w:val="auto"/>
                <w:sz w:val="18"/>
                <w:szCs w:val="18"/>
                <w:highlight w:val="none"/>
                <w:lang w:val="zh-CN"/>
              </w:rPr>
            </w:pPr>
            <w:r>
              <w:rPr>
                <w:color w:val="auto"/>
                <w:sz w:val="18"/>
                <w:szCs w:val="18"/>
                <w:highlight w:val="none"/>
                <w:lang w:val="zh-CN"/>
              </w:rPr>
              <w:t>编号</w:t>
            </w:r>
          </w:p>
        </w:tc>
        <w:tc>
          <w:tcPr>
            <w:tcW w:w="472" w:type="pct"/>
            <w:tcBorders>
              <w:tl2br w:val="nil"/>
              <w:tr2bl w:val="nil"/>
            </w:tcBorders>
            <w:vAlign w:val="center"/>
          </w:tcPr>
          <w:p w14:paraId="54AD6D58">
            <w:pPr>
              <w:adjustRightInd w:val="0"/>
              <w:snapToGrid w:val="0"/>
              <w:contextualSpacing/>
              <w:jc w:val="center"/>
              <w:rPr>
                <w:color w:val="auto"/>
                <w:sz w:val="18"/>
                <w:szCs w:val="18"/>
                <w:highlight w:val="none"/>
                <w:lang w:val="zh-CN"/>
              </w:rPr>
            </w:pPr>
            <w:r>
              <w:rPr>
                <w:color w:val="auto"/>
                <w:sz w:val="18"/>
                <w:szCs w:val="18"/>
                <w:highlight w:val="none"/>
                <w:lang w:val="zh-CN"/>
              </w:rPr>
              <w:t>名称</w:t>
            </w:r>
          </w:p>
        </w:tc>
        <w:tc>
          <w:tcPr>
            <w:tcW w:w="466" w:type="pct"/>
            <w:tcBorders>
              <w:tl2br w:val="nil"/>
              <w:tr2bl w:val="nil"/>
            </w:tcBorders>
            <w:vAlign w:val="center"/>
          </w:tcPr>
          <w:p w14:paraId="1F7CCB33">
            <w:pPr>
              <w:adjustRightInd w:val="0"/>
              <w:snapToGrid w:val="0"/>
              <w:contextualSpacing/>
              <w:jc w:val="center"/>
              <w:rPr>
                <w:color w:val="auto"/>
                <w:sz w:val="18"/>
                <w:szCs w:val="18"/>
                <w:highlight w:val="none"/>
                <w:lang w:val="zh-CN"/>
              </w:rPr>
            </w:pPr>
            <w:r>
              <w:rPr>
                <w:color w:val="auto"/>
                <w:sz w:val="18"/>
                <w:szCs w:val="18"/>
                <w:highlight w:val="none"/>
                <w:lang w:val="zh-CN"/>
              </w:rPr>
              <w:t>工艺</w:t>
            </w:r>
          </w:p>
        </w:tc>
        <w:tc>
          <w:tcPr>
            <w:tcW w:w="418" w:type="pct"/>
            <w:vMerge w:val="continue"/>
            <w:tcBorders>
              <w:tl2br w:val="nil"/>
              <w:tr2bl w:val="nil"/>
            </w:tcBorders>
            <w:vAlign w:val="center"/>
          </w:tcPr>
          <w:p w14:paraId="2009BBFA">
            <w:pPr>
              <w:adjustRightInd w:val="0"/>
              <w:snapToGrid w:val="0"/>
              <w:contextualSpacing/>
              <w:jc w:val="center"/>
              <w:rPr>
                <w:color w:val="auto"/>
                <w:sz w:val="18"/>
                <w:szCs w:val="18"/>
                <w:highlight w:val="none"/>
                <w:lang w:val="zh-CN"/>
              </w:rPr>
            </w:pPr>
          </w:p>
        </w:tc>
        <w:tc>
          <w:tcPr>
            <w:tcW w:w="433" w:type="pct"/>
            <w:vMerge w:val="continue"/>
            <w:tcBorders>
              <w:tl2br w:val="nil"/>
              <w:tr2bl w:val="nil"/>
            </w:tcBorders>
            <w:vAlign w:val="center"/>
          </w:tcPr>
          <w:p w14:paraId="12ABCFFD">
            <w:pPr>
              <w:adjustRightInd w:val="0"/>
              <w:snapToGrid w:val="0"/>
              <w:contextualSpacing/>
              <w:jc w:val="center"/>
              <w:rPr>
                <w:color w:val="auto"/>
                <w:sz w:val="18"/>
                <w:szCs w:val="18"/>
                <w:highlight w:val="none"/>
                <w:lang w:val="zh-CN"/>
              </w:rPr>
            </w:pPr>
          </w:p>
        </w:tc>
        <w:tc>
          <w:tcPr>
            <w:tcW w:w="409" w:type="pct"/>
            <w:vMerge w:val="continue"/>
            <w:tcBorders>
              <w:tl2br w:val="nil"/>
              <w:tr2bl w:val="nil"/>
            </w:tcBorders>
            <w:vAlign w:val="center"/>
          </w:tcPr>
          <w:p w14:paraId="4000DB11">
            <w:pPr>
              <w:adjustRightInd w:val="0"/>
              <w:snapToGrid w:val="0"/>
              <w:contextualSpacing/>
              <w:jc w:val="center"/>
              <w:rPr>
                <w:color w:val="auto"/>
                <w:sz w:val="18"/>
                <w:szCs w:val="18"/>
                <w:highlight w:val="none"/>
                <w:lang w:val="zh-CN"/>
              </w:rPr>
            </w:pPr>
          </w:p>
        </w:tc>
      </w:tr>
      <w:tr w14:paraId="6057F17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159" w:type="pct"/>
            <w:tcBorders>
              <w:tl2br w:val="nil"/>
              <w:tr2bl w:val="nil"/>
            </w:tcBorders>
            <w:vAlign w:val="center"/>
          </w:tcPr>
          <w:p w14:paraId="1594617C">
            <w:pPr>
              <w:adjustRightInd w:val="0"/>
              <w:snapToGrid w:val="0"/>
              <w:contextualSpacing/>
              <w:jc w:val="center"/>
              <w:rPr>
                <w:color w:val="auto"/>
                <w:sz w:val="18"/>
                <w:szCs w:val="18"/>
                <w:highlight w:val="none"/>
                <w:lang w:val="zh-CN"/>
              </w:rPr>
            </w:pPr>
            <w:r>
              <w:rPr>
                <w:color w:val="auto"/>
                <w:sz w:val="18"/>
                <w:szCs w:val="18"/>
                <w:highlight w:val="none"/>
                <w:lang w:val="zh-CN"/>
              </w:rPr>
              <w:t>1</w:t>
            </w:r>
          </w:p>
        </w:tc>
        <w:tc>
          <w:tcPr>
            <w:tcW w:w="650" w:type="pct"/>
            <w:tcBorders>
              <w:tl2br w:val="nil"/>
              <w:tr2bl w:val="nil"/>
            </w:tcBorders>
            <w:vAlign w:val="center"/>
          </w:tcPr>
          <w:p w14:paraId="20730642">
            <w:pPr>
              <w:adjustRightInd w:val="0"/>
              <w:snapToGrid w:val="0"/>
              <w:jc w:val="center"/>
              <w:rPr>
                <w:color w:val="auto"/>
                <w:sz w:val="18"/>
                <w:szCs w:val="18"/>
                <w:highlight w:val="none"/>
              </w:rPr>
            </w:pPr>
            <w:r>
              <w:rPr>
                <w:color w:val="auto"/>
                <w:sz w:val="18"/>
                <w:szCs w:val="18"/>
                <w:highlight w:val="none"/>
              </w:rPr>
              <w:t>生产废水</w:t>
            </w:r>
          </w:p>
        </w:tc>
        <w:tc>
          <w:tcPr>
            <w:tcW w:w="418" w:type="pct"/>
            <w:tcBorders>
              <w:tl2br w:val="nil"/>
              <w:tr2bl w:val="nil"/>
            </w:tcBorders>
            <w:vAlign w:val="center"/>
          </w:tcPr>
          <w:p w14:paraId="19E75EF7">
            <w:pPr>
              <w:autoSpaceDE w:val="0"/>
              <w:autoSpaceDN w:val="0"/>
              <w:adjustRightInd w:val="0"/>
              <w:snapToGrid w:val="0"/>
              <w:jc w:val="center"/>
              <w:rPr>
                <w:color w:val="auto"/>
                <w:sz w:val="18"/>
                <w:szCs w:val="18"/>
                <w:highlight w:val="none"/>
              </w:rPr>
            </w:pPr>
            <w:r>
              <w:rPr>
                <w:color w:val="auto"/>
                <w:sz w:val="18"/>
                <w:szCs w:val="18"/>
                <w:highlight w:val="none"/>
              </w:rPr>
              <w:t>COD、SS、TP</w:t>
            </w:r>
          </w:p>
        </w:tc>
        <w:tc>
          <w:tcPr>
            <w:tcW w:w="334" w:type="pct"/>
            <w:vMerge w:val="restart"/>
            <w:tcBorders>
              <w:tl2br w:val="nil"/>
              <w:tr2bl w:val="nil"/>
            </w:tcBorders>
            <w:vAlign w:val="center"/>
          </w:tcPr>
          <w:p w14:paraId="2ED04F69">
            <w:pPr>
              <w:adjustRightInd w:val="0"/>
              <w:snapToGrid w:val="0"/>
              <w:jc w:val="center"/>
              <w:rPr>
                <w:color w:val="auto"/>
                <w:sz w:val="18"/>
                <w:szCs w:val="18"/>
                <w:highlight w:val="none"/>
                <w:lang w:val="zh-CN"/>
              </w:rPr>
            </w:pPr>
            <w:r>
              <w:rPr>
                <w:color w:val="auto"/>
                <w:sz w:val="18"/>
                <w:szCs w:val="18"/>
                <w:highlight w:val="none"/>
              </w:rPr>
              <w:t>良渚污水处理厂</w:t>
            </w:r>
          </w:p>
        </w:tc>
        <w:tc>
          <w:tcPr>
            <w:tcW w:w="882" w:type="pct"/>
            <w:vMerge w:val="restart"/>
            <w:tcBorders>
              <w:tl2br w:val="nil"/>
              <w:tr2bl w:val="nil"/>
            </w:tcBorders>
            <w:vAlign w:val="center"/>
          </w:tcPr>
          <w:p w14:paraId="4C5FC8F0">
            <w:pPr>
              <w:adjustRightInd w:val="0"/>
              <w:snapToGrid w:val="0"/>
              <w:jc w:val="center"/>
              <w:rPr>
                <w:color w:val="auto"/>
                <w:sz w:val="18"/>
                <w:szCs w:val="18"/>
                <w:highlight w:val="none"/>
                <w:lang w:val="zh-CN"/>
              </w:rPr>
            </w:pPr>
            <w:r>
              <w:rPr>
                <w:color w:val="auto"/>
                <w:sz w:val="18"/>
                <w:szCs w:val="18"/>
                <w:highlight w:val="none"/>
              </w:rPr>
              <w:t>间断排放，流量不稳定且无规律，但不属于冲击型排放</w:t>
            </w:r>
          </w:p>
        </w:tc>
        <w:tc>
          <w:tcPr>
            <w:tcW w:w="354" w:type="pct"/>
            <w:tcBorders>
              <w:tl2br w:val="nil"/>
              <w:tr2bl w:val="nil"/>
            </w:tcBorders>
            <w:vAlign w:val="center"/>
          </w:tcPr>
          <w:p w14:paraId="247E4E4A">
            <w:pPr>
              <w:adjustRightInd w:val="0"/>
              <w:snapToGrid w:val="0"/>
              <w:jc w:val="center"/>
              <w:rPr>
                <w:color w:val="auto"/>
                <w:sz w:val="18"/>
                <w:szCs w:val="18"/>
                <w:highlight w:val="none"/>
                <w:lang w:val="zh-CN"/>
              </w:rPr>
            </w:pPr>
            <w:r>
              <w:rPr>
                <w:color w:val="auto"/>
                <w:sz w:val="18"/>
                <w:szCs w:val="18"/>
                <w:highlight w:val="none"/>
              </w:rPr>
              <w:t>TW001</w:t>
            </w:r>
          </w:p>
        </w:tc>
        <w:tc>
          <w:tcPr>
            <w:tcW w:w="472" w:type="pct"/>
            <w:tcBorders>
              <w:tl2br w:val="nil"/>
              <w:tr2bl w:val="nil"/>
            </w:tcBorders>
            <w:vAlign w:val="center"/>
          </w:tcPr>
          <w:p w14:paraId="3D479932">
            <w:pPr>
              <w:adjustRightInd w:val="0"/>
              <w:snapToGrid w:val="0"/>
              <w:jc w:val="center"/>
              <w:rPr>
                <w:color w:val="auto"/>
                <w:sz w:val="18"/>
                <w:szCs w:val="18"/>
                <w:highlight w:val="none"/>
              </w:rPr>
            </w:pPr>
            <w:r>
              <w:rPr>
                <w:rFonts w:hint="default"/>
                <w:color w:val="auto"/>
                <w:sz w:val="18"/>
                <w:szCs w:val="18"/>
                <w:highlight w:val="none"/>
              </w:rPr>
              <w:t>1.2×0.8×0.8 m</w:t>
            </w:r>
            <w:r>
              <w:rPr>
                <w:color w:val="auto"/>
                <w:sz w:val="18"/>
                <w:szCs w:val="18"/>
                <w:highlight w:val="none"/>
              </w:rPr>
              <w:t>沉淀池</w:t>
            </w:r>
          </w:p>
        </w:tc>
        <w:tc>
          <w:tcPr>
            <w:tcW w:w="466" w:type="pct"/>
            <w:tcBorders>
              <w:tl2br w:val="nil"/>
              <w:tr2bl w:val="nil"/>
            </w:tcBorders>
            <w:vAlign w:val="center"/>
          </w:tcPr>
          <w:p w14:paraId="23BE360C">
            <w:pPr>
              <w:adjustRightInd w:val="0"/>
              <w:snapToGrid w:val="0"/>
              <w:jc w:val="center"/>
              <w:rPr>
                <w:color w:val="auto"/>
                <w:kern w:val="0"/>
                <w:sz w:val="18"/>
                <w:szCs w:val="18"/>
                <w:highlight w:val="none"/>
              </w:rPr>
            </w:pPr>
            <w:r>
              <w:rPr>
                <w:color w:val="auto"/>
                <w:kern w:val="0"/>
                <w:sz w:val="18"/>
                <w:szCs w:val="18"/>
                <w:highlight w:val="none"/>
              </w:rPr>
              <w:t>化学除磷+沉淀</w:t>
            </w:r>
          </w:p>
        </w:tc>
        <w:tc>
          <w:tcPr>
            <w:tcW w:w="418" w:type="pct"/>
            <w:vMerge w:val="restart"/>
            <w:tcBorders>
              <w:tl2br w:val="nil"/>
              <w:tr2bl w:val="nil"/>
            </w:tcBorders>
            <w:vAlign w:val="center"/>
          </w:tcPr>
          <w:p w14:paraId="5A64C7FD">
            <w:pPr>
              <w:adjustRightInd w:val="0"/>
              <w:snapToGrid w:val="0"/>
              <w:contextualSpacing/>
              <w:jc w:val="center"/>
              <w:rPr>
                <w:color w:val="auto"/>
                <w:sz w:val="18"/>
                <w:szCs w:val="18"/>
                <w:highlight w:val="none"/>
                <w:lang w:val="zh-CN"/>
              </w:rPr>
            </w:pPr>
            <w:r>
              <w:rPr>
                <w:color w:val="auto"/>
                <w:sz w:val="18"/>
                <w:szCs w:val="18"/>
                <w:highlight w:val="none"/>
                <w:lang w:val="zh-CN"/>
              </w:rPr>
              <w:t>DW001</w:t>
            </w:r>
          </w:p>
        </w:tc>
        <w:tc>
          <w:tcPr>
            <w:tcW w:w="433" w:type="pct"/>
            <w:vMerge w:val="restart"/>
            <w:tcBorders>
              <w:tl2br w:val="nil"/>
              <w:tr2bl w:val="nil"/>
            </w:tcBorders>
            <w:vAlign w:val="center"/>
          </w:tcPr>
          <w:p w14:paraId="2B0AAD44">
            <w:pPr>
              <w:adjustRightInd w:val="0"/>
              <w:snapToGrid w:val="0"/>
              <w:jc w:val="center"/>
              <w:rPr>
                <w:color w:val="auto"/>
                <w:sz w:val="18"/>
                <w:szCs w:val="18"/>
                <w:highlight w:val="none"/>
              </w:rPr>
            </w:pPr>
            <w:r>
              <w:rPr>
                <w:color w:val="auto"/>
                <w:sz w:val="18"/>
                <w:szCs w:val="18"/>
                <w:highlight w:val="none"/>
              </w:rPr>
              <w:t>是</w:t>
            </w:r>
          </w:p>
        </w:tc>
        <w:tc>
          <w:tcPr>
            <w:tcW w:w="409" w:type="pct"/>
            <w:vMerge w:val="restart"/>
            <w:tcBorders>
              <w:tl2br w:val="nil"/>
              <w:tr2bl w:val="nil"/>
            </w:tcBorders>
            <w:vAlign w:val="center"/>
          </w:tcPr>
          <w:p w14:paraId="3C76A2BA">
            <w:pPr>
              <w:adjustRightInd w:val="0"/>
              <w:snapToGrid w:val="0"/>
              <w:jc w:val="center"/>
              <w:rPr>
                <w:color w:val="auto"/>
                <w:sz w:val="18"/>
                <w:szCs w:val="18"/>
                <w:highlight w:val="none"/>
              </w:rPr>
            </w:pPr>
            <w:r>
              <w:rPr>
                <w:color w:val="auto"/>
                <w:sz w:val="18"/>
                <w:szCs w:val="18"/>
                <w:highlight w:val="none"/>
              </w:rPr>
              <w:t>企业总排口</w:t>
            </w:r>
          </w:p>
        </w:tc>
      </w:tr>
      <w:tr w14:paraId="2DCDCC4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159" w:type="pct"/>
            <w:tcBorders>
              <w:tl2br w:val="nil"/>
              <w:tr2bl w:val="nil"/>
            </w:tcBorders>
            <w:vAlign w:val="center"/>
          </w:tcPr>
          <w:p w14:paraId="353E112B">
            <w:pPr>
              <w:adjustRightInd w:val="0"/>
              <w:snapToGrid w:val="0"/>
              <w:contextualSpacing/>
              <w:jc w:val="center"/>
              <w:rPr>
                <w:color w:val="auto"/>
                <w:sz w:val="18"/>
                <w:szCs w:val="18"/>
                <w:highlight w:val="none"/>
              </w:rPr>
            </w:pPr>
            <w:r>
              <w:rPr>
                <w:color w:val="auto"/>
                <w:sz w:val="18"/>
                <w:szCs w:val="18"/>
                <w:highlight w:val="none"/>
              </w:rPr>
              <w:t>2</w:t>
            </w:r>
          </w:p>
        </w:tc>
        <w:tc>
          <w:tcPr>
            <w:tcW w:w="650" w:type="pct"/>
            <w:tcBorders>
              <w:tl2br w:val="nil"/>
              <w:tr2bl w:val="nil"/>
            </w:tcBorders>
            <w:vAlign w:val="center"/>
          </w:tcPr>
          <w:p w14:paraId="2EC68585">
            <w:pPr>
              <w:adjustRightInd w:val="0"/>
              <w:snapToGrid w:val="0"/>
              <w:jc w:val="center"/>
              <w:rPr>
                <w:color w:val="auto"/>
                <w:sz w:val="18"/>
                <w:szCs w:val="18"/>
                <w:highlight w:val="none"/>
              </w:rPr>
            </w:pPr>
            <w:r>
              <w:rPr>
                <w:color w:val="auto"/>
                <w:sz w:val="18"/>
                <w:szCs w:val="18"/>
                <w:highlight w:val="none"/>
              </w:rPr>
              <w:t>生活污水</w:t>
            </w:r>
          </w:p>
        </w:tc>
        <w:tc>
          <w:tcPr>
            <w:tcW w:w="418" w:type="pct"/>
            <w:tcBorders>
              <w:tl2br w:val="nil"/>
              <w:tr2bl w:val="nil"/>
            </w:tcBorders>
            <w:vAlign w:val="center"/>
          </w:tcPr>
          <w:p w14:paraId="1C251265">
            <w:pPr>
              <w:autoSpaceDE w:val="0"/>
              <w:autoSpaceDN w:val="0"/>
              <w:adjustRightInd w:val="0"/>
              <w:snapToGrid w:val="0"/>
              <w:jc w:val="center"/>
              <w:rPr>
                <w:color w:val="auto"/>
                <w:sz w:val="18"/>
                <w:szCs w:val="18"/>
                <w:highlight w:val="none"/>
              </w:rPr>
            </w:pPr>
            <w:r>
              <w:rPr>
                <w:color w:val="auto"/>
                <w:sz w:val="18"/>
                <w:szCs w:val="18"/>
                <w:highlight w:val="none"/>
              </w:rPr>
              <w:t>COD、氨氮</w:t>
            </w:r>
          </w:p>
        </w:tc>
        <w:tc>
          <w:tcPr>
            <w:tcW w:w="334" w:type="pct"/>
            <w:vMerge w:val="continue"/>
            <w:tcBorders>
              <w:tl2br w:val="nil"/>
              <w:tr2bl w:val="nil"/>
            </w:tcBorders>
            <w:vAlign w:val="center"/>
          </w:tcPr>
          <w:p w14:paraId="42CCCCEF">
            <w:pPr>
              <w:adjustRightInd w:val="0"/>
              <w:snapToGrid w:val="0"/>
              <w:jc w:val="center"/>
              <w:rPr>
                <w:color w:val="auto"/>
                <w:sz w:val="18"/>
                <w:szCs w:val="18"/>
                <w:highlight w:val="none"/>
              </w:rPr>
            </w:pPr>
          </w:p>
        </w:tc>
        <w:tc>
          <w:tcPr>
            <w:tcW w:w="882" w:type="pct"/>
            <w:vMerge w:val="continue"/>
            <w:tcBorders>
              <w:tl2br w:val="nil"/>
              <w:tr2bl w:val="nil"/>
            </w:tcBorders>
            <w:vAlign w:val="center"/>
          </w:tcPr>
          <w:p w14:paraId="3299A02A">
            <w:pPr>
              <w:adjustRightInd w:val="0"/>
              <w:snapToGrid w:val="0"/>
              <w:jc w:val="center"/>
              <w:rPr>
                <w:color w:val="auto"/>
                <w:sz w:val="18"/>
                <w:szCs w:val="18"/>
                <w:highlight w:val="none"/>
              </w:rPr>
            </w:pPr>
          </w:p>
        </w:tc>
        <w:tc>
          <w:tcPr>
            <w:tcW w:w="354" w:type="pct"/>
            <w:tcBorders>
              <w:tl2br w:val="nil"/>
              <w:tr2bl w:val="nil"/>
            </w:tcBorders>
            <w:vAlign w:val="center"/>
          </w:tcPr>
          <w:p w14:paraId="61FFBB57">
            <w:pPr>
              <w:adjustRightInd w:val="0"/>
              <w:snapToGrid w:val="0"/>
              <w:jc w:val="center"/>
              <w:rPr>
                <w:color w:val="auto"/>
                <w:sz w:val="18"/>
                <w:szCs w:val="18"/>
                <w:highlight w:val="none"/>
              </w:rPr>
            </w:pPr>
            <w:r>
              <w:rPr>
                <w:color w:val="auto"/>
                <w:sz w:val="18"/>
                <w:szCs w:val="18"/>
                <w:highlight w:val="none"/>
              </w:rPr>
              <w:t>TW002</w:t>
            </w:r>
          </w:p>
        </w:tc>
        <w:tc>
          <w:tcPr>
            <w:tcW w:w="472" w:type="pct"/>
            <w:tcBorders>
              <w:tl2br w:val="nil"/>
              <w:tr2bl w:val="nil"/>
            </w:tcBorders>
            <w:vAlign w:val="center"/>
          </w:tcPr>
          <w:p w14:paraId="3C28E0E7">
            <w:pPr>
              <w:adjustRightInd w:val="0"/>
              <w:snapToGrid w:val="0"/>
              <w:jc w:val="center"/>
              <w:rPr>
                <w:color w:val="auto"/>
                <w:sz w:val="18"/>
                <w:szCs w:val="18"/>
                <w:highlight w:val="none"/>
              </w:rPr>
            </w:pPr>
            <w:r>
              <w:rPr>
                <w:color w:val="auto"/>
                <w:sz w:val="18"/>
                <w:szCs w:val="18"/>
                <w:highlight w:val="none"/>
              </w:rPr>
              <w:t>化粪池</w:t>
            </w:r>
          </w:p>
        </w:tc>
        <w:tc>
          <w:tcPr>
            <w:tcW w:w="466" w:type="pct"/>
            <w:tcBorders>
              <w:tl2br w:val="nil"/>
              <w:tr2bl w:val="nil"/>
            </w:tcBorders>
            <w:vAlign w:val="center"/>
          </w:tcPr>
          <w:p w14:paraId="0D822F20">
            <w:pPr>
              <w:adjustRightInd w:val="0"/>
              <w:snapToGrid w:val="0"/>
              <w:jc w:val="center"/>
              <w:rPr>
                <w:color w:val="auto"/>
                <w:kern w:val="0"/>
                <w:sz w:val="18"/>
                <w:szCs w:val="18"/>
                <w:highlight w:val="none"/>
              </w:rPr>
            </w:pPr>
            <w:r>
              <w:rPr>
                <w:color w:val="auto"/>
                <w:kern w:val="0"/>
                <w:sz w:val="18"/>
                <w:szCs w:val="18"/>
                <w:highlight w:val="none"/>
              </w:rPr>
              <w:t>/</w:t>
            </w:r>
          </w:p>
        </w:tc>
        <w:tc>
          <w:tcPr>
            <w:tcW w:w="418" w:type="pct"/>
            <w:vMerge w:val="continue"/>
            <w:tcBorders>
              <w:tl2br w:val="nil"/>
              <w:tr2bl w:val="nil"/>
            </w:tcBorders>
            <w:vAlign w:val="center"/>
          </w:tcPr>
          <w:p w14:paraId="56A30AB6">
            <w:pPr>
              <w:adjustRightInd w:val="0"/>
              <w:snapToGrid w:val="0"/>
              <w:contextualSpacing/>
              <w:jc w:val="center"/>
              <w:rPr>
                <w:color w:val="auto"/>
                <w:sz w:val="18"/>
                <w:szCs w:val="18"/>
                <w:highlight w:val="none"/>
                <w:lang w:val="zh-CN"/>
              </w:rPr>
            </w:pPr>
          </w:p>
        </w:tc>
        <w:tc>
          <w:tcPr>
            <w:tcW w:w="433" w:type="pct"/>
            <w:vMerge w:val="continue"/>
            <w:tcBorders>
              <w:tl2br w:val="nil"/>
              <w:tr2bl w:val="nil"/>
            </w:tcBorders>
            <w:vAlign w:val="center"/>
          </w:tcPr>
          <w:p w14:paraId="24B85BD8">
            <w:pPr>
              <w:adjustRightInd w:val="0"/>
              <w:snapToGrid w:val="0"/>
              <w:jc w:val="center"/>
              <w:rPr>
                <w:color w:val="auto"/>
                <w:sz w:val="18"/>
                <w:szCs w:val="18"/>
                <w:highlight w:val="none"/>
              </w:rPr>
            </w:pPr>
          </w:p>
        </w:tc>
        <w:tc>
          <w:tcPr>
            <w:tcW w:w="409" w:type="pct"/>
            <w:vMerge w:val="continue"/>
            <w:tcBorders>
              <w:tl2br w:val="nil"/>
              <w:tr2bl w:val="nil"/>
            </w:tcBorders>
            <w:vAlign w:val="center"/>
          </w:tcPr>
          <w:p w14:paraId="7E1248CF">
            <w:pPr>
              <w:adjustRightInd w:val="0"/>
              <w:snapToGrid w:val="0"/>
              <w:jc w:val="center"/>
              <w:rPr>
                <w:color w:val="auto"/>
                <w:sz w:val="18"/>
                <w:szCs w:val="18"/>
                <w:highlight w:val="none"/>
              </w:rPr>
            </w:pPr>
          </w:p>
        </w:tc>
      </w:tr>
    </w:tbl>
    <w:p w14:paraId="6385DF07">
      <w:pPr>
        <w:numPr>
          <w:ilvl w:val="0"/>
          <w:numId w:val="8"/>
        </w:numPr>
        <w:spacing w:line="360" w:lineRule="auto"/>
        <w:jc w:val="center"/>
        <w:rPr>
          <w:rFonts w:hint="default" w:ascii="Times New Roman" w:hAnsi="Times New Roman" w:eastAsia="黑体" w:cs="Times New Roman"/>
          <w:b w:val="0"/>
          <w:bCs w:val="0"/>
          <w:color w:val="auto"/>
          <w:kern w:val="0"/>
          <w:sz w:val="28"/>
          <w:szCs w:val="28"/>
          <w:highlight w:val="none"/>
        </w:rPr>
      </w:pPr>
      <w:r>
        <w:rPr>
          <w:rFonts w:hint="default" w:ascii="Times New Roman" w:hAnsi="Times New Roman" w:eastAsia="黑体" w:cs="Times New Roman"/>
          <w:b w:val="0"/>
          <w:bCs w:val="0"/>
          <w:color w:val="auto"/>
          <w:highlight w:val="none"/>
          <w:lang w:val="en-US" w:eastAsia="zh-CN"/>
        </w:rPr>
        <w:t xml:space="preserve"> </w:t>
      </w:r>
      <w:r>
        <w:rPr>
          <w:rFonts w:hint="default" w:ascii="Times New Roman" w:hAnsi="Times New Roman" w:eastAsia="黑体" w:cs="Times New Roman"/>
          <w:b w:val="0"/>
          <w:bCs w:val="0"/>
          <w:color w:val="auto"/>
          <w:highlight w:val="none"/>
        </w:rPr>
        <w:t>废水间接排放口基本情况表</w:t>
      </w:r>
    </w:p>
    <w:tbl>
      <w:tblPr>
        <w:tblStyle w:val="24"/>
        <w:tblW w:w="4986" w:type="pct"/>
        <w:tblInd w:w="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Layout w:type="autofit"/>
        <w:tblCellMar>
          <w:top w:w="0" w:type="dxa"/>
          <w:left w:w="108" w:type="dxa"/>
          <w:bottom w:w="0" w:type="dxa"/>
          <w:right w:w="108" w:type="dxa"/>
        </w:tblCellMar>
      </w:tblPr>
      <w:tblGrid>
        <w:gridCol w:w="440"/>
        <w:gridCol w:w="870"/>
        <w:gridCol w:w="801"/>
        <w:gridCol w:w="711"/>
        <w:gridCol w:w="761"/>
        <w:gridCol w:w="1784"/>
        <w:gridCol w:w="661"/>
        <w:gridCol w:w="821"/>
        <w:gridCol w:w="982"/>
        <w:gridCol w:w="1029"/>
        <w:gridCol w:w="1050"/>
        <w:gridCol w:w="720"/>
        <w:gridCol w:w="713"/>
        <w:gridCol w:w="1601"/>
      </w:tblGrid>
      <w:tr w14:paraId="7C51AF7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trPr>
        <w:tc>
          <w:tcPr>
            <w:tcW w:w="170" w:type="pct"/>
            <w:vMerge w:val="restart"/>
            <w:tcBorders>
              <w:tl2br w:val="nil"/>
              <w:tr2bl w:val="nil"/>
            </w:tcBorders>
            <w:shd w:val="clear" w:color="auto" w:fill="auto"/>
            <w:vAlign w:val="center"/>
          </w:tcPr>
          <w:p w14:paraId="4A08B2AC">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序号</w:t>
            </w:r>
          </w:p>
        </w:tc>
        <w:tc>
          <w:tcPr>
            <w:tcW w:w="336" w:type="pct"/>
            <w:vMerge w:val="restart"/>
            <w:tcBorders>
              <w:tl2br w:val="nil"/>
              <w:tr2bl w:val="nil"/>
            </w:tcBorders>
            <w:shd w:val="clear" w:color="auto" w:fill="auto"/>
            <w:vAlign w:val="center"/>
          </w:tcPr>
          <w:p w14:paraId="6B19A02F">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排放口编号</w:t>
            </w:r>
          </w:p>
        </w:tc>
        <w:tc>
          <w:tcPr>
            <w:tcW w:w="582" w:type="pct"/>
            <w:gridSpan w:val="2"/>
            <w:tcBorders>
              <w:tl2br w:val="nil"/>
              <w:tr2bl w:val="nil"/>
            </w:tcBorders>
            <w:shd w:val="clear" w:color="auto" w:fill="auto"/>
            <w:vAlign w:val="center"/>
          </w:tcPr>
          <w:p w14:paraId="7F099758">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排放口经纬度</w:t>
            </w:r>
          </w:p>
        </w:tc>
        <w:tc>
          <w:tcPr>
            <w:tcW w:w="294" w:type="pct"/>
            <w:vMerge w:val="restart"/>
            <w:tcBorders>
              <w:tl2br w:val="nil"/>
              <w:tr2bl w:val="nil"/>
            </w:tcBorders>
            <w:shd w:val="clear" w:color="auto" w:fill="auto"/>
            <w:vAlign w:val="center"/>
          </w:tcPr>
          <w:p w14:paraId="31A5E1CC">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废水/(t/a)</w:t>
            </w:r>
          </w:p>
        </w:tc>
        <w:tc>
          <w:tcPr>
            <w:tcW w:w="689" w:type="pct"/>
            <w:vMerge w:val="restart"/>
            <w:tcBorders>
              <w:tl2br w:val="nil"/>
              <w:tr2bl w:val="nil"/>
            </w:tcBorders>
            <w:shd w:val="clear" w:color="auto" w:fill="auto"/>
            <w:vAlign w:val="center"/>
          </w:tcPr>
          <w:p w14:paraId="067E6AB6">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排放规律</w:t>
            </w:r>
          </w:p>
        </w:tc>
        <w:tc>
          <w:tcPr>
            <w:tcW w:w="255" w:type="pct"/>
            <w:vMerge w:val="restart"/>
            <w:tcBorders>
              <w:tl2br w:val="nil"/>
              <w:tr2bl w:val="nil"/>
            </w:tcBorders>
            <w:shd w:val="clear" w:color="auto" w:fill="auto"/>
            <w:vAlign w:val="center"/>
          </w:tcPr>
          <w:p w14:paraId="21E79A28">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间歇排放时段</w:t>
            </w:r>
          </w:p>
        </w:tc>
        <w:tc>
          <w:tcPr>
            <w:tcW w:w="1498" w:type="pct"/>
            <w:gridSpan w:val="4"/>
            <w:tcBorders>
              <w:tl2br w:val="nil"/>
              <w:tr2bl w:val="nil"/>
            </w:tcBorders>
            <w:shd w:val="clear" w:color="auto" w:fill="auto"/>
            <w:vAlign w:val="center"/>
          </w:tcPr>
          <w:p w14:paraId="16F770D3">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污染物间接排放信息</w:t>
            </w:r>
          </w:p>
        </w:tc>
        <w:tc>
          <w:tcPr>
            <w:tcW w:w="1171" w:type="pct"/>
            <w:gridSpan w:val="3"/>
            <w:tcBorders>
              <w:tl2br w:val="nil"/>
              <w:tr2bl w:val="nil"/>
            </w:tcBorders>
            <w:shd w:val="clear" w:color="auto" w:fill="auto"/>
            <w:vAlign w:val="center"/>
          </w:tcPr>
          <w:p w14:paraId="2D20E8DD">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受纳污水处理厂信息</w:t>
            </w:r>
          </w:p>
        </w:tc>
      </w:tr>
      <w:tr w14:paraId="3986B4F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12" w:hRule="atLeast"/>
        </w:trPr>
        <w:tc>
          <w:tcPr>
            <w:tcW w:w="170" w:type="pct"/>
            <w:vMerge w:val="continue"/>
            <w:tcBorders>
              <w:tl2br w:val="nil"/>
              <w:tr2bl w:val="nil"/>
            </w:tcBorders>
            <w:shd w:val="clear" w:color="auto" w:fill="auto"/>
            <w:vAlign w:val="center"/>
          </w:tcPr>
          <w:p w14:paraId="0A0B0B85">
            <w:pPr>
              <w:jc w:val="center"/>
              <w:rPr>
                <w:rFonts w:hint="default" w:ascii="Times New Roman" w:hAnsi="Times New Roman" w:eastAsia="宋体" w:cs="Times New Roman"/>
                <w:i w:val="0"/>
                <w:iCs w:val="0"/>
                <w:color w:val="auto"/>
                <w:sz w:val="18"/>
                <w:szCs w:val="18"/>
                <w:highlight w:val="none"/>
                <w:u w:val="none"/>
              </w:rPr>
            </w:pPr>
          </w:p>
        </w:tc>
        <w:tc>
          <w:tcPr>
            <w:tcW w:w="336" w:type="pct"/>
            <w:vMerge w:val="continue"/>
            <w:tcBorders>
              <w:tl2br w:val="nil"/>
              <w:tr2bl w:val="nil"/>
            </w:tcBorders>
            <w:shd w:val="clear" w:color="auto" w:fill="auto"/>
            <w:vAlign w:val="center"/>
          </w:tcPr>
          <w:p w14:paraId="599E145B">
            <w:pPr>
              <w:jc w:val="center"/>
              <w:rPr>
                <w:rFonts w:hint="default" w:ascii="Times New Roman" w:hAnsi="Times New Roman" w:eastAsia="宋体" w:cs="Times New Roman"/>
                <w:i w:val="0"/>
                <w:iCs w:val="0"/>
                <w:color w:val="auto"/>
                <w:sz w:val="18"/>
                <w:szCs w:val="18"/>
                <w:highlight w:val="none"/>
                <w:u w:val="none"/>
              </w:rPr>
            </w:pPr>
          </w:p>
        </w:tc>
        <w:tc>
          <w:tcPr>
            <w:tcW w:w="308" w:type="pct"/>
            <w:vMerge w:val="restart"/>
            <w:tcBorders>
              <w:tl2br w:val="nil"/>
              <w:tr2bl w:val="nil"/>
            </w:tcBorders>
            <w:shd w:val="clear" w:color="auto" w:fill="auto"/>
            <w:vAlign w:val="center"/>
          </w:tcPr>
          <w:p w14:paraId="6ED7FD64">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经度/°</w:t>
            </w:r>
          </w:p>
        </w:tc>
        <w:tc>
          <w:tcPr>
            <w:tcW w:w="273" w:type="pct"/>
            <w:vMerge w:val="restart"/>
            <w:tcBorders>
              <w:tl2br w:val="nil"/>
              <w:tr2bl w:val="nil"/>
            </w:tcBorders>
            <w:shd w:val="clear" w:color="auto" w:fill="auto"/>
            <w:vAlign w:val="center"/>
          </w:tcPr>
          <w:p w14:paraId="54E78F54">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纬度/°</w:t>
            </w:r>
          </w:p>
        </w:tc>
        <w:tc>
          <w:tcPr>
            <w:tcW w:w="294" w:type="pct"/>
            <w:vMerge w:val="continue"/>
            <w:tcBorders>
              <w:tl2br w:val="nil"/>
              <w:tr2bl w:val="nil"/>
            </w:tcBorders>
            <w:shd w:val="clear" w:color="auto" w:fill="auto"/>
            <w:vAlign w:val="center"/>
          </w:tcPr>
          <w:p w14:paraId="6B5167CC">
            <w:pPr>
              <w:jc w:val="center"/>
              <w:rPr>
                <w:rFonts w:hint="default" w:ascii="Times New Roman" w:hAnsi="Times New Roman" w:eastAsia="宋体" w:cs="Times New Roman"/>
                <w:i w:val="0"/>
                <w:iCs w:val="0"/>
                <w:color w:val="auto"/>
                <w:sz w:val="18"/>
                <w:szCs w:val="18"/>
                <w:highlight w:val="none"/>
                <w:u w:val="none"/>
              </w:rPr>
            </w:pPr>
          </w:p>
        </w:tc>
        <w:tc>
          <w:tcPr>
            <w:tcW w:w="689" w:type="pct"/>
            <w:vMerge w:val="continue"/>
            <w:tcBorders>
              <w:tl2br w:val="nil"/>
              <w:tr2bl w:val="nil"/>
            </w:tcBorders>
            <w:shd w:val="clear" w:color="auto" w:fill="auto"/>
            <w:vAlign w:val="center"/>
          </w:tcPr>
          <w:p w14:paraId="6FB46BBC">
            <w:pPr>
              <w:jc w:val="center"/>
              <w:rPr>
                <w:rFonts w:hint="default" w:ascii="Times New Roman" w:hAnsi="Times New Roman" w:eastAsia="宋体" w:cs="Times New Roman"/>
                <w:i w:val="0"/>
                <w:iCs w:val="0"/>
                <w:color w:val="auto"/>
                <w:sz w:val="18"/>
                <w:szCs w:val="18"/>
                <w:highlight w:val="none"/>
                <w:u w:val="none"/>
              </w:rPr>
            </w:pPr>
          </w:p>
        </w:tc>
        <w:tc>
          <w:tcPr>
            <w:tcW w:w="255" w:type="pct"/>
            <w:vMerge w:val="continue"/>
            <w:tcBorders>
              <w:tl2br w:val="nil"/>
              <w:tr2bl w:val="nil"/>
            </w:tcBorders>
            <w:shd w:val="clear" w:color="auto" w:fill="auto"/>
            <w:vAlign w:val="center"/>
          </w:tcPr>
          <w:p w14:paraId="16AAA822">
            <w:pPr>
              <w:jc w:val="center"/>
              <w:rPr>
                <w:rFonts w:hint="default" w:ascii="Times New Roman" w:hAnsi="Times New Roman" w:eastAsia="宋体" w:cs="Times New Roman"/>
                <w:i w:val="0"/>
                <w:iCs w:val="0"/>
                <w:color w:val="auto"/>
                <w:sz w:val="18"/>
                <w:szCs w:val="18"/>
                <w:highlight w:val="none"/>
                <w:u w:val="none"/>
              </w:rPr>
            </w:pPr>
          </w:p>
        </w:tc>
        <w:tc>
          <w:tcPr>
            <w:tcW w:w="317" w:type="pct"/>
            <w:vMerge w:val="restart"/>
            <w:tcBorders>
              <w:tl2br w:val="nil"/>
              <w:tr2bl w:val="nil"/>
            </w:tcBorders>
            <w:shd w:val="clear" w:color="auto" w:fill="auto"/>
            <w:vAlign w:val="center"/>
          </w:tcPr>
          <w:p w14:paraId="3EC0695E">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污染物种类</w:t>
            </w:r>
          </w:p>
        </w:tc>
        <w:tc>
          <w:tcPr>
            <w:tcW w:w="379" w:type="pct"/>
            <w:vMerge w:val="restart"/>
            <w:tcBorders>
              <w:tl2br w:val="nil"/>
              <w:tr2bl w:val="nil"/>
            </w:tcBorders>
            <w:shd w:val="clear" w:color="auto" w:fill="auto"/>
            <w:vAlign w:val="center"/>
          </w:tcPr>
          <w:p w14:paraId="78B78705">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纳管浓度/(mg/L)</w:t>
            </w:r>
          </w:p>
        </w:tc>
        <w:tc>
          <w:tcPr>
            <w:tcW w:w="397" w:type="pct"/>
            <w:vMerge w:val="restart"/>
            <w:tcBorders>
              <w:tl2br w:val="nil"/>
              <w:tr2bl w:val="nil"/>
            </w:tcBorders>
            <w:shd w:val="clear" w:color="auto" w:fill="auto"/>
            <w:vAlign w:val="center"/>
          </w:tcPr>
          <w:p w14:paraId="108748AF">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平均日排放量/(kg/d)</w:t>
            </w:r>
          </w:p>
        </w:tc>
        <w:tc>
          <w:tcPr>
            <w:tcW w:w="404" w:type="pct"/>
            <w:vMerge w:val="restart"/>
            <w:tcBorders>
              <w:tl2br w:val="nil"/>
              <w:tr2bl w:val="nil"/>
            </w:tcBorders>
            <w:shd w:val="clear" w:color="auto" w:fill="auto"/>
            <w:vAlign w:val="center"/>
          </w:tcPr>
          <w:p w14:paraId="53076F61">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年排放量/(kg/a)</w:t>
            </w:r>
          </w:p>
        </w:tc>
        <w:tc>
          <w:tcPr>
            <w:tcW w:w="278" w:type="pct"/>
            <w:vMerge w:val="restart"/>
            <w:tcBorders>
              <w:tl2br w:val="nil"/>
              <w:tr2bl w:val="nil"/>
            </w:tcBorders>
            <w:shd w:val="clear" w:color="auto" w:fill="auto"/>
            <w:vAlign w:val="center"/>
          </w:tcPr>
          <w:p w14:paraId="347F6AFC">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名称</w:t>
            </w:r>
          </w:p>
        </w:tc>
        <w:tc>
          <w:tcPr>
            <w:tcW w:w="275" w:type="pct"/>
            <w:tcBorders>
              <w:tl2br w:val="nil"/>
              <w:tr2bl w:val="nil"/>
            </w:tcBorders>
            <w:shd w:val="clear" w:color="auto" w:fill="auto"/>
            <w:vAlign w:val="center"/>
          </w:tcPr>
          <w:p w14:paraId="7D91437C">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污染物</w:t>
            </w:r>
          </w:p>
        </w:tc>
        <w:tc>
          <w:tcPr>
            <w:tcW w:w="618" w:type="pct"/>
            <w:vMerge w:val="restart"/>
            <w:tcBorders>
              <w:tl2br w:val="nil"/>
              <w:tr2bl w:val="nil"/>
            </w:tcBorders>
            <w:shd w:val="clear" w:color="auto" w:fill="auto"/>
            <w:vAlign w:val="center"/>
          </w:tcPr>
          <w:p w14:paraId="1DFE979D">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国家或地方污染物排放标准浓度限值(mg/L)</w:t>
            </w:r>
          </w:p>
        </w:tc>
      </w:tr>
      <w:tr w14:paraId="26B79AC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trPr>
        <w:tc>
          <w:tcPr>
            <w:tcW w:w="170" w:type="pct"/>
            <w:vMerge w:val="continue"/>
            <w:tcBorders>
              <w:tl2br w:val="nil"/>
              <w:tr2bl w:val="nil"/>
            </w:tcBorders>
            <w:shd w:val="clear" w:color="auto" w:fill="auto"/>
            <w:vAlign w:val="center"/>
          </w:tcPr>
          <w:p w14:paraId="3C0FE33B">
            <w:pPr>
              <w:jc w:val="center"/>
              <w:rPr>
                <w:rFonts w:hint="default" w:ascii="Times New Roman" w:hAnsi="Times New Roman" w:eastAsia="宋体" w:cs="Times New Roman"/>
                <w:i w:val="0"/>
                <w:iCs w:val="0"/>
                <w:color w:val="auto"/>
                <w:sz w:val="18"/>
                <w:szCs w:val="18"/>
                <w:highlight w:val="none"/>
                <w:u w:val="none"/>
              </w:rPr>
            </w:pPr>
          </w:p>
        </w:tc>
        <w:tc>
          <w:tcPr>
            <w:tcW w:w="336" w:type="pct"/>
            <w:vMerge w:val="continue"/>
            <w:tcBorders>
              <w:tl2br w:val="nil"/>
              <w:tr2bl w:val="nil"/>
            </w:tcBorders>
            <w:shd w:val="clear" w:color="auto" w:fill="auto"/>
            <w:vAlign w:val="center"/>
          </w:tcPr>
          <w:p w14:paraId="055D9BA3">
            <w:pPr>
              <w:jc w:val="center"/>
              <w:rPr>
                <w:rFonts w:hint="default" w:ascii="Times New Roman" w:hAnsi="Times New Roman" w:eastAsia="宋体" w:cs="Times New Roman"/>
                <w:i w:val="0"/>
                <w:iCs w:val="0"/>
                <w:color w:val="auto"/>
                <w:sz w:val="18"/>
                <w:szCs w:val="18"/>
                <w:highlight w:val="none"/>
                <w:u w:val="none"/>
              </w:rPr>
            </w:pPr>
          </w:p>
        </w:tc>
        <w:tc>
          <w:tcPr>
            <w:tcW w:w="308" w:type="pct"/>
            <w:vMerge w:val="continue"/>
            <w:tcBorders>
              <w:tl2br w:val="nil"/>
              <w:tr2bl w:val="nil"/>
            </w:tcBorders>
            <w:shd w:val="clear" w:color="auto" w:fill="auto"/>
            <w:vAlign w:val="center"/>
          </w:tcPr>
          <w:p w14:paraId="2913F859">
            <w:pPr>
              <w:jc w:val="center"/>
              <w:rPr>
                <w:rFonts w:hint="default" w:ascii="Times New Roman" w:hAnsi="Times New Roman" w:eastAsia="宋体" w:cs="Times New Roman"/>
                <w:i w:val="0"/>
                <w:iCs w:val="0"/>
                <w:color w:val="auto"/>
                <w:sz w:val="18"/>
                <w:szCs w:val="18"/>
                <w:highlight w:val="none"/>
                <w:u w:val="none"/>
              </w:rPr>
            </w:pPr>
          </w:p>
        </w:tc>
        <w:tc>
          <w:tcPr>
            <w:tcW w:w="273" w:type="pct"/>
            <w:vMerge w:val="continue"/>
            <w:tcBorders>
              <w:tl2br w:val="nil"/>
              <w:tr2bl w:val="nil"/>
            </w:tcBorders>
            <w:shd w:val="clear" w:color="auto" w:fill="auto"/>
            <w:vAlign w:val="center"/>
          </w:tcPr>
          <w:p w14:paraId="79CD7DAD">
            <w:pPr>
              <w:jc w:val="center"/>
              <w:rPr>
                <w:rFonts w:hint="default" w:ascii="Times New Roman" w:hAnsi="Times New Roman" w:eastAsia="宋体" w:cs="Times New Roman"/>
                <w:i w:val="0"/>
                <w:iCs w:val="0"/>
                <w:color w:val="auto"/>
                <w:sz w:val="18"/>
                <w:szCs w:val="18"/>
                <w:highlight w:val="none"/>
                <w:u w:val="none"/>
              </w:rPr>
            </w:pPr>
          </w:p>
        </w:tc>
        <w:tc>
          <w:tcPr>
            <w:tcW w:w="294" w:type="pct"/>
            <w:vMerge w:val="continue"/>
            <w:tcBorders>
              <w:tl2br w:val="nil"/>
              <w:tr2bl w:val="nil"/>
            </w:tcBorders>
            <w:shd w:val="clear" w:color="auto" w:fill="auto"/>
            <w:vAlign w:val="center"/>
          </w:tcPr>
          <w:p w14:paraId="16C3020D">
            <w:pPr>
              <w:jc w:val="center"/>
              <w:rPr>
                <w:rFonts w:hint="default" w:ascii="Times New Roman" w:hAnsi="Times New Roman" w:eastAsia="宋体" w:cs="Times New Roman"/>
                <w:i w:val="0"/>
                <w:iCs w:val="0"/>
                <w:color w:val="auto"/>
                <w:sz w:val="18"/>
                <w:szCs w:val="18"/>
                <w:highlight w:val="none"/>
                <w:u w:val="none"/>
              </w:rPr>
            </w:pPr>
          </w:p>
        </w:tc>
        <w:tc>
          <w:tcPr>
            <w:tcW w:w="689" w:type="pct"/>
            <w:vMerge w:val="continue"/>
            <w:tcBorders>
              <w:tl2br w:val="nil"/>
              <w:tr2bl w:val="nil"/>
            </w:tcBorders>
            <w:shd w:val="clear" w:color="auto" w:fill="auto"/>
            <w:vAlign w:val="center"/>
          </w:tcPr>
          <w:p w14:paraId="3EE738B0">
            <w:pPr>
              <w:jc w:val="center"/>
              <w:rPr>
                <w:rFonts w:hint="default" w:ascii="Times New Roman" w:hAnsi="Times New Roman" w:eastAsia="宋体" w:cs="Times New Roman"/>
                <w:i w:val="0"/>
                <w:iCs w:val="0"/>
                <w:color w:val="auto"/>
                <w:sz w:val="18"/>
                <w:szCs w:val="18"/>
                <w:highlight w:val="none"/>
                <w:u w:val="none"/>
              </w:rPr>
            </w:pPr>
          </w:p>
        </w:tc>
        <w:tc>
          <w:tcPr>
            <w:tcW w:w="255" w:type="pct"/>
            <w:vMerge w:val="continue"/>
            <w:tcBorders>
              <w:tl2br w:val="nil"/>
              <w:tr2bl w:val="nil"/>
            </w:tcBorders>
            <w:shd w:val="clear" w:color="auto" w:fill="auto"/>
            <w:vAlign w:val="center"/>
          </w:tcPr>
          <w:p w14:paraId="5BCBDCCA">
            <w:pPr>
              <w:jc w:val="center"/>
              <w:rPr>
                <w:rFonts w:hint="default" w:ascii="Times New Roman" w:hAnsi="Times New Roman" w:eastAsia="宋体" w:cs="Times New Roman"/>
                <w:i w:val="0"/>
                <w:iCs w:val="0"/>
                <w:color w:val="auto"/>
                <w:sz w:val="18"/>
                <w:szCs w:val="18"/>
                <w:highlight w:val="none"/>
                <w:u w:val="none"/>
              </w:rPr>
            </w:pPr>
          </w:p>
        </w:tc>
        <w:tc>
          <w:tcPr>
            <w:tcW w:w="317" w:type="pct"/>
            <w:vMerge w:val="continue"/>
            <w:tcBorders>
              <w:tl2br w:val="nil"/>
              <w:tr2bl w:val="nil"/>
            </w:tcBorders>
            <w:shd w:val="clear" w:color="auto" w:fill="auto"/>
            <w:vAlign w:val="center"/>
          </w:tcPr>
          <w:p w14:paraId="17D04CB9">
            <w:pPr>
              <w:jc w:val="center"/>
              <w:rPr>
                <w:rFonts w:hint="default" w:ascii="Times New Roman" w:hAnsi="Times New Roman" w:eastAsia="宋体" w:cs="Times New Roman"/>
                <w:i w:val="0"/>
                <w:iCs w:val="0"/>
                <w:color w:val="auto"/>
                <w:sz w:val="18"/>
                <w:szCs w:val="18"/>
                <w:highlight w:val="none"/>
                <w:u w:val="none"/>
              </w:rPr>
            </w:pPr>
          </w:p>
        </w:tc>
        <w:tc>
          <w:tcPr>
            <w:tcW w:w="379" w:type="pct"/>
            <w:vMerge w:val="continue"/>
            <w:tcBorders>
              <w:tl2br w:val="nil"/>
              <w:tr2bl w:val="nil"/>
            </w:tcBorders>
            <w:shd w:val="clear" w:color="auto" w:fill="auto"/>
            <w:vAlign w:val="center"/>
          </w:tcPr>
          <w:p w14:paraId="470422F5">
            <w:pPr>
              <w:jc w:val="center"/>
              <w:rPr>
                <w:rFonts w:hint="default" w:ascii="Times New Roman" w:hAnsi="Times New Roman" w:eastAsia="宋体" w:cs="Times New Roman"/>
                <w:i w:val="0"/>
                <w:iCs w:val="0"/>
                <w:color w:val="auto"/>
                <w:sz w:val="18"/>
                <w:szCs w:val="18"/>
                <w:highlight w:val="none"/>
                <w:u w:val="none"/>
              </w:rPr>
            </w:pPr>
          </w:p>
        </w:tc>
        <w:tc>
          <w:tcPr>
            <w:tcW w:w="397" w:type="pct"/>
            <w:vMerge w:val="continue"/>
            <w:tcBorders>
              <w:tl2br w:val="nil"/>
              <w:tr2bl w:val="nil"/>
            </w:tcBorders>
            <w:shd w:val="clear" w:color="auto" w:fill="auto"/>
            <w:vAlign w:val="center"/>
          </w:tcPr>
          <w:p w14:paraId="6BE25683">
            <w:pPr>
              <w:jc w:val="center"/>
              <w:rPr>
                <w:rFonts w:hint="default" w:ascii="Times New Roman" w:hAnsi="Times New Roman" w:eastAsia="宋体" w:cs="Times New Roman"/>
                <w:i w:val="0"/>
                <w:iCs w:val="0"/>
                <w:color w:val="auto"/>
                <w:sz w:val="18"/>
                <w:szCs w:val="18"/>
                <w:highlight w:val="none"/>
                <w:u w:val="none"/>
              </w:rPr>
            </w:pPr>
          </w:p>
        </w:tc>
        <w:tc>
          <w:tcPr>
            <w:tcW w:w="404" w:type="pct"/>
            <w:vMerge w:val="continue"/>
            <w:tcBorders>
              <w:tl2br w:val="nil"/>
              <w:tr2bl w:val="nil"/>
            </w:tcBorders>
            <w:shd w:val="clear" w:color="auto" w:fill="auto"/>
            <w:vAlign w:val="center"/>
          </w:tcPr>
          <w:p w14:paraId="1FB5D549">
            <w:pPr>
              <w:jc w:val="center"/>
              <w:rPr>
                <w:rFonts w:hint="default" w:ascii="Times New Roman" w:hAnsi="Times New Roman" w:eastAsia="宋体" w:cs="Times New Roman"/>
                <w:i w:val="0"/>
                <w:iCs w:val="0"/>
                <w:color w:val="auto"/>
                <w:sz w:val="18"/>
                <w:szCs w:val="18"/>
                <w:highlight w:val="none"/>
                <w:u w:val="none"/>
              </w:rPr>
            </w:pPr>
          </w:p>
        </w:tc>
        <w:tc>
          <w:tcPr>
            <w:tcW w:w="278" w:type="pct"/>
            <w:vMerge w:val="continue"/>
            <w:tcBorders>
              <w:tl2br w:val="nil"/>
              <w:tr2bl w:val="nil"/>
            </w:tcBorders>
            <w:shd w:val="clear" w:color="auto" w:fill="auto"/>
            <w:vAlign w:val="center"/>
          </w:tcPr>
          <w:p w14:paraId="56A5B7CB">
            <w:pPr>
              <w:jc w:val="center"/>
              <w:rPr>
                <w:rFonts w:hint="default" w:ascii="Times New Roman" w:hAnsi="Times New Roman" w:eastAsia="宋体" w:cs="Times New Roman"/>
                <w:i w:val="0"/>
                <w:iCs w:val="0"/>
                <w:color w:val="auto"/>
                <w:sz w:val="18"/>
                <w:szCs w:val="18"/>
                <w:highlight w:val="none"/>
                <w:u w:val="none"/>
              </w:rPr>
            </w:pPr>
          </w:p>
        </w:tc>
        <w:tc>
          <w:tcPr>
            <w:tcW w:w="275" w:type="pct"/>
            <w:tcBorders>
              <w:tl2br w:val="nil"/>
              <w:tr2bl w:val="nil"/>
            </w:tcBorders>
            <w:shd w:val="clear" w:color="auto" w:fill="auto"/>
            <w:vAlign w:val="center"/>
          </w:tcPr>
          <w:p w14:paraId="0DD0F050">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种类</w:t>
            </w:r>
          </w:p>
        </w:tc>
        <w:tc>
          <w:tcPr>
            <w:tcW w:w="618" w:type="pct"/>
            <w:vMerge w:val="continue"/>
            <w:tcBorders>
              <w:tl2br w:val="nil"/>
              <w:tr2bl w:val="nil"/>
            </w:tcBorders>
            <w:shd w:val="clear" w:color="auto" w:fill="auto"/>
            <w:vAlign w:val="center"/>
          </w:tcPr>
          <w:p w14:paraId="1F3FE8A2">
            <w:pPr>
              <w:jc w:val="center"/>
              <w:rPr>
                <w:rFonts w:hint="default" w:ascii="Times New Roman" w:hAnsi="Times New Roman" w:eastAsia="宋体" w:cs="Times New Roman"/>
                <w:i w:val="0"/>
                <w:iCs w:val="0"/>
                <w:color w:val="auto"/>
                <w:sz w:val="18"/>
                <w:szCs w:val="18"/>
                <w:highlight w:val="none"/>
                <w:u w:val="none"/>
              </w:rPr>
            </w:pPr>
          </w:p>
        </w:tc>
      </w:tr>
      <w:tr w14:paraId="0DA2878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trPr>
        <w:tc>
          <w:tcPr>
            <w:tcW w:w="170" w:type="pct"/>
            <w:vMerge w:val="restart"/>
            <w:tcBorders>
              <w:tl2br w:val="nil"/>
              <w:tr2bl w:val="nil"/>
            </w:tcBorders>
            <w:shd w:val="clear" w:color="auto" w:fill="auto"/>
            <w:vAlign w:val="center"/>
          </w:tcPr>
          <w:p w14:paraId="23FCAD3C">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1</w:t>
            </w:r>
          </w:p>
        </w:tc>
        <w:tc>
          <w:tcPr>
            <w:tcW w:w="336" w:type="pct"/>
            <w:vMerge w:val="restart"/>
            <w:tcBorders>
              <w:tl2br w:val="nil"/>
              <w:tr2bl w:val="nil"/>
            </w:tcBorders>
            <w:shd w:val="clear" w:color="auto" w:fill="auto"/>
            <w:vAlign w:val="center"/>
          </w:tcPr>
          <w:p w14:paraId="04C6B2AB">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DW001</w:t>
            </w:r>
          </w:p>
        </w:tc>
        <w:tc>
          <w:tcPr>
            <w:tcW w:w="308" w:type="pct"/>
            <w:vMerge w:val="restart"/>
            <w:tcBorders>
              <w:tl2br w:val="nil"/>
              <w:tr2bl w:val="nil"/>
            </w:tcBorders>
            <w:shd w:val="clear" w:color="auto" w:fill="auto"/>
            <w:vAlign w:val="center"/>
          </w:tcPr>
          <w:p w14:paraId="1C9D7825">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lang w:val="en-US"/>
              </w:rPr>
            </w:pPr>
            <w:r>
              <w:rPr>
                <w:rFonts w:hint="default" w:ascii="Times New Roman" w:hAnsi="Times New Roman" w:eastAsia="宋体" w:cs="Times New Roman"/>
                <w:i w:val="0"/>
                <w:iCs w:val="0"/>
                <w:color w:val="auto"/>
                <w:kern w:val="0"/>
                <w:sz w:val="18"/>
                <w:szCs w:val="18"/>
                <w:highlight w:val="none"/>
                <w:u w:val="none"/>
                <w:lang w:val="en-US" w:eastAsia="zh-CN" w:bidi="ar"/>
              </w:rPr>
              <w:t>120.07</w:t>
            </w:r>
            <w:r>
              <w:rPr>
                <w:rFonts w:hint="default" w:ascii="Times New Roman" w:hAnsi="Times New Roman" w:cs="Times New Roman"/>
                <w:i w:val="0"/>
                <w:iCs w:val="0"/>
                <w:color w:val="auto"/>
                <w:kern w:val="0"/>
                <w:sz w:val="18"/>
                <w:szCs w:val="18"/>
                <w:highlight w:val="none"/>
                <w:u w:val="none"/>
                <w:lang w:val="en-US" w:eastAsia="zh-CN" w:bidi="ar"/>
              </w:rPr>
              <w:t>9</w:t>
            </w:r>
          </w:p>
        </w:tc>
        <w:tc>
          <w:tcPr>
            <w:tcW w:w="273" w:type="pct"/>
            <w:vMerge w:val="restart"/>
            <w:tcBorders>
              <w:tl2br w:val="nil"/>
              <w:tr2bl w:val="nil"/>
            </w:tcBorders>
            <w:shd w:val="clear" w:color="auto" w:fill="auto"/>
            <w:vAlign w:val="center"/>
          </w:tcPr>
          <w:p w14:paraId="00D46680">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lang w:val="en-US"/>
              </w:rPr>
            </w:pPr>
            <w:r>
              <w:rPr>
                <w:rFonts w:hint="default" w:ascii="Times New Roman" w:hAnsi="Times New Roman" w:eastAsia="宋体" w:cs="Times New Roman"/>
                <w:i w:val="0"/>
                <w:iCs w:val="0"/>
                <w:color w:val="auto"/>
                <w:kern w:val="0"/>
                <w:sz w:val="18"/>
                <w:szCs w:val="18"/>
                <w:highlight w:val="none"/>
                <w:u w:val="none"/>
                <w:lang w:val="en-US" w:eastAsia="zh-CN" w:bidi="ar"/>
              </w:rPr>
              <w:t>30.4</w:t>
            </w:r>
            <w:r>
              <w:rPr>
                <w:rFonts w:hint="default" w:ascii="Times New Roman" w:hAnsi="Times New Roman" w:cs="Times New Roman"/>
                <w:i w:val="0"/>
                <w:iCs w:val="0"/>
                <w:color w:val="auto"/>
                <w:kern w:val="0"/>
                <w:sz w:val="18"/>
                <w:szCs w:val="18"/>
                <w:highlight w:val="none"/>
                <w:u w:val="none"/>
                <w:lang w:val="en-US" w:eastAsia="zh-CN" w:bidi="ar"/>
              </w:rPr>
              <w:t>60</w:t>
            </w:r>
          </w:p>
        </w:tc>
        <w:tc>
          <w:tcPr>
            <w:tcW w:w="294" w:type="pct"/>
            <w:vMerge w:val="restart"/>
            <w:tcBorders>
              <w:tl2br w:val="nil"/>
              <w:tr2bl w:val="nil"/>
            </w:tcBorders>
            <w:shd w:val="clear" w:color="auto" w:fill="auto"/>
            <w:vAlign w:val="center"/>
          </w:tcPr>
          <w:p w14:paraId="453015BC">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cs="Times New Roman"/>
                <w:i w:val="0"/>
                <w:iCs w:val="0"/>
                <w:color w:val="auto"/>
                <w:kern w:val="0"/>
                <w:sz w:val="18"/>
                <w:szCs w:val="18"/>
                <w:highlight w:val="none"/>
                <w:u w:val="none"/>
                <w:lang w:val="en-US" w:eastAsia="zh-CN" w:bidi="ar"/>
              </w:rPr>
              <w:t>198.95</w:t>
            </w:r>
            <w:r>
              <w:rPr>
                <w:rFonts w:hint="default" w:ascii="Times New Roman" w:hAnsi="Times New Roman" w:eastAsia="宋体" w:cs="Times New Roman"/>
                <w:i w:val="0"/>
                <w:iCs w:val="0"/>
                <w:color w:val="auto"/>
                <w:kern w:val="0"/>
                <w:sz w:val="18"/>
                <w:szCs w:val="18"/>
                <w:highlight w:val="none"/>
                <w:u w:val="none"/>
                <w:lang w:val="en-US" w:eastAsia="zh-CN" w:bidi="ar"/>
              </w:rPr>
              <w:t xml:space="preserve"> </w:t>
            </w:r>
          </w:p>
        </w:tc>
        <w:tc>
          <w:tcPr>
            <w:tcW w:w="689" w:type="pct"/>
            <w:vMerge w:val="restart"/>
            <w:tcBorders>
              <w:tl2br w:val="nil"/>
              <w:tr2bl w:val="nil"/>
            </w:tcBorders>
            <w:shd w:val="clear" w:color="auto" w:fill="auto"/>
            <w:vAlign w:val="center"/>
          </w:tcPr>
          <w:p w14:paraId="74C25B1F">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间断排放，流量不稳定且无规律，但不属于冲击型排放</w:t>
            </w:r>
          </w:p>
        </w:tc>
        <w:tc>
          <w:tcPr>
            <w:tcW w:w="255" w:type="pct"/>
            <w:vMerge w:val="restart"/>
            <w:tcBorders>
              <w:tl2br w:val="nil"/>
              <w:tr2bl w:val="nil"/>
            </w:tcBorders>
            <w:shd w:val="clear" w:color="auto" w:fill="auto"/>
            <w:vAlign w:val="center"/>
          </w:tcPr>
          <w:p w14:paraId="5E15A147">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lang w:val="en-US"/>
              </w:rPr>
            </w:pPr>
            <w:r>
              <w:rPr>
                <w:rFonts w:hint="default" w:ascii="Times New Roman" w:hAnsi="Times New Roman" w:cs="Times New Roman"/>
                <w:i w:val="0"/>
                <w:iCs w:val="0"/>
                <w:color w:val="auto"/>
                <w:kern w:val="0"/>
                <w:sz w:val="18"/>
                <w:szCs w:val="18"/>
                <w:highlight w:val="none"/>
                <w:u w:val="none"/>
                <w:lang w:val="en-US" w:eastAsia="zh-CN" w:bidi="ar"/>
              </w:rPr>
              <w:t>/</w:t>
            </w:r>
          </w:p>
        </w:tc>
        <w:tc>
          <w:tcPr>
            <w:tcW w:w="317" w:type="pct"/>
            <w:tcBorders>
              <w:tl2br w:val="nil"/>
              <w:tr2bl w:val="nil"/>
            </w:tcBorders>
            <w:shd w:val="clear" w:color="auto" w:fill="auto"/>
            <w:vAlign w:val="center"/>
          </w:tcPr>
          <w:p w14:paraId="52246520">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COD</w:t>
            </w:r>
            <w:r>
              <w:rPr>
                <w:rFonts w:hint="default" w:ascii="Times New Roman" w:hAnsi="Times New Roman" w:eastAsia="宋体" w:cs="Times New Roman"/>
                <w:i w:val="0"/>
                <w:iCs w:val="0"/>
                <w:color w:val="auto"/>
                <w:kern w:val="0"/>
                <w:sz w:val="18"/>
                <w:szCs w:val="18"/>
                <w:highlight w:val="none"/>
                <w:u w:val="none"/>
                <w:vertAlign w:val="subscript"/>
                <w:lang w:val="en-US" w:eastAsia="zh-CN" w:bidi="ar"/>
              </w:rPr>
              <w:t>Cr</w:t>
            </w:r>
          </w:p>
        </w:tc>
        <w:tc>
          <w:tcPr>
            <w:tcW w:w="379" w:type="pct"/>
            <w:tcBorders>
              <w:tl2br w:val="nil"/>
              <w:tr2bl w:val="nil"/>
            </w:tcBorders>
            <w:shd w:val="clear" w:color="auto" w:fill="auto"/>
            <w:vAlign w:val="center"/>
          </w:tcPr>
          <w:p w14:paraId="44E311A3">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 xml:space="preserve">255.5 </w:t>
            </w:r>
          </w:p>
        </w:tc>
        <w:tc>
          <w:tcPr>
            <w:tcW w:w="397" w:type="pct"/>
            <w:tcBorders>
              <w:tl2br w:val="nil"/>
              <w:tr2bl w:val="nil"/>
            </w:tcBorders>
            <w:shd w:val="clear" w:color="auto" w:fill="auto"/>
            <w:vAlign w:val="center"/>
          </w:tcPr>
          <w:p w14:paraId="2F637D24">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 xml:space="preserve">0.21 </w:t>
            </w:r>
          </w:p>
        </w:tc>
        <w:tc>
          <w:tcPr>
            <w:tcW w:w="404" w:type="pct"/>
            <w:tcBorders>
              <w:tl2br w:val="nil"/>
              <w:tr2bl w:val="nil"/>
            </w:tcBorders>
            <w:shd w:val="clear" w:color="auto" w:fill="auto"/>
            <w:noWrap/>
            <w:vAlign w:val="center"/>
          </w:tcPr>
          <w:p w14:paraId="0B2B47C2">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 xml:space="preserve">50.83 </w:t>
            </w:r>
          </w:p>
        </w:tc>
        <w:tc>
          <w:tcPr>
            <w:tcW w:w="278" w:type="pct"/>
            <w:vMerge w:val="restart"/>
            <w:tcBorders>
              <w:tl2br w:val="nil"/>
              <w:tr2bl w:val="nil"/>
            </w:tcBorders>
            <w:shd w:val="clear" w:color="auto" w:fill="auto"/>
            <w:vAlign w:val="center"/>
          </w:tcPr>
          <w:p w14:paraId="19EB7814">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良渚污水处理厂</w:t>
            </w:r>
          </w:p>
        </w:tc>
        <w:tc>
          <w:tcPr>
            <w:tcW w:w="275" w:type="pct"/>
            <w:tcBorders>
              <w:tl2br w:val="nil"/>
              <w:tr2bl w:val="nil"/>
            </w:tcBorders>
            <w:shd w:val="clear" w:color="auto" w:fill="auto"/>
            <w:vAlign w:val="center"/>
          </w:tcPr>
          <w:p w14:paraId="17FE63E3">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COD</w:t>
            </w:r>
            <w:r>
              <w:rPr>
                <w:rFonts w:hint="default" w:ascii="Times New Roman" w:hAnsi="Times New Roman" w:eastAsia="宋体" w:cs="Times New Roman"/>
                <w:i w:val="0"/>
                <w:iCs w:val="0"/>
                <w:color w:val="auto"/>
                <w:kern w:val="0"/>
                <w:sz w:val="18"/>
                <w:szCs w:val="18"/>
                <w:highlight w:val="none"/>
                <w:u w:val="none"/>
                <w:vertAlign w:val="subscript"/>
                <w:lang w:val="en-US" w:eastAsia="zh-CN" w:bidi="ar"/>
              </w:rPr>
              <w:t>Cr</w:t>
            </w:r>
          </w:p>
        </w:tc>
        <w:tc>
          <w:tcPr>
            <w:tcW w:w="618" w:type="pct"/>
            <w:tcBorders>
              <w:tl2br w:val="nil"/>
              <w:tr2bl w:val="nil"/>
            </w:tcBorders>
            <w:shd w:val="clear" w:color="auto" w:fill="auto"/>
            <w:vAlign w:val="center"/>
          </w:tcPr>
          <w:p w14:paraId="661448F3">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40</w:t>
            </w:r>
          </w:p>
        </w:tc>
      </w:tr>
      <w:tr w14:paraId="63B9F30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trPr>
        <w:tc>
          <w:tcPr>
            <w:tcW w:w="170" w:type="pct"/>
            <w:vMerge w:val="continue"/>
            <w:tcBorders>
              <w:tl2br w:val="nil"/>
              <w:tr2bl w:val="nil"/>
            </w:tcBorders>
            <w:shd w:val="clear" w:color="auto" w:fill="auto"/>
            <w:vAlign w:val="center"/>
          </w:tcPr>
          <w:p w14:paraId="4A63529C">
            <w:pPr>
              <w:jc w:val="center"/>
              <w:rPr>
                <w:rFonts w:hint="default" w:ascii="Times New Roman" w:hAnsi="Times New Roman" w:eastAsia="宋体" w:cs="Times New Roman"/>
                <w:i w:val="0"/>
                <w:iCs w:val="0"/>
                <w:color w:val="auto"/>
                <w:sz w:val="18"/>
                <w:szCs w:val="18"/>
                <w:highlight w:val="none"/>
                <w:u w:val="none"/>
              </w:rPr>
            </w:pPr>
          </w:p>
        </w:tc>
        <w:tc>
          <w:tcPr>
            <w:tcW w:w="336" w:type="pct"/>
            <w:vMerge w:val="continue"/>
            <w:tcBorders>
              <w:tl2br w:val="nil"/>
              <w:tr2bl w:val="nil"/>
            </w:tcBorders>
            <w:shd w:val="clear" w:color="auto" w:fill="auto"/>
            <w:vAlign w:val="center"/>
          </w:tcPr>
          <w:p w14:paraId="0E24AB75">
            <w:pPr>
              <w:jc w:val="center"/>
              <w:rPr>
                <w:rFonts w:hint="default" w:ascii="Times New Roman" w:hAnsi="Times New Roman" w:eastAsia="宋体" w:cs="Times New Roman"/>
                <w:i w:val="0"/>
                <w:iCs w:val="0"/>
                <w:color w:val="auto"/>
                <w:sz w:val="18"/>
                <w:szCs w:val="18"/>
                <w:highlight w:val="none"/>
                <w:u w:val="none"/>
              </w:rPr>
            </w:pPr>
          </w:p>
        </w:tc>
        <w:tc>
          <w:tcPr>
            <w:tcW w:w="308" w:type="pct"/>
            <w:vMerge w:val="continue"/>
            <w:tcBorders>
              <w:tl2br w:val="nil"/>
              <w:tr2bl w:val="nil"/>
            </w:tcBorders>
            <w:shd w:val="clear" w:color="auto" w:fill="auto"/>
            <w:vAlign w:val="center"/>
          </w:tcPr>
          <w:p w14:paraId="1C6873D3">
            <w:pPr>
              <w:jc w:val="center"/>
              <w:rPr>
                <w:rFonts w:hint="default" w:ascii="Times New Roman" w:hAnsi="Times New Roman" w:eastAsia="宋体" w:cs="Times New Roman"/>
                <w:i w:val="0"/>
                <w:iCs w:val="0"/>
                <w:color w:val="auto"/>
                <w:sz w:val="18"/>
                <w:szCs w:val="18"/>
                <w:highlight w:val="none"/>
                <w:u w:val="none"/>
              </w:rPr>
            </w:pPr>
          </w:p>
        </w:tc>
        <w:tc>
          <w:tcPr>
            <w:tcW w:w="273" w:type="pct"/>
            <w:vMerge w:val="continue"/>
            <w:tcBorders>
              <w:tl2br w:val="nil"/>
              <w:tr2bl w:val="nil"/>
            </w:tcBorders>
            <w:shd w:val="clear" w:color="auto" w:fill="auto"/>
            <w:vAlign w:val="center"/>
          </w:tcPr>
          <w:p w14:paraId="54435A40">
            <w:pPr>
              <w:jc w:val="center"/>
              <w:rPr>
                <w:rFonts w:hint="default" w:ascii="Times New Roman" w:hAnsi="Times New Roman" w:eastAsia="宋体" w:cs="Times New Roman"/>
                <w:i w:val="0"/>
                <w:iCs w:val="0"/>
                <w:color w:val="auto"/>
                <w:sz w:val="18"/>
                <w:szCs w:val="18"/>
                <w:highlight w:val="none"/>
                <w:u w:val="none"/>
              </w:rPr>
            </w:pPr>
          </w:p>
        </w:tc>
        <w:tc>
          <w:tcPr>
            <w:tcW w:w="294" w:type="pct"/>
            <w:vMerge w:val="continue"/>
            <w:tcBorders>
              <w:tl2br w:val="nil"/>
              <w:tr2bl w:val="nil"/>
            </w:tcBorders>
            <w:shd w:val="clear" w:color="auto" w:fill="auto"/>
            <w:vAlign w:val="center"/>
          </w:tcPr>
          <w:p w14:paraId="0E826B5F">
            <w:pPr>
              <w:jc w:val="center"/>
              <w:rPr>
                <w:rFonts w:hint="default" w:ascii="Times New Roman" w:hAnsi="Times New Roman" w:eastAsia="宋体" w:cs="Times New Roman"/>
                <w:i w:val="0"/>
                <w:iCs w:val="0"/>
                <w:color w:val="auto"/>
                <w:sz w:val="18"/>
                <w:szCs w:val="18"/>
                <w:highlight w:val="none"/>
                <w:u w:val="none"/>
              </w:rPr>
            </w:pPr>
          </w:p>
        </w:tc>
        <w:tc>
          <w:tcPr>
            <w:tcW w:w="689" w:type="pct"/>
            <w:vMerge w:val="continue"/>
            <w:tcBorders>
              <w:tl2br w:val="nil"/>
              <w:tr2bl w:val="nil"/>
            </w:tcBorders>
            <w:shd w:val="clear" w:color="auto" w:fill="auto"/>
            <w:vAlign w:val="center"/>
          </w:tcPr>
          <w:p w14:paraId="21D16AB5">
            <w:pPr>
              <w:jc w:val="center"/>
              <w:rPr>
                <w:rFonts w:hint="default" w:ascii="Times New Roman" w:hAnsi="Times New Roman" w:eastAsia="宋体" w:cs="Times New Roman"/>
                <w:i w:val="0"/>
                <w:iCs w:val="0"/>
                <w:color w:val="auto"/>
                <w:sz w:val="18"/>
                <w:szCs w:val="18"/>
                <w:highlight w:val="none"/>
                <w:u w:val="none"/>
              </w:rPr>
            </w:pPr>
          </w:p>
        </w:tc>
        <w:tc>
          <w:tcPr>
            <w:tcW w:w="255" w:type="pct"/>
            <w:vMerge w:val="continue"/>
            <w:tcBorders>
              <w:tl2br w:val="nil"/>
              <w:tr2bl w:val="nil"/>
            </w:tcBorders>
            <w:shd w:val="clear" w:color="auto" w:fill="auto"/>
            <w:vAlign w:val="center"/>
          </w:tcPr>
          <w:p w14:paraId="28BBE734">
            <w:pPr>
              <w:jc w:val="center"/>
              <w:rPr>
                <w:rFonts w:hint="default" w:ascii="Times New Roman" w:hAnsi="Times New Roman" w:eastAsia="宋体" w:cs="Times New Roman"/>
                <w:i w:val="0"/>
                <w:iCs w:val="0"/>
                <w:color w:val="auto"/>
                <w:sz w:val="18"/>
                <w:szCs w:val="18"/>
                <w:highlight w:val="none"/>
                <w:u w:val="none"/>
              </w:rPr>
            </w:pPr>
          </w:p>
        </w:tc>
        <w:tc>
          <w:tcPr>
            <w:tcW w:w="317" w:type="pct"/>
            <w:tcBorders>
              <w:tl2br w:val="nil"/>
              <w:tr2bl w:val="nil"/>
            </w:tcBorders>
            <w:shd w:val="clear" w:color="auto" w:fill="auto"/>
            <w:vAlign w:val="center"/>
          </w:tcPr>
          <w:p w14:paraId="0AB8FB37">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TP</w:t>
            </w:r>
          </w:p>
        </w:tc>
        <w:tc>
          <w:tcPr>
            <w:tcW w:w="379" w:type="pct"/>
            <w:tcBorders>
              <w:tl2br w:val="nil"/>
              <w:tr2bl w:val="nil"/>
            </w:tcBorders>
            <w:shd w:val="clear" w:color="auto" w:fill="auto"/>
            <w:vAlign w:val="center"/>
          </w:tcPr>
          <w:p w14:paraId="723E85AA">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lang w:val="en-US"/>
              </w:rPr>
            </w:pPr>
            <w:r>
              <w:rPr>
                <w:rFonts w:hint="default" w:ascii="Times New Roman" w:hAnsi="Times New Roman" w:eastAsia="宋体" w:cs="Times New Roman"/>
                <w:i w:val="0"/>
                <w:iCs w:val="0"/>
                <w:color w:val="auto"/>
                <w:kern w:val="0"/>
                <w:sz w:val="18"/>
                <w:szCs w:val="18"/>
                <w:highlight w:val="none"/>
                <w:u w:val="none"/>
                <w:lang w:val="en-US" w:eastAsia="zh-CN" w:bidi="ar"/>
              </w:rPr>
              <w:t xml:space="preserve">0.6 </w:t>
            </w:r>
          </w:p>
        </w:tc>
        <w:tc>
          <w:tcPr>
            <w:tcW w:w="397" w:type="pct"/>
            <w:tcBorders>
              <w:tl2br w:val="nil"/>
              <w:tr2bl w:val="nil"/>
            </w:tcBorders>
            <w:shd w:val="clear" w:color="auto" w:fill="auto"/>
            <w:vAlign w:val="center"/>
          </w:tcPr>
          <w:p w14:paraId="72153C61">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 xml:space="preserve">0.00 </w:t>
            </w:r>
          </w:p>
        </w:tc>
        <w:tc>
          <w:tcPr>
            <w:tcW w:w="404" w:type="pct"/>
            <w:tcBorders>
              <w:tl2br w:val="nil"/>
              <w:tr2bl w:val="nil"/>
            </w:tcBorders>
            <w:shd w:val="clear" w:color="auto" w:fill="auto"/>
            <w:noWrap/>
            <w:vAlign w:val="center"/>
          </w:tcPr>
          <w:p w14:paraId="1B9C37A6">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 xml:space="preserve">0.12 </w:t>
            </w:r>
          </w:p>
        </w:tc>
        <w:tc>
          <w:tcPr>
            <w:tcW w:w="278" w:type="pct"/>
            <w:vMerge w:val="continue"/>
            <w:tcBorders>
              <w:tl2br w:val="nil"/>
              <w:tr2bl w:val="nil"/>
            </w:tcBorders>
            <w:shd w:val="clear" w:color="auto" w:fill="auto"/>
            <w:vAlign w:val="center"/>
          </w:tcPr>
          <w:p w14:paraId="0AD539CB">
            <w:pPr>
              <w:jc w:val="center"/>
              <w:rPr>
                <w:rFonts w:hint="default" w:ascii="Times New Roman" w:hAnsi="Times New Roman" w:eastAsia="宋体" w:cs="Times New Roman"/>
                <w:i w:val="0"/>
                <w:iCs w:val="0"/>
                <w:color w:val="auto"/>
                <w:sz w:val="18"/>
                <w:szCs w:val="18"/>
                <w:highlight w:val="none"/>
                <w:u w:val="none"/>
              </w:rPr>
            </w:pPr>
          </w:p>
        </w:tc>
        <w:tc>
          <w:tcPr>
            <w:tcW w:w="275" w:type="pct"/>
            <w:tcBorders>
              <w:tl2br w:val="nil"/>
              <w:tr2bl w:val="nil"/>
            </w:tcBorders>
            <w:shd w:val="clear" w:color="auto" w:fill="auto"/>
            <w:vAlign w:val="center"/>
          </w:tcPr>
          <w:p w14:paraId="0CE5733E">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TP</w:t>
            </w:r>
          </w:p>
        </w:tc>
        <w:tc>
          <w:tcPr>
            <w:tcW w:w="618" w:type="pct"/>
            <w:tcBorders>
              <w:tl2br w:val="nil"/>
              <w:tr2bl w:val="nil"/>
            </w:tcBorders>
            <w:shd w:val="clear" w:color="auto" w:fill="auto"/>
            <w:vAlign w:val="center"/>
          </w:tcPr>
          <w:p w14:paraId="49C83B9B">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0.3</w:t>
            </w:r>
          </w:p>
        </w:tc>
      </w:tr>
      <w:tr w14:paraId="2222584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12" w:hRule="atLeast"/>
        </w:trPr>
        <w:tc>
          <w:tcPr>
            <w:tcW w:w="170" w:type="pct"/>
            <w:vMerge w:val="continue"/>
            <w:tcBorders>
              <w:tl2br w:val="nil"/>
              <w:tr2bl w:val="nil"/>
            </w:tcBorders>
            <w:shd w:val="clear" w:color="auto" w:fill="auto"/>
            <w:vAlign w:val="center"/>
          </w:tcPr>
          <w:p w14:paraId="054DBD8B">
            <w:pPr>
              <w:jc w:val="center"/>
              <w:rPr>
                <w:rFonts w:hint="default" w:ascii="Times New Roman" w:hAnsi="Times New Roman" w:eastAsia="宋体" w:cs="Times New Roman"/>
                <w:i w:val="0"/>
                <w:iCs w:val="0"/>
                <w:color w:val="auto"/>
                <w:sz w:val="18"/>
                <w:szCs w:val="18"/>
                <w:highlight w:val="none"/>
                <w:u w:val="none"/>
              </w:rPr>
            </w:pPr>
          </w:p>
        </w:tc>
        <w:tc>
          <w:tcPr>
            <w:tcW w:w="336" w:type="pct"/>
            <w:vMerge w:val="continue"/>
            <w:tcBorders>
              <w:tl2br w:val="nil"/>
              <w:tr2bl w:val="nil"/>
            </w:tcBorders>
            <w:shd w:val="clear" w:color="auto" w:fill="auto"/>
            <w:vAlign w:val="center"/>
          </w:tcPr>
          <w:p w14:paraId="73A004CC">
            <w:pPr>
              <w:jc w:val="center"/>
              <w:rPr>
                <w:rFonts w:hint="default" w:ascii="Times New Roman" w:hAnsi="Times New Roman" w:eastAsia="宋体" w:cs="Times New Roman"/>
                <w:i w:val="0"/>
                <w:iCs w:val="0"/>
                <w:color w:val="auto"/>
                <w:sz w:val="18"/>
                <w:szCs w:val="18"/>
                <w:highlight w:val="none"/>
                <w:u w:val="none"/>
              </w:rPr>
            </w:pPr>
          </w:p>
        </w:tc>
        <w:tc>
          <w:tcPr>
            <w:tcW w:w="308" w:type="pct"/>
            <w:vMerge w:val="continue"/>
            <w:tcBorders>
              <w:tl2br w:val="nil"/>
              <w:tr2bl w:val="nil"/>
            </w:tcBorders>
            <w:shd w:val="clear" w:color="auto" w:fill="auto"/>
            <w:vAlign w:val="center"/>
          </w:tcPr>
          <w:p w14:paraId="5EBEA958">
            <w:pPr>
              <w:jc w:val="center"/>
              <w:rPr>
                <w:rFonts w:hint="default" w:ascii="Times New Roman" w:hAnsi="Times New Roman" w:eastAsia="宋体" w:cs="Times New Roman"/>
                <w:i w:val="0"/>
                <w:iCs w:val="0"/>
                <w:color w:val="auto"/>
                <w:sz w:val="18"/>
                <w:szCs w:val="18"/>
                <w:highlight w:val="none"/>
                <w:u w:val="none"/>
              </w:rPr>
            </w:pPr>
          </w:p>
        </w:tc>
        <w:tc>
          <w:tcPr>
            <w:tcW w:w="273" w:type="pct"/>
            <w:vMerge w:val="continue"/>
            <w:tcBorders>
              <w:tl2br w:val="nil"/>
              <w:tr2bl w:val="nil"/>
            </w:tcBorders>
            <w:shd w:val="clear" w:color="auto" w:fill="auto"/>
            <w:vAlign w:val="center"/>
          </w:tcPr>
          <w:p w14:paraId="47051F79">
            <w:pPr>
              <w:jc w:val="center"/>
              <w:rPr>
                <w:rFonts w:hint="default" w:ascii="Times New Roman" w:hAnsi="Times New Roman" w:eastAsia="宋体" w:cs="Times New Roman"/>
                <w:i w:val="0"/>
                <w:iCs w:val="0"/>
                <w:color w:val="auto"/>
                <w:sz w:val="18"/>
                <w:szCs w:val="18"/>
                <w:highlight w:val="none"/>
                <w:u w:val="none"/>
              </w:rPr>
            </w:pPr>
          </w:p>
        </w:tc>
        <w:tc>
          <w:tcPr>
            <w:tcW w:w="294" w:type="pct"/>
            <w:vMerge w:val="continue"/>
            <w:tcBorders>
              <w:tl2br w:val="nil"/>
              <w:tr2bl w:val="nil"/>
            </w:tcBorders>
            <w:shd w:val="clear" w:color="auto" w:fill="auto"/>
            <w:vAlign w:val="center"/>
          </w:tcPr>
          <w:p w14:paraId="571FF674">
            <w:pPr>
              <w:jc w:val="center"/>
              <w:rPr>
                <w:rFonts w:hint="default" w:ascii="Times New Roman" w:hAnsi="Times New Roman" w:eastAsia="宋体" w:cs="Times New Roman"/>
                <w:i w:val="0"/>
                <w:iCs w:val="0"/>
                <w:color w:val="auto"/>
                <w:sz w:val="18"/>
                <w:szCs w:val="18"/>
                <w:highlight w:val="none"/>
                <w:u w:val="none"/>
              </w:rPr>
            </w:pPr>
          </w:p>
        </w:tc>
        <w:tc>
          <w:tcPr>
            <w:tcW w:w="689" w:type="pct"/>
            <w:vMerge w:val="continue"/>
            <w:tcBorders>
              <w:tl2br w:val="nil"/>
              <w:tr2bl w:val="nil"/>
            </w:tcBorders>
            <w:shd w:val="clear" w:color="auto" w:fill="auto"/>
            <w:vAlign w:val="center"/>
          </w:tcPr>
          <w:p w14:paraId="40BB1AB2">
            <w:pPr>
              <w:jc w:val="center"/>
              <w:rPr>
                <w:rFonts w:hint="default" w:ascii="Times New Roman" w:hAnsi="Times New Roman" w:eastAsia="宋体" w:cs="Times New Roman"/>
                <w:i w:val="0"/>
                <w:iCs w:val="0"/>
                <w:color w:val="auto"/>
                <w:sz w:val="18"/>
                <w:szCs w:val="18"/>
                <w:highlight w:val="none"/>
                <w:u w:val="none"/>
              </w:rPr>
            </w:pPr>
          </w:p>
        </w:tc>
        <w:tc>
          <w:tcPr>
            <w:tcW w:w="255" w:type="pct"/>
            <w:vMerge w:val="continue"/>
            <w:tcBorders>
              <w:tl2br w:val="nil"/>
              <w:tr2bl w:val="nil"/>
            </w:tcBorders>
            <w:shd w:val="clear" w:color="auto" w:fill="auto"/>
            <w:vAlign w:val="center"/>
          </w:tcPr>
          <w:p w14:paraId="3794DC71">
            <w:pPr>
              <w:jc w:val="center"/>
              <w:rPr>
                <w:rFonts w:hint="default" w:ascii="Times New Roman" w:hAnsi="Times New Roman" w:eastAsia="宋体" w:cs="Times New Roman"/>
                <w:i w:val="0"/>
                <w:iCs w:val="0"/>
                <w:color w:val="auto"/>
                <w:sz w:val="18"/>
                <w:szCs w:val="18"/>
                <w:highlight w:val="none"/>
                <w:u w:val="none"/>
              </w:rPr>
            </w:pPr>
          </w:p>
        </w:tc>
        <w:tc>
          <w:tcPr>
            <w:tcW w:w="317" w:type="pct"/>
            <w:tcBorders>
              <w:tl2br w:val="nil"/>
              <w:tr2bl w:val="nil"/>
            </w:tcBorders>
            <w:shd w:val="clear" w:color="auto" w:fill="auto"/>
            <w:vAlign w:val="center"/>
          </w:tcPr>
          <w:p w14:paraId="03C266AD">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SS</w:t>
            </w:r>
          </w:p>
        </w:tc>
        <w:tc>
          <w:tcPr>
            <w:tcW w:w="379" w:type="pct"/>
            <w:tcBorders>
              <w:tl2br w:val="nil"/>
              <w:tr2bl w:val="nil"/>
            </w:tcBorders>
            <w:shd w:val="clear" w:color="auto" w:fill="auto"/>
            <w:vAlign w:val="center"/>
          </w:tcPr>
          <w:p w14:paraId="0125A516">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 xml:space="preserve">182.0 </w:t>
            </w:r>
          </w:p>
        </w:tc>
        <w:tc>
          <w:tcPr>
            <w:tcW w:w="397" w:type="pct"/>
            <w:tcBorders>
              <w:tl2br w:val="nil"/>
              <w:tr2bl w:val="nil"/>
            </w:tcBorders>
            <w:shd w:val="clear" w:color="auto" w:fill="auto"/>
            <w:vAlign w:val="center"/>
          </w:tcPr>
          <w:p w14:paraId="3413F3D1">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 xml:space="preserve">0.15 </w:t>
            </w:r>
          </w:p>
        </w:tc>
        <w:tc>
          <w:tcPr>
            <w:tcW w:w="404" w:type="pct"/>
            <w:tcBorders>
              <w:tl2br w:val="nil"/>
              <w:tr2bl w:val="nil"/>
            </w:tcBorders>
            <w:shd w:val="clear" w:color="auto" w:fill="auto"/>
            <w:noWrap/>
            <w:vAlign w:val="center"/>
          </w:tcPr>
          <w:p w14:paraId="6E68EB8A">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 xml:space="preserve">36.20 </w:t>
            </w:r>
          </w:p>
        </w:tc>
        <w:tc>
          <w:tcPr>
            <w:tcW w:w="278" w:type="pct"/>
            <w:vMerge w:val="continue"/>
            <w:tcBorders>
              <w:tl2br w:val="nil"/>
              <w:tr2bl w:val="nil"/>
            </w:tcBorders>
            <w:shd w:val="clear" w:color="auto" w:fill="auto"/>
            <w:vAlign w:val="center"/>
          </w:tcPr>
          <w:p w14:paraId="0251A13A">
            <w:pPr>
              <w:jc w:val="center"/>
              <w:rPr>
                <w:rFonts w:hint="default" w:ascii="Times New Roman" w:hAnsi="Times New Roman" w:eastAsia="宋体" w:cs="Times New Roman"/>
                <w:i w:val="0"/>
                <w:iCs w:val="0"/>
                <w:color w:val="auto"/>
                <w:sz w:val="18"/>
                <w:szCs w:val="18"/>
                <w:highlight w:val="none"/>
                <w:u w:val="none"/>
              </w:rPr>
            </w:pPr>
          </w:p>
        </w:tc>
        <w:tc>
          <w:tcPr>
            <w:tcW w:w="275" w:type="pct"/>
            <w:tcBorders>
              <w:tl2br w:val="nil"/>
              <w:tr2bl w:val="nil"/>
            </w:tcBorders>
            <w:shd w:val="clear" w:color="auto" w:fill="auto"/>
            <w:vAlign w:val="center"/>
          </w:tcPr>
          <w:p w14:paraId="01100B4E">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SS</w:t>
            </w:r>
          </w:p>
        </w:tc>
        <w:tc>
          <w:tcPr>
            <w:tcW w:w="618" w:type="pct"/>
            <w:tcBorders>
              <w:tl2br w:val="nil"/>
              <w:tr2bl w:val="nil"/>
            </w:tcBorders>
            <w:shd w:val="clear" w:color="auto" w:fill="auto"/>
            <w:vAlign w:val="center"/>
          </w:tcPr>
          <w:p w14:paraId="22DB8811">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10</w:t>
            </w:r>
          </w:p>
        </w:tc>
      </w:tr>
      <w:tr w14:paraId="3423C4C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trPr>
        <w:tc>
          <w:tcPr>
            <w:tcW w:w="170" w:type="pct"/>
            <w:vMerge w:val="continue"/>
            <w:tcBorders>
              <w:tl2br w:val="nil"/>
              <w:tr2bl w:val="nil"/>
            </w:tcBorders>
            <w:shd w:val="clear" w:color="auto" w:fill="auto"/>
            <w:vAlign w:val="center"/>
          </w:tcPr>
          <w:p w14:paraId="04882C5C">
            <w:pPr>
              <w:jc w:val="center"/>
              <w:rPr>
                <w:rFonts w:hint="default" w:ascii="Times New Roman" w:hAnsi="Times New Roman" w:eastAsia="宋体" w:cs="Times New Roman"/>
                <w:i w:val="0"/>
                <w:iCs w:val="0"/>
                <w:color w:val="auto"/>
                <w:sz w:val="18"/>
                <w:szCs w:val="18"/>
                <w:highlight w:val="none"/>
                <w:u w:val="none"/>
              </w:rPr>
            </w:pPr>
          </w:p>
        </w:tc>
        <w:tc>
          <w:tcPr>
            <w:tcW w:w="336" w:type="pct"/>
            <w:vMerge w:val="continue"/>
            <w:tcBorders>
              <w:tl2br w:val="nil"/>
              <w:tr2bl w:val="nil"/>
            </w:tcBorders>
            <w:shd w:val="clear" w:color="auto" w:fill="auto"/>
            <w:vAlign w:val="center"/>
          </w:tcPr>
          <w:p w14:paraId="08E5143A">
            <w:pPr>
              <w:jc w:val="center"/>
              <w:rPr>
                <w:rFonts w:hint="default" w:ascii="Times New Roman" w:hAnsi="Times New Roman" w:eastAsia="宋体" w:cs="Times New Roman"/>
                <w:i w:val="0"/>
                <w:iCs w:val="0"/>
                <w:color w:val="auto"/>
                <w:sz w:val="18"/>
                <w:szCs w:val="18"/>
                <w:highlight w:val="none"/>
                <w:u w:val="none"/>
              </w:rPr>
            </w:pPr>
          </w:p>
        </w:tc>
        <w:tc>
          <w:tcPr>
            <w:tcW w:w="308" w:type="pct"/>
            <w:vMerge w:val="continue"/>
            <w:tcBorders>
              <w:tl2br w:val="nil"/>
              <w:tr2bl w:val="nil"/>
            </w:tcBorders>
            <w:shd w:val="clear" w:color="auto" w:fill="auto"/>
            <w:vAlign w:val="center"/>
          </w:tcPr>
          <w:p w14:paraId="55D9E1AD">
            <w:pPr>
              <w:jc w:val="center"/>
              <w:rPr>
                <w:rFonts w:hint="default" w:ascii="Times New Roman" w:hAnsi="Times New Roman" w:eastAsia="宋体" w:cs="Times New Roman"/>
                <w:i w:val="0"/>
                <w:iCs w:val="0"/>
                <w:color w:val="auto"/>
                <w:sz w:val="18"/>
                <w:szCs w:val="18"/>
                <w:highlight w:val="none"/>
                <w:u w:val="none"/>
              </w:rPr>
            </w:pPr>
          </w:p>
        </w:tc>
        <w:tc>
          <w:tcPr>
            <w:tcW w:w="273" w:type="pct"/>
            <w:vMerge w:val="continue"/>
            <w:tcBorders>
              <w:tl2br w:val="nil"/>
              <w:tr2bl w:val="nil"/>
            </w:tcBorders>
            <w:shd w:val="clear" w:color="auto" w:fill="auto"/>
            <w:vAlign w:val="center"/>
          </w:tcPr>
          <w:p w14:paraId="7CBEB415">
            <w:pPr>
              <w:jc w:val="center"/>
              <w:rPr>
                <w:rFonts w:hint="default" w:ascii="Times New Roman" w:hAnsi="Times New Roman" w:eastAsia="宋体" w:cs="Times New Roman"/>
                <w:i w:val="0"/>
                <w:iCs w:val="0"/>
                <w:color w:val="auto"/>
                <w:sz w:val="18"/>
                <w:szCs w:val="18"/>
                <w:highlight w:val="none"/>
                <w:u w:val="none"/>
              </w:rPr>
            </w:pPr>
          </w:p>
        </w:tc>
        <w:tc>
          <w:tcPr>
            <w:tcW w:w="294" w:type="pct"/>
            <w:vMerge w:val="continue"/>
            <w:tcBorders>
              <w:tl2br w:val="nil"/>
              <w:tr2bl w:val="nil"/>
            </w:tcBorders>
            <w:shd w:val="clear" w:color="auto" w:fill="auto"/>
            <w:vAlign w:val="center"/>
          </w:tcPr>
          <w:p w14:paraId="60C17080">
            <w:pPr>
              <w:jc w:val="center"/>
              <w:rPr>
                <w:rFonts w:hint="default" w:ascii="Times New Roman" w:hAnsi="Times New Roman" w:eastAsia="宋体" w:cs="Times New Roman"/>
                <w:i w:val="0"/>
                <w:iCs w:val="0"/>
                <w:color w:val="auto"/>
                <w:sz w:val="18"/>
                <w:szCs w:val="18"/>
                <w:highlight w:val="none"/>
                <w:u w:val="none"/>
              </w:rPr>
            </w:pPr>
          </w:p>
        </w:tc>
        <w:tc>
          <w:tcPr>
            <w:tcW w:w="689" w:type="pct"/>
            <w:vMerge w:val="continue"/>
            <w:tcBorders>
              <w:tl2br w:val="nil"/>
              <w:tr2bl w:val="nil"/>
            </w:tcBorders>
            <w:shd w:val="clear" w:color="auto" w:fill="auto"/>
            <w:vAlign w:val="center"/>
          </w:tcPr>
          <w:p w14:paraId="0165AB72">
            <w:pPr>
              <w:jc w:val="center"/>
              <w:rPr>
                <w:rFonts w:hint="default" w:ascii="Times New Roman" w:hAnsi="Times New Roman" w:eastAsia="宋体" w:cs="Times New Roman"/>
                <w:i w:val="0"/>
                <w:iCs w:val="0"/>
                <w:color w:val="auto"/>
                <w:sz w:val="18"/>
                <w:szCs w:val="18"/>
                <w:highlight w:val="none"/>
                <w:u w:val="none"/>
              </w:rPr>
            </w:pPr>
          </w:p>
        </w:tc>
        <w:tc>
          <w:tcPr>
            <w:tcW w:w="255" w:type="pct"/>
            <w:vMerge w:val="continue"/>
            <w:tcBorders>
              <w:tl2br w:val="nil"/>
              <w:tr2bl w:val="nil"/>
            </w:tcBorders>
            <w:shd w:val="clear" w:color="auto" w:fill="auto"/>
            <w:vAlign w:val="center"/>
          </w:tcPr>
          <w:p w14:paraId="1B425E2D">
            <w:pPr>
              <w:jc w:val="center"/>
              <w:rPr>
                <w:rFonts w:hint="default" w:ascii="Times New Roman" w:hAnsi="Times New Roman" w:eastAsia="宋体" w:cs="Times New Roman"/>
                <w:i w:val="0"/>
                <w:iCs w:val="0"/>
                <w:color w:val="auto"/>
                <w:sz w:val="18"/>
                <w:szCs w:val="18"/>
                <w:highlight w:val="none"/>
                <w:u w:val="none"/>
              </w:rPr>
            </w:pPr>
          </w:p>
        </w:tc>
        <w:tc>
          <w:tcPr>
            <w:tcW w:w="317" w:type="pct"/>
            <w:tcBorders>
              <w:tl2br w:val="nil"/>
              <w:tr2bl w:val="nil"/>
            </w:tcBorders>
            <w:shd w:val="clear" w:color="auto" w:fill="auto"/>
            <w:vAlign w:val="center"/>
          </w:tcPr>
          <w:p w14:paraId="4671C59E">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NH</w:t>
            </w:r>
            <w:r>
              <w:rPr>
                <w:rFonts w:hint="default" w:ascii="Times New Roman" w:hAnsi="Times New Roman" w:eastAsia="宋体" w:cs="Times New Roman"/>
                <w:i w:val="0"/>
                <w:iCs w:val="0"/>
                <w:color w:val="auto"/>
                <w:kern w:val="0"/>
                <w:sz w:val="18"/>
                <w:szCs w:val="18"/>
                <w:highlight w:val="none"/>
                <w:u w:val="none"/>
                <w:vertAlign w:val="subscript"/>
                <w:lang w:val="en-US" w:eastAsia="zh-CN" w:bidi="ar"/>
              </w:rPr>
              <w:t>3</w:t>
            </w:r>
            <w:r>
              <w:rPr>
                <w:rFonts w:hint="default" w:ascii="Times New Roman" w:hAnsi="Times New Roman" w:eastAsia="宋体" w:cs="Times New Roman"/>
                <w:i w:val="0"/>
                <w:iCs w:val="0"/>
                <w:color w:val="auto"/>
                <w:kern w:val="0"/>
                <w:sz w:val="18"/>
                <w:szCs w:val="18"/>
                <w:highlight w:val="none"/>
                <w:u w:val="none"/>
                <w:lang w:val="en-US" w:eastAsia="zh-CN" w:bidi="ar"/>
              </w:rPr>
              <w:t>-N</w:t>
            </w:r>
          </w:p>
        </w:tc>
        <w:tc>
          <w:tcPr>
            <w:tcW w:w="379" w:type="pct"/>
            <w:tcBorders>
              <w:tl2br w:val="nil"/>
              <w:tr2bl w:val="nil"/>
            </w:tcBorders>
            <w:shd w:val="clear" w:color="auto" w:fill="auto"/>
            <w:vAlign w:val="center"/>
          </w:tcPr>
          <w:p w14:paraId="6C984370">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 xml:space="preserve">22.5 </w:t>
            </w:r>
          </w:p>
        </w:tc>
        <w:tc>
          <w:tcPr>
            <w:tcW w:w="397" w:type="pct"/>
            <w:tcBorders>
              <w:tl2br w:val="nil"/>
              <w:tr2bl w:val="nil"/>
            </w:tcBorders>
            <w:shd w:val="clear" w:color="auto" w:fill="auto"/>
            <w:vAlign w:val="center"/>
          </w:tcPr>
          <w:p w14:paraId="47E67391">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 xml:space="preserve">0.02 </w:t>
            </w:r>
          </w:p>
        </w:tc>
        <w:tc>
          <w:tcPr>
            <w:tcW w:w="404" w:type="pct"/>
            <w:tcBorders>
              <w:tl2br w:val="nil"/>
              <w:tr2bl w:val="nil"/>
            </w:tcBorders>
            <w:shd w:val="clear" w:color="auto" w:fill="auto"/>
            <w:noWrap/>
            <w:vAlign w:val="center"/>
          </w:tcPr>
          <w:p w14:paraId="49CB5D7F">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 xml:space="preserve">4.47 </w:t>
            </w:r>
          </w:p>
        </w:tc>
        <w:tc>
          <w:tcPr>
            <w:tcW w:w="278" w:type="pct"/>
            <w:vMerge w:val="continue"/>
            <w:tcBorders>
              <w:tl2br w:val="nil"/>
              <w:tr2bl w:val="nil"/>
            </w:tcBorders>
            <w:shd w:val="clear" w:color="auto" w:fill="auto"/>
            <w:vAlign w:val="center"/>
          </w:tcPr>
          <w:p w14:paraId="556816B2">
            <w:pPr>
              <w:jc w:val="center"/>
              <w:rPr>
                <w:rFonts w:hint="default" w:ascii="Times New Roman" w:hAnsi="Times New Roman" w:eastAsia="宋体" w:cs="Times New Roman"/>
                <w:i w:val="0"/>
                <w:iCs w:val="0"/>
                <w:color w:val="auto"/>
                <w:sz w:val="18"/>
                <w:szCs w:val="18"/>
                <w:highlight w:val="none"/>
                <w:u w:val="none"/>
              </w:rPr>
            </w:pPr>
          </w:p>
        </w:tc>
        <w:tc>
          <w:tcPr>
            <w:tcW w:w="275" w:type="pct"/>
            <w:tcBorders>
              <w:tl2br w:val="nil"/>
              <w:tr2bl w:val="nil"/>
            </w:tcBorders>
            <w:shd w:val="clear" w:color="auto" w:fill="auto"/>
            <w:vAlign w:val="center"/>
          </w:tcPr>
          <w:p w14:paraId="308DE2ED">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NH</w:t>
            </w:r>
            <w:r>
              <w:rPr>
                <w:rFonts w:hint="default" w:ascii="Times New Roman" w:hAnsi="Times New Roman" w:eastAsia="宋体" w:cs="Times New Roman"/>
                <w:i w:val="0"/>
                <w:iCs w:val="0"/>
                <w:color w:val="auto"/>
                <w:kern w:val="0"/>
                <w:sz w:val="18"/>
                <w:szCs w:val="18"/>
                <w:highlight w:val="none"/>
                <w:u w:val="none"/>
                <w:vertAlign w:val="subscript"/>
                <w:lang w:val="en-US" w:eastAsia="zh-CN" w:bidi="ar"/>
              </w:rPr>
              <w:t>3</w:t>
            </w:r>
            <w:r>
              <w:rPr>
                <w:rFonts w:hint="default" w:ascii="Times New Roman" w:hAnsi="Times New Roman" w:eastAsia="宋体" w:cs="Times New Roman"/>
                <w:i w:val="0"/>
                <w:iCs w:val="0"/>
                <w:color w:val="auto"/>
                <w:kern w:val="0"/>
                <w:sz w:val="18"/>
                <w:szCs w:val="18"/>
                <w:highlight w:val="none"/>
                <w:u w:val="none"/>
                <w:lang w:val="en-US" w:eastAsia="zh-CN" w:bidi="ar"/>
              </w:rPr>
              <w:t>-N</w:t>
            </w:r>
          </w:p>
        </w:tc>
        <w:tc>
          <w:tcPr>
            <w:tcW w:w="618" w:type="pct"/>
            <w:tcBorders>
              <w:tl2br w:val="nil"/>
              <w:tr2bl w:val="nil"/>
            </w:tcBorders>
            <w:shd w:val="clear" w:color="auto" w:fill="auto"/>
            <w:vAlign w:val="center"/>
          </w:tcPr>
          <w:p w14:paraId="3ADF19B8">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2(4)</w:t>
            </w:r>
          </w:p>
        </w:tc>
      </w:tr>
    </w:tbl>
    <w:p w14:paraId="1F120370">
      <w:pPr>
        <w:tabs>
          <w:tab w:val="left" w:pos="0"/>
        </w:tabs>
        <w:spacing w:line="360" w:lineRule="auto"/>
        <w:jc w:val="center"/>
        <w:rPr>
          <w:b/>
          <w:color w:val="auto"/>
          <w:kern w:val="0"/>
          <w:sz w:val="28"/>
          <w:szCs w:val="28"/>
          <w:highlight w:val="none"/>
        </w:rPr>
      </w:pPr>
    </w:p>
    <w:p w14:paraId="04D3C026">
      <w:pPr>
        <w:adjustRightInd w:val="0"/>
        <w:snapToGrid w:val="0"/>
        <w:spacing w:line="360" w:lineRule="auto"/>
        <w:rPr>
          <w:b/>
          <w:color w:val="auto"/>
          <w:kern w:val="0"/>
          <w:sz w:val="28"/>
          <w:szCs w:val="28"/>
          <w:highlight w:val="none"/>
        </w:rPr>
      </w:pPr>
    </w:p>
    <w:p w14:paraId="56D33DD0">
      <w:pPr>
        <w:adjustRightInd w:val="0"/>
        <w:snapToGrid w:val="0"/>
        <w:spacing w:line="360" w:lineRule="auto"/>
        <w:rPr>
          <w:b/>
          <w:color w:val="auto"/>
          <w:kern w:val="0"/>
          <w:sz w:val="28"/>
          <w:szCs w:val="28"/>
          <w:highlight w:val="none"/>
        </w:rPr>
      </w:pPr>
    </w:p>
    <w:p w14:paraId="318549AA">
      <w:pPr>
        <w:adjustRightInd w:val="0"/>
        <w:snapToGrid w:val="0"/>
        <w:spacing w:line="360" w:lineRule="auto"/>
        <w:rPr>
          <w:rFonts w:ascii="Times New Roman" w:hAnsi="Times New Roman" w:cs="Times New Roman"/>
          <w:b/>
          <w:color w:val="auto"/>
          <w:kern w:val="0"/>
          <w:sz w:val="28"/>
          <w:szCs w:val="28"/>
          <w:highlight w:val="none"/>
        </w:rPr>
        <w:sectPr>
          <w:pgSz w:w="16838" w:h="11906" w:orient="landscape"/>
          <w:pgMar w:top="1531" w:right="1701" w:bottom="1531" w:left="2127" w:header="851" w:footer="851" w:gutter="0"/>
          <w:pgBorders>
            <w:top w:val="none" w:sz="0" w:space="0"/>
            <w:left w:val="none" w:sz="0" w:space="0"/>
            <w:bottom w:val="none" w:sz="0" w:space="0"/>
            <w:right w:val="none" w:sz="0" w:space="0"/>
          </w:pgBorders>
          <w:cols w:space="720" w:num="1"/>
          <w:docGrid w:linePitch="312" w:charSpace="0"/>
        </w:sectPr>
      </w:pPr>
    </w:p>
    <w:tbl>
      <w:tblPr>
        <w:tblStyle w:val="2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8"/>
        <w:gridCol w:w="7846"/>
      </w:tblGrid>
      <w:tr w14:paraId="44E97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p w14:paraId="4490B7A1">
            <w:pPr>
              <w:adjustRightInd w:val="0"/>
              <w:snapToGrid w:val="0"/>
              <w:jc w:val="center"/>
              <w:rPr>
                <w:bCs/>
                <w:color w:val="auto"/>
                <w:szCs w:val="21"/>
                <w:highlight w:val="none"/>
              </w:rPr>
            </w:pPr>
            <w:bookmarkStart w:id="51" w:name="_Toc30770"/>
            <w:bookmarkStart w:id="52" w:name="_Toc8690"/>
            <w:bookmarkStart w:id="53" w:name="_Toc8670"/>
            <w:bookmarkStart w:id="54" w:name="_Toc19550"/>
            <w:bookmarkStart w:id="55" w:name="_Toc14441"/>
            <w:r>
              <w:rPr>
                <w:bCs/>
                <w:color w:val="auto"/>
                <w:szCs w:val="21"/>
                <w:highlight w:val="none"/>
              </w:rPr>
              <w:t>运营</w:t>
            </w:r>
          </w:p>
          <w:p w14:paraId="28766C77">
            <w:pPr>
              <w:adjustRightInd w:val="0"/>
              <w:snapToGrid w:val="0"/>
              <w:jc w:val="center"/>
              <w:rPr>
                <w:bCs/>
                <w:color w:val="auto"/>
                <w:szCs w:val="21"/>
                <w:highlight w:val="none"/>
              </w:rPr>
            </w:pPr>
            <w:r>
              <w:rPr>
                <w:bCs/>
                <w:color w:val="auto"/>
                <w:szCs w:val="21"/>
                <w:highlight w:val="none"/>
              </w:rPr>
              <w:t>期环</w:t>
            </w:r>
          </w:p>
          <w:p w14:paraId="00FD02B0">
            <w:pPr>
              <w:adjustRightInd w:val="0"/>
              <w:snapToGrid w:val="0"/>
              <w:jc w:val="center"/>
              <w:rPr>
                <w:bCs/>
                <w:color w:val="auto"/>
                <w:szCs w:val="21"/>
                <w:highlight w:val="none"/>
              </w:rPr>
            </w:pPr>
            <w:r>
              <w:rPr>
                <w:bCs/>
                <w:color w:val="auto"/>
                <w:szCs w:val="21"/>
                <w:highlight w:val="none"/>
              </w:rPr>
              <w:t>境影</w:t>
            </w:r>
          </w:p>
          <w:p w14:paraId="44ED5320">
            <w:pPr>
              <w:adjustRightInd w:val="0"/>
              <w:snapToGrid w:val="0"/>
              <w:jc w:val="center"/>
              <w:rPr>
                <w:bCs/>
                <w:color w:val="auto"/>
                <w:szCs w:val="21"/>
                <w:highlight w:val="none"/>
              </w:rPr>
            </w:pPr>
            <w:r>
              <w:rPr>
                <w:bCs/>
                <w:color w:val="auto"/>
                <w:szCs w:val="21"/>
                <w:highlight w:val="none"/>
              </w:rPr>
              <w:t>响和</w:t>
            </w:r>
          </w:p>
          <w:p w14:paraId="66ECC00A">
            <w:pPr>
              <w:adjustRightInd w:val="0"/>
              <w:snapToGrid w:val="0"/>
              <w:jc w:val="center"/>
              <w:rPr>
                <w:bCs/>
                <w:color w:val="auto"/>
                <w:szCs w:val="21"/>
                <w:highlight w:val="none"/>
              </w:rPr>
            </w:pPr>
            <w:r>
              <w:rPr>
                <w:bCs/>
                <w:color w:val="auto"/>
                <w:szCs w:val="21"/>
                <w:highlight w:val="none"/>
              </w:rPr>
              <w:t>保护</w:t>
            </w:r>
          </w:p>
          <w:p w14:paraId="3FA3F045">
            <w:pPr>
              <w:adjustRightInd w:val="0"/>
              <w:snapToGrid w:val="0"/>
              <w:spacing w:line="360" w:lineRule="auto"/>
              <w:jc w:val="center"/>
              <w:rPr>
                <w:b/>
                <w:color w:val="auto"/>
                <w:kern w:val="0"/>
                <w:sz w:val="28"/>
                <w:szCs w:val="28"/>
                <w:highlight w:val="none"/>
              </w:rPr>
            </w:pPr>
            <w:r>
              <w:rPr>
                <w:bCs/>
                <w:color w:val="auto"/>
                <w:szCs w:val="21"/>
                <w:highlight w:val="none"/>
              </w:rPr>
              <w:t>措施</w:t>
            </w:r>
          </w:p>
        </w:tc>
        <w:tc>
          <w:tcPr>
            <w:tcW w:w="7847" w:type="dxa"/>
          </w:tcPr>
          <w:p w14:paraId="51815E05">
            <w:pPr>
              <w:numPr>
                <w:ilvl w:val="0"/>
                <w:numId w:val="10"/>
              </w:numPr>
              <w:spacing w:line="360" w:lineRule="auto"/>
              <w:rPr>
                <w:b/>
                <w:bCs/>
                <w:color w:val="auto"/>
                <w:szCs w:val="21"/>
                <w:highlight w:val="none"/>
              </w:rPr>
            </w:pPr>
            <w:r>
              <w:rPr>
                <w:rFonts w:hint="default"/>
                <w:b/>
                <w:bCs/>
                <w:color w:val="auto"/>
                <w:szCs w:val="21"/>
                <w:highlight w:val="none"/>
              </w:rPr>
              <w:t>水环境影响分析</w:t>
            </w:r>
          </w:p>
          <w:p w14:paraId="1EFBD856">
            <w:pPr>
              <w:numPr>
                <w:ilvl w:val="0"/>
                <w:numId w:val="11"/>
              </w:numPr>
              <w:spacing w:line="360" w:lineRule="auto"/>
              <w:rPr>
                <w:b/>
                <w:bCs/>
                <w:color w:val="auto"/>
                <w:szCs w:val="21"/>
                <w:highlight w:val="none"/>
              </w:rPr>
            </w:pPr>
            <w:r>
              <w:rPr>
                <w:rFonts w:hint="default"/>
                <w:b/>
                <w:bCs/>
                <w:color w:val="auto"/>
                <w:szCs w:val="21"/>
                <w:highlight w:val="none"/>
              </w:rPr>
              <w:t>水污染控制措施有效性评价</w:t>
            </w:r>
          </w:p>
          <w:p w14:paraId="68790583">
            <w:pPr>
              <w:widowControl w:val="0"/>
              <w:numPr>
                <w:ilvl w:val="0"/>
                <w:numId w:val="0"/>
              </w:numPr>
              <w:spacing w:line="360" w:lineRule="auto"/>
              <w:ind w:firstLine="420" w:firstLineChars="200"/>
              <w:jc w:val="both"/>
              <w:rPr>
                <w:rFonts w:hint="default" w:eastAsia="宋体"/>
                <w:b w:val="0"/>
                <w:bCs w:val="0"/>
                <w:color w:val="auto"/>
                <w:szCs w:val="21"/>
                <w:highlight w:val="none"/>
                <w:lang w:val="en-US" w:eastAsia="zh-CN"/>
              </w:rPr>
            </w:pPr>
            <w:r>
              <w:rPr>
                <w:rFonts w:hint="default"/>
                <w:b w:val="0"/>
                <w:bCs w:val="0"/>
                <w:color w:val="auto"/>
                <w:szCs w:val="21"/>
                <w:highlight w:val="none"/>
                <w:lang w:val="en-US" w:eastAsia="zh-CN"/>
              </w:rPr>
              <w:t>根据园区排水许可证，良渚污水处理厂废水接管标准为：化学需氧量≤500 mg/L、悬浮物≤400 mg/L、氨氮（以N计）≤45 mg/L，总磷≤8 mg/L。根据签署分析，预计本项目各类废水中的污染物经过预处理后均能达到良渚污水处理厂接管标准要求，可以接管。</w:t>
            </w:r>
          </w:p>
          <w:p w14:paraId="1DAFACBA">
            <w:pPr>
              <w:numPr>
                <w:ilvl w:val="0"/>
                <w:numId w:val="11"/>
              </w:numPr>
              <w:spacing w:line="360" w:lineRule="auto"/>
              <w:rPr>
                <w:b/>
                <w:bCs/>
                <w:color w:val="auto"/>
                <w:szCs w:val="21"/>
                <w:highlight w:val="none"/>
              </w:rPr>
            </w:pPr>
            <w:r>
              <w:rPr>
                <w:rFonts w:hint="default"/>
                <w:b/>
                <w:bCs/>
                <w:color w:val="auto"/>
                <w:szCs w:val="21"/>
                <w:highlight w:val="none"/>
              </w:rPr>
              <w:t>污水处理厂依托可行性</w:t>
            </w:r>
          </w:p>
          <w:p w14:paraId="14D10033">
            <w:pPr>
              <w:spacing w:line="360" w:lineRule="auto"/>
              <w:ind w:firstLine="420" w:firstLineChars="200"/>
              <w:rPr>
                <w:b/>
                <w:bCs/>
                <w:color w:val="auto"/>
                <w:szCs w:val="21"/>
                <w:highlight w:val="none"/>
              </w:rPr>
            </w:pPr>
            <w:r>
              <w:rPr>
                <w:color w:val="auto"/>
                <w:highlight w:val="none"/>
              </w:rPr>
              <w:t>良渚污水处理厂位于良渚港、潘塘河交叉口东侧，良渚污水系统主要包括良渚西片污水干管系统、勾庄片区污水干管系统、仁和片区污水干管系统、瓶窑污水干管系统。本项目位于仁和街道，在其服务范围之内，区域道路配套的污水管网已建成，因此，本项目废水可纳入区域污水管网。</w:t>
            </w:r>
          </w:p>
          <w:p w14:paraId="5709413B">
            <w:pPr>
              <w:adjustRightInd w:val="0"/>
              <w:snapToGrid w:val="0"/>
              <w:spacing w:line="360" w:lineRule="auto"/>
              <w:ind w:firstLine="420" w:firstLineChars="200"/>
              <w:rPr>
                <w:color w:val="auto"/>
                <w:highlight w:val="none"/>
              </w:rPr>
            </w:pPr>
            <w:r>
              <w:rPr>
                <w:color w:val="auto"/>
                <w:highlight w:val="none"/>
              </w:rPr>
              <w:t>目前良渚污水处理厂一、二、三、四期工程均已正式运行，出水水质中COD</w:t>
            </w:r>
            <w:r>
              <w:rPr>
                <w:color w:val="auto"/>
                <w:highlight w:val="none"/>
                <w:vertAlign w:val="subscript"/>
              </w:rPr>
              <w:t>Cr</w:t>
            </w:r>
            <w:r>
              <w:rPr>
                <w:color w:val="auto"/>
                <w:highlight w:val="none"/>
              </w:rPr>
              <w:t>、氨氮、总氮和总磷指标可达《城镇污水处理厂主要水污染物排放标准》（DB33/2169-2018）中表1现有城镇污水处理厂主要水污染物排放限值。良渚污水</w:t>
            </w:r>
            <w:r>
              <w:rPr>
                <w:rFonts w:hint="default"/>
                <w:color w:val="auto"/>
                <w:highlight w:val="none"/>
              </w:rPr>
              <w:t>处理</w:t>
            </w:r>
            <w:r>
              <w:rPr>
                <w:color w:val="auto"/>
                <w:highlight w:val="none"/>
              </w:rPr>
              <w:t>厂受纳水体为良渚港，其设计日处理量为9.9万t/d，结合最大废水瞬时流量计算可知，目前工况负荷约74.4%，富余处理能力约2.5万t/d，本项目实施后新增废水排放量约</w:t>
            </w:r>
            <w:r>
              <w:rPr>
                <w:rFonts w:hint="default"/>
                <w:color w:val="auto"/>
                <w:highlight w:val="none"/>
              </w:rPr>
              <w:t>0.</w:t>
            </w:r>
            <w:r>
              <w:rPr>
                <w:rFonts w:hint="default"/>
                <w:color w:val="auto"/>
                <w:highlight w:val="none"/>
                <w:lang w:val="en-US" w:eastAsia="zh-CN"/>
              </w:rPr>
              <w:t>8</w:t>
            </w:r>
            <w:r>
              <w:rPr>
                <w:rFonts w:hint="default"/>
                <w:color w:val="auto"/>
                <w:highlight w:val="none"/>
              </w:rPr>
              <w:t xml:space="preserve"> t</w:t>
            </w:r>
            <w:r>
              <w:rPr>
                <w:color w:val="auto"/>
                <w:highlight w:val="none"/>
              </w:rPr>
              <w:t>/d，需处理水量尚在良渚污水处理厂的余量范围之内，不会对污水处理厂正常运行产生不良影响。本项目废水污染因子主要为pH、</w:t>
            </w:r>
            <w:r>
              <w:rPr>
                <w:rFonts w:eastAsia="等线"/>
                <w:color w:val="auto"/>
                <w:kern w:val="0"/>
                <w:szCs w:val="21"/>
                <w:highlight w:val="none"/>
              </w:rPr>
              <w:t>COD</w:t>
            </w:r>
            <w:r>
              <w:rPr>
                <w:rFonts w:eastAsia="等线"/>
                <w:color w:val="auto"/>
                <w:kern w:val="0"/>
                <w:szCs w:val="21"/>
                <w:highlight w:val="none"/>
                <w:vertAlign w:val="subscript"/>
              </w:rPr>
              <w:t>Cr</w:t>
            </w:r>
            <w:r>
              <w:rPr>
                <w:color w:val="auto"/>
                <w:highlight w:val="none"/>
              </w:rPr>
              <w:t>、氨氮、SS、</w:t>
            </w:r>
            <w:r>
              <w:rPr>
                <w:rFonts w:hint="default"/>
                <w:color w:val="auto"/>
                <w:highlight w:val="none"/>
              </w:rPr>
              <w:t>TP</w:t>
            </w:r>
            <w:r>
              <w:rPr>
                <w:color w:val="auto"/>
                <w:highlight w:val="none"/>
              </w:rPr>
              <w:t>等，污染物浓度均较低，对污水处理厂不会造成冲击影响。</w:t>
            </w:r>
          </w:p>
          <w:p w14:paraId="4D895E21">
            <w:pPr>
              <w:autoSpaceDE w:val="0"/>
              <w:autoSpaceDN w:val="0"/>
              <w:adjustRightInd w:val="0"/>
              <w:spacing w:line="360" w:lineRule="auto"/>
              <w:ind w:firstLine="420" w:firstLineChars="200"/>
              <w:rPr>
                <w:color w:val="auto"/>
                <w:highlight w:val="none"/>
              </w:rPr>
            </w:pPr>
            <w:r>
              <w:rPr>
                <w:color w:val="auto"/>
                <w:highlight w:val="none"/>
              </w:rPr>
              <w:t>综上所述，本项目废水水质简单，均能够达到纳管标准，接收项目废水的污水处理厂尚有一定余量，废水接管后不会对污水处理厂产生不良影响；废水经治理后达标排放，不会对周围的地表水环境产生明显影响。因此，本项目的地表水环境影响是可以接受的。</w:t>
            </w:r>
          </w:p>
          <w:p w14:paraId="472F56A5">
            <w:pPr>
              <w:numPr>
                <w:ilvl w:val="0"/>
                <w:numId w:val="10"/>
              </w:numPr>
              <w:autoSpaceDE w:val="0"/>
              <w:autoSpaceDN w:val="0"/>
              <w:adjustRightInd w:val="0"/>
              <w:spacing w:line="360" w:lineRule="auto"/>
              <w:ind w:firstLine="0" w:firstLineChars="0"/>
              <w:rPr>
                <w:rFonts w:hint="eastAsia"/>
                <w:b/>
                <w:bCs/>
                <w:color w:val="auto"/>
                <w:highlight w:val="none"/>
                <w:lang w:val="en-US" w:eastAsia="zh-CN"/>
              </w:rPr>
            </w:pPr>
            <w:r>
              <w:rPr>
                <w:rFonts w:hint="eastAsia"/>
                <w:b/>
                <w:bCs/>
                <w:color w:val="auto"/>
                <w:highlight w:val="none"/>
                <w:lang w:val="en-US" w:eastAsia="zh-CN"/>
              </w:rPr>
              <w:t>监测计划</w:t>
            </w:r>
          </w:p>
          <w:p w14:paraId="5127A61B">
            <w:pPr>
              <w:pStyle w:val="14"/>
              <w:numPr>
                <w:ilvl w:val="0"/>
                <w:numId w:val="0"/>
              </w:numPr>
              <w:spacing w:line="360" w:lineRule="auto"/>
              <w:ind w:firstLine="420" w:firstLineChars="200"/>
              <w:rPr>
                <w:rFonts w:hint="eastAsia"/>
                <w:color w:val="auto"/>
                <w:sz w:val="21"/>
                <w:szCs w:val="21"/>
                <w:highlight w:val="none"/>
                <w:lang w:val="en-US" w:eastAsia="zh-CN"/>
              </w:rPr>
            </w:pPr>
            <w:r>
              <w:rPr>
                <w:rFonts w:hint="eastAsia"/>
                <w:color w:val="auto"/>
                <w:sz w:val="21"/>
                <w:szCs w:val="21"/>
                <w:highlight w:val="none"/>
                <w:lang w:val="en-US" w:eastAsia="zh-CN"/>
              </w:rPr>
              <w:t>根据《排污单位自行检测技术指南 总则》</w:t>
            </w:r>
            <w:r>
              <w:rPr>
                <w:rFonts w:hint="default" w:ascii="Times New Roman" w:hAnsi="Times New Roman" w:cs="Times New Roman"/>
                <w:color w:val="auto"/>
                <w:sz w:val="21"/>
                <w:szCs w:val="21"/>
                <w:highlight w:val="none"/>
                <w:lang w:val="en-US" w:eastAsia="zh-CN"/>
              </w:rPr>
              <w:t>（HJ 819-2017）要</w:t>
            </w:r>
            <w:r>
              <w:rPr>
                <w:rFonts w:hint="eastAsia"/>
                <w:color w:val="auto"/>
                <w:sz w:val="21"/>
                <w:szCs w:val="21"/>
                <w:highlight w:val="none"/>
                <w:lang w:val="en-US" w:eastAsia="zh-CN"/>
              </w:rPr>
              <w:t>求，企业自行监测计划如下</w:t>
            </w:r>
            <w:r>
              <w:rPr>
                <w:rFonts w:hint="default" w:ascii="Times New Roman" w:hAnsi="Times New Roman" w:cs="Times New Roman"/>
                <w:color w:val="auto"/>
                <w:sz w:val="21"/>
                <w:szCs w:val="21"/>
                <w:highlight w:val="none"/>
                <w:lang w:val="en-US" w:eastAsia="zh-CN"/>
              </w:rPr>
              <w:t>表4-</w:t>
            </w:r>
            <w:r>
              <w:rPr>
                <w:rFonts w:hint="eastAsia" w:ascii="Times New Roman" w:hAnsi="Times New Roman" w:cs="Times New Roman"/>
                <w:color w:val="auto"/>
                <w:sz w:val="21"/>
                <w:szCs w:val="21"/>
                <w:highlight w:val="none"/>
                <w:lang w:val="en-US" w:eastAsia="zh-CN"/>
              </w:rPr>
              <w:t>11</w:t>
            </w:r>
            <w:r>
              <w:rPr>
                <w:rFonts w:hint="eastAsia"/>
                <w:color w:val="auto"/>
                <w:sz w:val="21"/>
                <w:szCs w:val="21"/>
                <w:highlight w:val="none"/>
                <w:lang w:val="en-US" w:eastAsia="zh-CN"/>
              </w:rPr>
              <w:t>所示：</w:t>
            </w:r>
          </w:p>
          <w:p w14:paraId="5C889E54">
            <w:pPr>
              <w:numPr>
                <w:ilvl w:val="0"/>
                <w:numId w:val="8"/>
              </w:numPr>
              <w:spacing w:line="360" w:lineRule="auto"/>
              <w:jc w:val="center"/>
              <w:rPr>
                <w:rFonts w:hint="default"/>
                <w:bCs/>
                <w:color w:val="auto"/>
                <w:kern w:val="0"/>
                <w:szCs w:val="21"/>
                <w:highlight w:val="none"/>
              </w:rPr>
            </w:pPr>
            <w:r>
              <w:rPr>
                <w:rFonts w:hint="eastAsia" w:eastAsia="黑体" w:cs="Times New Roman"/>
                <w:b w:val="0"/>
                <w:bCs w:val="0"/>
                <w:color w:val="auto"/>
                <w:spacing w:val="-10"/>
                <w:szCs w:val="21"/>
                <w:highlight w:val="none"/>
                <w:lang w:val="en-US" w:eastAsia="zh-CN"/>
              </w:rPr>
              <w:t xml:space="preserve"> 废水污染源监测计划</w:t>
            </w:r>
          </w:p>
          <w:tbl>
            <w:tblPr>
              <w:tblStyle w:val="25"/>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2532"/>
              <w:gridCol w:w="2535"/>
              <w:gridCol w:w="2533"/>
            </w:tblGrid>
            <w:tr w14:paraId="1700B95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543" w:type="dxa"/>
                  <w:tcBorders>
                    <w:tl2br w:val="nil"/>
                    <w:tr2bl w:val="nil"/>
                  </w:tcBorders>
                  <w:vAlign w:val="center"/>
                </w:tcPr>
                <w:p w14:paraId="34C09601">
                  <w:pPr>
                    <w:numPr>
                      <w:ilvl w:val="-1"/>
                      <w:numId w:val="0"/>
                    </w:numPr>
                    <w:autoSpaceDE w:val="0"/>
                    <w:autoSpaceDN w:val="0"/>
                    <w:adjustRightInd w:val="0"/>
                    <w:spacing w:line="240" w:lineRule="auto"/>
                    <w:jc w:val="center"/>
                    <w:rPr>
                      <w:rFonts w:hint="eastAsia" w:eastAsia="宋体"/>
                      <w:color w:val="auto"/>
                      <w:highlight w:val="none"/>
                      <w:vertAlign w:val="baseline"/>
                      <w:lang w:val="en-US" w:eastAsia="zh-CN"/>
                    </w:rPr>
                  </w:pPr>
                  <w:r>
                    <w:rPr>
                      <w:rFonts w:hint="eastAsia"/>
                      <w:color w:val="auto"/>
                      <w:highlight w:val="none"/>
                      <w:vertAlign w:val="baseline"/>
                      <w:lang w:val="en-US" w:eastAsia="zh-CN"/>
                    </w:rPr>
                    <w:t>监测点位</w:t>
                  </w:r>
                </w:p>
              </w:tc>
              <w:tc>
                <w:tcPr>
                  <w:tcW w:w="2544" w:type="dxa"/>
                  <w:tcBorders>
                    <w:tl2br w:val="nil"/>
                    <w:tr2bl w:val="nil"/>
                  </w:tcBorders>
                  <w:vAlign w:val="center"/>
                </w:tcPr>
                <w:p w14:paraId="118527DF">
                  <w:pPr>
                    <w:numPr>
                      <w:ilvl w:val="-1"/>
                      <w:numId w:val="0"/>
                    </w:numPr>
                    <w:autoSpaceDE w:val="0"/>
                    <w:autoSpaceDN w:val="0"/>
                    <w:adjustRightInd w:val="0"/>
                    <w:spacing w:line="240" w:lineRule="auto"/>
                    <w:jc w:val="center"/>
                    <w:rPr>
                      <w:rFonts w:hint="eastAsia" w:eastAsia="宋体"/>
                      <w:color w:val="auto"/>
                      <w:highlight w:val="none"/>
                      <w:vertAlign w:val="baseline"/>
                      <w:lang w:val="en-US" w:eastAsia="zh-CN"/>
                    </w:rPr>
                  </w:pPr>
                  <w:r>
                    <w:rPr>
                      <w:rFonts w:hint="eastAsia"/>
                      <w:color w:val="auto"/>
                      <w:highlight w:val="none"/>
                      <w:vertAlign w:val="baseline"/>
                      <w:lang w:val="en-US" w:eastAsia="zh-CN"/>
                    </w:rPr>
                    <w:t>监测指标</w:t>
                  </w:r>
                </w:p>
              </w:tc>
              <w:tc>
                <w:tcPr>
                  <w:tcW w:w="2544" w:type="dxa"/>
                  <w:tcBorders>
                    <w:tl2br w:val="nil"/>
                    <w:tr2bl w:val="nil"/>
                  </w:tcBorders>
                  <w:vAlign w:val="center"/>
                </w:tcPr>
                <w:p w14:paraId="1793063B">
                  <w:pPr>
                    <w:numPr>
                      <w:ilvl w:val="-1"/>
                      <w:numId w:val="0"/>
                    </w:numPr>
                    <w:autoSpaceDE w:val="0"/>
                    <w:autoSpaceDN w:val="0"/>
                    <w:adjustRightInd w:val="0"/>
                    <w:spacing w:line="240" w:lineRule="auto"/>
                    <w:jc w:val="center"/>
                    <w:rPr>
                      <w:rFonts w:hint="eastAsia" w:eastAsia="宋体"/>
                      <w:color w:val="auto"/>
                      <w:highlight w:val="none"/>
                      <w:vertAlign w:val="baseline"/>
                      <w:lang w:val="en-US" w:eastAsia="zh-CN"/>
                    </w:rPr>
                  </w:pPr>
                  <w:r>
                    <w:rPr>
                      <w:rFonts w:hint="eastAsia"/>
                      <w:color w:val="auto"/>
                      <w:highlight w:val="none"/>
                      <w:vertAlign w:val="baseline"/>
                      <w:lang w:val="en-US" w:eastAsia="zh-CN"/>
                    </w:rPr>
                    <w:t>监测频次</w:t>
                  </w:r>
                </w:p>
              </w:tc>
            </w:tr>
            <w:tr w14:paraId="76C94F3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543" w:type="dxa"/>
                  <w:tcBorders>
                    <w:tl2br w:val="nil"/>
                    <w:tr2bl w:val="nil"/>
                  </w:tcBorders>
                  <w:vAlign w:val="center"/>
                </w:tcPr>
                <w:p w14:paraId="220AA86B">
                  <w:pPr>
                    <w:numPr>
                      <w:ilvl w:val="-1"/>
                      <w:numId w:val="0"/>
                    </w:numPr>
                    <w:autoSpaceDE w:val="0"/>
                    <w:autoSpaceDN w:val="0"/>
                    <w:adjustRightInd w:val="0"/>
                    <w:spacing w:line="240" w:lineRule="auto"/>
                    <w:jc w:val="center"/>
                    <w:rPr>
                      <w:rFonts w:hint="default" w:eastAsia="宋体"/>
                      <w:color w:val="auto"/>
                      <w:highlight w:val="none"/>
                      <w:vertAlign w:val="baseline"/>
                      <w:lang w:val="en-US" w:eastAsia="zh-CN"/>
                    </w:rPr>
                  </w:pPr>
                  <w:r>
                    <w:rPr>
                      <w:rFonts w:hint="eastAsia"/>
                      <w:color w:val="auto"/>
                      <w:highlight w:val="none"/>
                      <w:vertAlign w:val="baseline"/>
                      <w:lang w:val="en-US" w:eastAsia="zh-CN"/>
                    </w:rPr>
                    <w:t>厂区废水总排口</w:t>
                  </w:r>
                </w:p>
              </w:tc>
              <w:tc>
                <w:tcPr>
                  <w:tcW w:w="2544" w:type="dxa"/>
                  <w:tcBorders>
                    <w:tl2br w:val="nil"/>
                    <w:tr2bl w:val="nil"/>
                  </w:tcBorders>
                  <w:vAlign w:val="center"/>
                </w:tcPr>
                <w:p w14:paraId="14F4A2E6">
                  <w:pPr>
                    <w:numPr>
                      <w:ilvl w:val="-1"/>
                      <w:numId w:val="0"/>
                    </w:numPr>
                    <w:autoSpaceDE w:val="0"/>
                    <w:autoSpaceDN w:val="0"/>
                    <w:adjustRightInd w:val="0"/>
                    <w:spacing w:line="240" w:lineRule="auto"/>
                    <w:jc w:val="center"/>
                    <w:rPr>
                      <w:rFonts w:hint="default"/>
                      <w:color w:val="auto"/>
                      <w:highlight w:val="none"/>
                      <w:vertAlign w:val="baseline"/>
                      <w:lang w:val="en-US"/>
                    </w:rPr>
                  </w:pPr>
                  <w:r>
                    <w:rPr>
                      <w:rFonts w:hint="default" w:ascii="Times New Roman" w:hAnsi="Times New Roman" w:eastAsia="宋体" w:cs="Times New Roman"/>
                      <w:i w:val="0"/>
                      <w:iCs w:val="0"/>
                      <w:color w:val="auto"/>
                      <w:kern w:val="0"/>
                      <w:sz w:val="18"/>
                      <w:szCs w:val="18"/>
                      <w:highlight w:val="none"/>
                      <w:u w:val="none"/>
                      <w:lang w:val="en-US" w:eastAsia="zh-CN" w:bidi="ar"/>
                    </w:rPr>
                    <w:t>COD</w:t>
                  </w:r>
                  <w:r>
                    <w:rPr>
                      <w:rFonts w:hint="default" w:ascii="Times New Roman" w:hAnsi="Times New Roman" w:eastAsia="宋体" w:cs="Times New Roman"/>
                      <w:i w:val="0"/>
                      <w:iCs w:val="0"/>
                      <w:color w:val="auto"/>
                      <w:kern w:val="0"/>
                      <w:sz w:val="18"/>
                      <w:szCs w:val="18"/>
                      <w:highlight w:val="none"/>
                      <w:u w:val="none"/>
                      <w:vertAlign w:val="subscript"/>
                      <w:lang w:val="en-US" w:eastAsia="zh-CN" w:bidi="ar"/>
                    </w:rPr>
                    <w:t>Cr</w:t>
                  </w:r>
                  <w:r>
                    <w:rPr>
                      <w:rFonts w:hint="eastAsia" w:cs="Times New Roman"/>
                      <w:i w:val="0"/>
                      <w:iCs w:val="0"/>
                      <w:color w:val="auto"/>
                      <w:kern w:val="0"/>
                      <w:sz w:val="18"/>
                      <w:szCs w:val="18"/>
                      <w:highlight w:val="none"/>
                      <w:u w:val="none"/>
                      <w:vertAlign w:val="baseline"/>
                      <w:lang w:val="en-US" w:eastAsia="zh-CN" w:bidi="ar"/>
                    </w:rPr>
                    <w:t>、</w:t>
                  </w:r>
                  <w:r>
                    <w:rPr>
                      <w:rFonts w:hint="default" w:ascii="Times New Roman" w:hAnsi="Times New Roman" w:eastAsia="宋体" w:cs="Times New Roman"/>
                      <w:i w:val="0"/>
                      <w:iCs w:val="0"/>
                      <w:color w:val="auto"/>
                      <w:kern w:val="0"/>
                      <w:sz w:val="18"/>
                      <w:szCs w:val="18"/>
                      <w:highlight w:val="none"/>
                      <w:u w:val="none"/>
                      <w:lang w:val="en-US" w:eastAsia="zh-CN" w:bidi="ar"/>
                    </w:rPr>
                    <w:t>TP</w:t>
                  </w:r>
                  <w:r>
                    <w:rPr>
                      <w:rFonts w:hint="eastAsia" w:cs="Times New Roman"/>
                      <w:i w:val="0"/>
                      <w:iCs w:val="0"/>
                      <w:color w:val="auto"/>
                      <w:kern w:val="0"/>
                      <w:sz w:val="18"/>
                      <w:szCs w:val="18"/>
                      <w:highlight w:val="none"/>
                      <w:u w:val="none"/>
                      <w:lang w:val="en-US" w:eastAsia="zh-CN" w:bidi="ar"/>
                    </w:rPr>
                    <w:t>、</w:t>
                  </w:r>
                  <w:r>
                    <w:rPr>
                      <w:rFonts w:hint="default" w:ascii="Times New Roman" w:hAnsi="Times New Roman" w:eastAsia="宋体" w:cs="Times New Roman"/>
                      <w:i w:val="0"/>
                      <w:iCs w:val="0"/>
                      <w:color w:val="auto"/>
                      <w:kern w:val="0"/>
                      <w:sz w:val="18"/>
                      <w:szCs w:val="18"/>
                      <w:highlight w:val="none"/>
                      <w:u w:val="none"/>
                      <w:lang w:val="en-US" w:eastAsia="zh-CN" w:bidi="ar"/>
                    </w:rPr>
                    <w:t>SS</w:t>
                  </w:r>
                  <w:r>
                    <w:rPr>
                      <w:rFonts w:hint="eastAsia" w:cs="Times New Roman"/>
                      <w:i w:val="0"/>
                      <w:iCs w:val="0"/>
                      <w:color w:val="auto"/>
                      <w:kern w:val="0"/>
                      <w:sz w:val="18"/>
                      <w:szCs w:val="18"/>
                      <w:highlight w:val="none"/>
                      <w:u w:val="none"/>
                      <w:lang w:val="en-US" w:eastAsia="zh-CN" w:bidi="ar"/>
                    </w:rPr>
                    <w:t>、</w:t>
                  </w:r>
                  <w:r>
                    <w:rPr>
                      <w:rFonts w:hint="default" w:ascii="Times New Roman" w:hAnsi="Times New Roman" w:eastAsia="宋体" w:cs="Times New Roman"/>
                      <w:i w:val="0"/>
                      <w:iCs w:val="0"/>
                      <w:color w:val="auto"/>
                      <w:kern w:val="0"/>
                      <w:sz w:val="18"/>
                      <w:szCs w:val="18"/>
                      <w:highlight w:val="none"/>
                      <w:u w:val="none"/>
                      <w:lang w:val="en-US" w:eastAsia="zh-CN" w:bidi="ar"/>
                    </w:rPr>
                    <w:t>NH</w:t>
                  </w:r>
                  <w:r>
                    <w:rPr>
                      <w:rFonts w:hint="default" w:ascii="Times New Roman" w:hAnsi="Times New Roman" w:eastAsia="宋体" w:cs="Times New Roman"/>
                      <w:i w:val="0"/>
                      <w:iCs w:val="0"/>
                      <w:color w:val="auto"/>
                      <w:kern w:val="0"/>
                      <w:sz w:val="18"/>
                      <w:szCs w:val="18"/>
                      <w:highlight w:val="none"/>
                      <w:u w:val="none"/>
                      <w:vertAlign w:val="subscript"/>
                      <w:lang w:val="en-US" w:eastAsia="zh-CN" w:bidi="ar"/>
                    </w:rPr>
                    <w:t>3</w:t>
                  </w:r>
                  <w:r>
                    <w:rPr>
                      <w:rFonts w:hint="default" w:ascii="Times New Roman" w:hAnsi="Times New Roman" w:eastAsia="宋体" w:cs="Times New Roman"/>
                      <w:i w:val="0"/>
                      <w:iCs w:val="0"/>
                      <w:color w:val="auto"/>
                      <w:kern w:val="0"/>
                      <w:sz w:val="18"/>
                      <w:szCs w:val="18"/>
                      <w:highlight w:val="none"/>
                      <w:u w:val="none"/>
                      <w:lang w:val="en-US" w:eastAsia="zh-CN" w:bidi="ar"/>
                    </w:rPr>
                    <w:t>-N</w:t>
                  </w:r>
                </w:p>
              </w:tc>
              <w:tc>
                <w:tcPr>
                  <w:tcW w:w="2544" w:type="dxa"/>
                  <w:tcBorders>
                    <w:tl2br w:val="nil"/>
                    <w:tr2bl w:val="nil"/>
                  </w:tcBorders>
                  <w:vAlign w:val="center"/>
                </w:tcPr>
                <w:p w14:paraId="4622E57D">
                  <w:pPr>
                    <w:numPr>
                      <w:ilvl w:val="-1"/>
                      <w:numId w:val="0"/>
                    </w:numPr>
                    <w:autoSpaceDE w:val="0"/>
                    <w:autoSpaceDN w:val="0"/>
                    <w:adjustRightInd w:val="0"/>
                    <w:spacing w:line="240" w:lineRule="auto"/>
                    <w:jc w:val="center"/>
                    <w:rPr>
                      <w:rFonts w:hint="default" w:eastAsia="宋体"/>
                      <w:color w:val="auto"/>
                      <w:highlight w:val="none"/>
                      <w:vertAlign w:val="baseline"/>
                      <w:lang w:val="en-US" w:eastAsia="zh-CN"/>
                    </w:rPr>
                  </w:pPr>
                  <w:r>
                    <w:rPr>
                      <w:rFonts w:hint="eastAsia"/>
                      <w:color w:val="auto"/>
                      <w:highlight w:val="none"/>
                      <w:vertAlign w:val="baseline"/>
                      <w:lang w:val="en-US" w:eastAsia="zh-CN"/>
                    </w:rPr>
                    <w:t>1次/年</w:t>
                  </w:r>
                </w:p>
              </w:tc>
            </w:tr>
          </w:tbl>
          <w:p w14:paraId="1C9C6C9E">
            <w:pPr>
              <w:numPr>
                <w:ilvl w:val="-1"/>
                <w:numId w:val="0"/>
              </w:numPr>
              <w:autoSpaceDE w:val="0"/>
              <w:autoSpaceDN w:val="0"/>
              <w:adjustRightInd w:val="0"/>
              <w:spacing w:line="360" w:lineRule="auto"/>
              <w:ind w:firstLine="0" w:firstLineChars="0"/>
              <w:rPr>
                <w:color w:val="auto"/>
                <w:highlight w:val="none"/>
              </w:rPr>
            </w:pPr>
          </w:p>
          <w:p w14:paraId="6266D343">
            <w:pPr>
              <w:spacing w:line="360" w:lineRule="auto"/>
              <w:rPr>
                <w:rFonts w:hint="default" w:eastAsia="宋体"/>
                <w:b/>
                <w:bCs/>
                <w:color w:val="auto"/>
                <w:sz w:val="22"/>
                <w:szCs w:val="28"/>
                <w:highlight w:val="none"/>
                <w:lang w:eastAsia="zh-CN"/>
              </w:rPr>
            </w:pPr>
            <w:r>
              <w:rPr>
                <w:rFonts w:hint="default"/>
                <w:b/>
                <w:bCs/>
                <w:color w:val="auto"/>
                <w:sz w:val="22"/>
                <w:szCs w:val="28"/>
                <w:highlight w:val="none"/>
              </w:rPr>
              <w:t>4.2.3 噪声</w:t>
            </w:r>
          </w:p>
          <w:p w14:paraId="0D45026A">
            <w:pPr>
              <w:spacing w:line="360" w:lineRule="auto"/>
              <w:rPr>
                <w:b/>
                <w:bCs/>
                <w:color w:val="auto"/>
                <w:highlight w:val="none"/>
              </w:rPr>
            </w:pPr>
            <w:r>
              <w:rPr>
                <w:rFonts w:hint="default"/>
                <w:b/>
                <w:bCs/>
                <w:color w:val="auto"/>
                <w:highlight w:val="none"/>
              </w:rPr>
              <w:t>1、噪声源强</w:t>
            </w:r>
          </w:p>
          <w:p w14:paraId="20EA1ED5">
            <w:pPr>
              <w:adjustRightInd w:val="0"/>
              <w:snapToGrid w:val="0"/>
              <w:spacing w:line="360" w:lineRule="auto"/>
              <w:ind w:firstLine="420" w:firstLineChars="200"/>
              <w:jc w:val="left"/>
              <w:rPr>
                <w:bCs/>
                <w:color w:val="auto"/>
                <w:spacing w:val="-10"/>
                <w:szCs w:val="18"/>
                <w:highlight w:val="none"/>
              </w:rPr>
            </w:pPr>
            <w:r>
              <w:rPr>
                <w:rFonts w:hint="default"/>
                <w:bCs/>
                <w:color w:val="auto"/>
                <w:szCs w:val="21"/>
                <w:highlight w:val="none"/>
              </w:rPr>
              <w:t>本项目噪声主要来自生产设备运转产生的噪声，噪声值在65</w:t>
            </w:r>
            <w:r>
              <w:rPr>
                <w:rFonts w:hint="default"/>
                <w:bCs/>
                <w:color w:val="auto"/>
                <w:szCs w:val="21"/>
                <w:highlight w:val="none"/>
                <w:lang w:val="en-US" w:eastAsia="zh-CN"/>
              </w:rPr>
              <w:t xml:space="preserve"> </w:t>
            </w:r>
            <w:r>
              <w:rPr>
                <w:rFonts w:hint="default"/>
                <w:bCs/>
                <w:color w:val="auto"/>
                <w:szCs w:val="21"/>
                <w:highlight w:val="none"/>
              </w:rPr>
              <w:t>dB(A)~9</w:t>
            </w:r>
            <w:r>
              <w:rPr>
                <w:bCs/>
                <w:color w:val="auto"/>
                <w:szCs w:val="21"/>
                <w:highlight w:val="none"/>
              </w:rPr>
              <w:t>0</w:t>
            </w:r>
            <w:r>
              <w:rPr>
                <w:rFonts w:hint="default"/>
                <w:bCs/>
                <w:color w:val="auto"/>
                <w:szCs w:val="21"/>
                <w:highlight w:val="none"/>
                <w:lang w:val="en-US" w:eastAsia="zh-CN"/>
              </w:rPr>
              <w:t xml:space="preserve"> </w:t>
            </w:r>
            <w:r>
              <w:rPr>
                <w:rFonts w:hint="default"/>
                <w:bCs/>
                <w:color w:val="auto"/>
                <w:szCs w:val="21"/>
                <w:highlight w:val="none"/>
              </w:rPr>
              <w:t>dB(A)之间，生产设备运转产生的噪声其防护措施主要通过建筑物隔声、基础减振等降噪措施以及加强车间门窗密闭性，定期保养和维护设备，避免设备在不良状态下运行，通过以上措施可使其噪声强度降低10~20</w:t>
            </w:r>
            <w:r>
              <w:rPr>
                <w:rFonts w:hint="default"/>
                <w:bCs/>
                <w:color w:val="auto"/>
                <w:szCs w:val="21"/>
                <w:highlight w:val="none"/>
                <w:lang w:val="en-US" w:eastAsia="zh-CN"/>
              </w:rPr>
              <w:t xml:space="preserve"> </w:t>
            </w:r>
            <w:r>
              <w:rPr>
                <w:rFonts w:hint="default"/>
                <w:bCs/>
                <w:color w:val="auto"/>
                <w:szCs w:val="21"/>
                <w:highlight w:val="none"/>
              </w:rPr>
              <w:t>dB(A)；噪</w:t>
            </w:r>
            <w:r>
              <w:rPr>
                <w:bCs/>
                <w:color w:val="auto"/>
                <w:szCs w:val="21"/>
                <w:highlight w:val="none"/>
              </w:rPr>
              <w:t>声源强详</w:t>
            </w:r>
            <w:r>
              <w:rPr>
                <w:rFonts w:hint="default"/>
                <w:bCs/>
                <w:color w:val="auto"/>
                <w:szCs w:val="21"/>
                <w:highlight w:val="none"/>
                <w:lang w:val="en-US" w:eastAsia="zh-CN"/>
              </w:rPr>
              <w:t>表4-1</w:t>
            </w:r>
            <w:r>
              <w:rPr>
                <w:rFonts w:hint="eastAsia"/>
                <w:bCs/>
                <w:color w:val="auto"/>
                <w:szCs w:val="21"/>
                <w:highlight w:val="none"/>
                <w:lang w:val="en-US" w:eastAsia="zh-CN"/>
              </w:rPr>
              <w:t>2</w:t>
            </w:r>
            <w:r>
              <w:rPr>
                <w:rFonts w:hint="default"/>
                <w:bCs/>
                <w:color w:val="auto"/>
                <w:szCs w:val="21"/>
                <w:highlight w:val="none"/>
              </w:rPr>
              <w:t>：</w:t>
            </w:r>
          </w:p>
          <w:p w14:paraId="3A656DEC">
            <w:pPr>
              <w:spacing w:line="360" w:lineRule="auto"/>
              <w:rPr>
                <w:b/>
                <w:bCs/>
                <w:color w:val="auto"/>
                <w:highlight w:val="none"/>
              </w:rPr>
            </w:pPr>
          </w:p>
        </w:tc>
      </w:tr>
    </w:tbl>
    <w:p w14:paraId="104EC831">
      <w:pPr>
        <w:pStyle w:val="20"/>
        <w:jc w:val="both"/>
        <w:outlineLvl w:val="0"/>
        <w:rPr>
          <w:rFonts w:ascii="Times New Roman" w:hAnsi="Times New Roman" w:eastAsia="黑体" w:cs="Times New Roman"/>
          <w:snapToGrid w:val="0"/>
          <w:color w:val="auto"/>
          <w:sz w:val="30"/>
          <w:szCs w:val="30"/>
          <w:highlight w:val="none"/>
        </w:rPr>
        <w:sectPr>
          <w:footerReference r:id="rId8" w:type="default"/>
          <w:pgSz w:w="11906" w:h="16838"/>
          <w:pgMar w:top="1701" w:right="1531" w:bottom="1701" w:left="1531" w:header="851" w:footer="851" w:gutter="0"/>
          <w:pgBorders>
            <w:top w:val="none" w:sz="0" w:space="0"/>
            <w:left w:val="none" w:sz="0" w:space="0"/>
            <w:bottom w:val="none" w:sz="0" w:space="0"/>
            <w:right w:val="none" w:sz="0" w:space="0"/>
          </w:pgBorders>
          <w:cols w:space="720" w:num="1"/>
          <w:docGrid w:linePitch="312" w:charSpace="0"/>
        </w:sectPr>
      </w:pPr>
    </w:p>
    <w:p w14:paraId="120C4C2B">
      <w:pPr>
        <w:numPr>
          <w:ilvl w:val="0"/>
          <w:numId w:val="8"/>
        </w:numPr>
        <w:spacing w:line="360" w:lineRule="auto"/>
        <w:jc w:val="center"/>
        <w:rPr>
          <w:rFonts w:hint="default" w:ascii="Times New Roman" w:hAnsi="Times New Roman" w:eastAsia="黑体" w:cs="Times New Roman"/>
          <w:b w:val="0"/>
          <w:bCs w:val="0"/>
          <w:color w:val="auto"/>
          <w:spacing w:val="-10"/>
          <w:szCs w:val="21"/>
          <w:highlight w:val="none"/>
        </w:rPr>
      </w:pPr>
      <w:r>
        <w:rPr>
          <w:rFonts w:hint="default" w:ascii="Times New Roman" w:hAnsi="Times New Roman" w:eastAsia="黑体" w:cs="Times New Roman"/>
          <w:b w:val="0"/>
          <w:bCs w:val="0"/>
          <w:color w:val="auto"/>
          <w:spacing w:val="-10"/>
          <w:szCs w:val="21"/>
          <w:highlight w:val="none"/>
          <w:lang w:val="en-US" w:eastAsia="zh-CN"/>
        </w:rPr>
        <w:t xml:space="preserve"> 工业企业噪声源强调查清单</w:t>
      </w:r>
    </w:p>
    <w:tbl>
      <w:tblPr>
        <w:tblStyle w:val="24"/>
        <w:tblW w:w="4983" w:type="pct"/>
        <w:tblInd w:w="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Layout w:type="fixed"/>
        <w:tblCellMar>
          <w:top w:w="0" w:type="dxa"/>
          <w:left w:w="108" w:type="dxa"/>
          <w:bottom w:w="0" w:type="dxa"/>
          <w:right w:w="108" w:type="dxa"/>
        </w:tblCellMar>
      </w:tblPr>
      <w:tblGrid>
        <w:gridCol w:w="495"/>
        <w:gridCol w:w="1488"/>
        <w:gridCol w:w="2128"/>
        <w:gridCol w:w="1654"/>
        <w:gridCol w:w="1090"/>
        <w:gridCol w:w="683"/>
        <w:gridCol w:w="794"/>
        <w:gridCol w:w="705"/>
        <w:gridCol w:w="535"/>
        <w:gridCol w:w="678"/>
        <w:gridCol w:w="678"/>
        <w:gridCol w:w="678"/>
        <w:gridCol w:w="678"/>
        <w:gridCol w:w="678"/>
        <w:gridCol w:w="678"/>
        <w:gridCol w:w="678"/>
        <w:gridCol w:w="683"/>
        <w:gridCol w:w="657"/>
        <w:gridCol w:w="924"/>
        <w:gridCol w:w="659"/>
        <w:gridCol w:w="659"/>
        <w:gridCol w:w="659"/>
        <w:gridCol w:w="764"/>
        <w:gridCol w:w="988"/>
      </w:tblGrid>
      <w:tr w14:paraId="7302C53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3" w:hRule="atLeast"/>
        </w:trPr>
        <w:tc>
          <w:tcPr>
            <w:tcW w:w="121" w:type="pct"/>
            <w:vMerge w:val="restart"/>
            <w:tcBorders>
              <w:tl2br w:val="nil"/>
              <w:tr2bl w:val="nil"/>
            </w:tcBorders>
            <w:shd w:val="clear" w:color="auto" w:fill="auto"/>
            <w:vAlign w:val="center"/>
          </w:tcPr>
          <w:p w14:paraId="7E796AF0">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序号</w:t>
            </w:r>
          </w:p>
        </w:tc>
        <w:tc>
          <w:tcPr>
            <w:tcW w:w="366" w:type="pct"/>
            <w:vMerge w:val="restart"/>
            <w:tcBorders>
              <w:tl2br w:val="nil"/>
              <w:tr2bl w:val="nil"/>
            </w:tcBorders>
            <w:shd w:val="clear" w:color="auto" w:fill="auto"/>
            <w:vAlign w:val="center"/>
          </w:tcPr>
          <w:p w14:paraId="77B7ED81">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建筑物名称</w:t>
            </w:r>
          </w:p>
        </w:tc>
        <w:tc>
          <w:tcPr>
            <w:tcW w:w="523" w:type="pct"/>
            <w:vMerge w:val="restart"/>
            <w:tcBorders>
              <w:tl2br w:val="nil"/>
              <w:tr2bl w:val="nil"/>
            </w:tcBorders>
            <w:shd w:val="clear" w:color="auto" w:fill="auto"/>
            <w:vAlign w:val="center"/>
          </w:tcPr>
          <w:p w14:paraId="650F176E">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声源名称</w:t>
            </w:r>
          </w:p>
        </w:tc>
        <w:tc>
          <w:tcPr>
            <w:tcW w:w="407" w:type="pct"/>
            <w:vMerge w:val="restart"/>
            <w:tcBorders>
              <w:tl2br w:val="nil"/>
              <w:tr2bl w:val="nil"/>
            </w:tcBorders>
            <w:shd w:val="clear" w:color="auto" w:fill="auto"/>
            <w:vAlign w:val="center"/>
          </w:tcPr>
          <w:p w14:paraId="6FFBFB96">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型号</w:t>
            </w:r>
          </w:p>
        </w:tc>
        <w:tc>
          <w:tcPr>
            <w:tcW w:w="268" w:type="pct"/>
            <w:tcBorders>
              <w:tl2br w:val="nil"/>
              <w:tr2bl w:val="nil"/>
            </w:tcBorders>
            <w:shd w:val="clear" w:color="auto" w:fill="auto"/>
            <w:vAlign w:val="center"/>
          </w:tcPr>
          <w:p w14:paraId="200C865E">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声源源强</w:t>
            </w:r>
          </w:p>
        </w:tc>
        <w:tc>
          <w:tcPr>
            <w:tcW w:w="168" w:type="pct"/>
            <w:vMerge w:val="restart"/>
            <w:tcBorders>
              <w:tl2br w:val="nil"/>
              <w:tr2bl w:val="nil"/>
            </w:tcBorders>
            <w:shd w:val="clear" w:color="auto" w:fill="auto"/>
            <w:vAlign w:val="center"/>
          </w:tcPr>
          <w:p w14:paraId="276CD067">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声源控制措施</w:t>
            </w:r>
          </w:p>
        </w:tc>
        <w:tc>
          <w:tcPr>
            <w:tcW w:w="500" w:type="pct"/>
            <w:gridSpan w:val="3"/>
            <w:tcBorders>
              <w:tl2br w:val="nil"/>
              <w:tr2bl w:val="nil"/>
            </w:tcBorders>
            <w:shd w:val="clear" w:color="auto" w:fill="auto"/>
            <w:vAlign w:val="center"/>
          </w:tcPr>
          <w:p w14:paraId="56A05E95">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空间相对位置/m</w:t>
            </w:r>
          </w:p>
        </w:tc>
        <w:tc>
          <w:tcPr>
            <w:tcW w:w="667" w:type="pct"/>
            <w:gridSpan w:val="4"/>
            <w:tcBorders>
              <w:tl2br w:val="nil"/>
              <w:tr2bl w:val="nil"/>
            </w:tcBorders>
            <w:shd w:val="clear" w:color="auto" w:fill="auto"/>
            <w:vAlign w:val="center"/>
          </w:tcPr>
          <w:p w14:paraId="18E78D00">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距室内边界距离/m</w:t>
            </w:r>
          </w:p>
        </w:tc>
        <w:tc>
          <w:tcPr>
            <w:tcW w:w="668" w:type="pct"/>
            <w:gridSpan w:val="4"/>
            <w:tcBorders>
              <w:tl2br w:val="nil"/>
              <w:tr2bl w:val="nil"/>
            </w:tcBorders>
            <w:shd w:val="clear" w:color="auto" w:fill="auto"/>
            <w:vAlign w:val="center"/>
          </w:tcPr>
          <w:p w14:paraId="70C10AD5">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室内边界声级/dB(A)</w:t>
            </w:r>
          </w:p>
        </w:tc>
        <w:tc>
          <w:tcPr>
            <w:tcW w:w="161" w:type="pct"/>
            <w:vMerge w:val="restart"/>
            <w:tcBorders>
              <w:tl2br w:val="nil"/>
              <w:tr2bl w:val="nil"/>
            </w:tcBorders>
            <w:shd w:val="clear" w:color="auto" w:fill="auto"/>
            <w:vAlign w:val="center"/>
          </w:tcPr>
          <w:p w14:paraId="230DAA2B">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运行时段</w:t>
            </w:r>
          </w:p>
        </w:tc>
        <w:tc>
          <w:tcPr>
            <w:tcW w:w="227" w:type="pct"/>
            <w:vMerge w:val="restart"/>
            <w:tcBorders>
              <w:tl2br w:val="nil"/>
              <w:tr2bl w:val="nil"/>
            </w:tcBorders>
            <w:shd w:val="clear" w:color="auto" w:fill="auto"/>
            <w:vAlign w:val="center"/>
          </w:tcPr>
          <w:p w14:paraId="41D5E474">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建筑物插入损失/dB(A)</w:t>
            </w:r>
          </w:p>
        </w:tc>
        <w:tc>
          <w:tcPr>
            <w:tcW w:w="674" w:type="pct"/>
            <w:gridSpan w:val="4"/>
            <w:tcBorders>
              <w:tl2br w:val="nil"/>
              <w:tr2bl w:val="nil"/>
            </w:tcBorders>
            <w:shd w:val="clear" w:color="auto" w:fill="auto"/>
            <w:vAlign w:val="center"/>
          </w:tcPr>
          <w:p w14:paraId="0D514E06">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建筑物外噪声/dB(A)</w:t>
            </w:r>
          </w:p>
        </w:tc>
        <w:tc>
          <w:tcPr>
            <w:tcW w:w="243" w:type="pct"/>
            <w:vMerge w:val="restart"/>
            <w:tcBorders>
              <w:tl2br w:val="nil"/>
              <w:tr2bl w:val="nil"/>
            </w:tcBorders>
            <w:shd w:val="clear" w:color="auto" w:fill="auto"/>
            <w:vAlign w:val="center"/>
          </w:tcPr>
          <w:p w14:paraId="41B8D218">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建筑物外距离/m</w:t>
            </w:r>
          </w:p>
        </w:tc>
      </w:tr>
      <w:tr w14:paraId="386665F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3" w:hRule="atLeast"/>
        </w:trPr>
        <w:tc>
          <w:tcPr>
            <w:tcW w:w="121" w:type="pct"/>
            <w:vMerge w:val="continue"/>
            <w:tcBorders>
              <w:tl2br w:val="nil"/>
              <w:tr2bl w:val="nil"/>
            </w:tcBorders>
            <w:shd w:val="clear" w:color="auto" w:fill="auto"/>
            <w:vAlign w:val="center"/>
          </w:tcPr>
          <w:p w14:paraId="67C1C18B">
            <w:pPr>
              <w:jc w:val="center"/>
              <w:rPr>
                <w:rFonts w:hint="default" w:ascii="Times New Roman" w:hAnsi="Times New Roman" w:eastAsia="宋体" w:cs="Times New Roman"/>
                <w:i w:val="0"/>
                <w:iCs w:val="0"/>
                <w:color w:val="auto"/>
                <w:sz w:val="18"/>
                <w:szCs w:val="18"/>
                <w:highlight w:val="none"/>
                <w:u w:val="none"/>
              </w:rPr>
            </w:pPr>
          </w:p>
        </w:tc>
        <w:tc>
          <w:tcPr>
            <w:tcW w:w="366" w:type="pct"/>
            <w:vMerge w:val="continue"/>
            <w:tcBorders>
              <w:tl2br w:val="nil"/>
              <w:tr2bl w:val="nil"/>
            </w:tcBorders>
            <w:shd w:val="clear" w:color="auto" w:fill="auto"/>
            <w:vAlign w:val="center"/>
          </w:tcPr>
          <w:p w14:paraId="648D0D48">
            <w:pPr>
              <w:jc w:val="center"/>
              <w:rPr>
                <w:rFonts w:hint="default" w:ascii="Times New Roman" w:hAnsi="Times New Roman" w:eastAsia="宋体" w:cs="Times New Roman"/>
                <w:i w:val="0"/>
                <w:iCs w:val="0"/>
                <w:color w:val="auto"/>
                <w:sz w:val="18"/>
                <w:szCs w:val="18"/>
                <w:highlight w:val="none"/>
                <w:u w:val="none"/>
              </w:rPr>
            </w:pPr>
          </w:p>
        </w:tc>
        <w:tc>
          <w:tcPr>
            <w:tcW w:w="523" w:type="pct"/>
            <w:vMerge w:val="continue"/>
            <w:tcBorders>
              <w:tl2br w:val="nil"/>
              <w:tr2bl w:val="nil"/>
            </w:tcBorders>
            <w:shd w:val="clear" w:color="auto" w:fill="auto"/>
            <w:vAlign w:val="center"/>
          </w:tcPr>
          <w:p w14:paraId="35D280DB">
            <w:pPr>
              <w:jc w:val="center"/>
              <w:rPr>
                <w:rFonts w:hint="default" w:ascii="Times New Roman" w:hAnsi="Times New Roman" w:eastAsia="宋体" w:cs="Times New Roman"/>
                <w:i w:val="0"/>
                <w:iCs w:val="0"/>
                <w:color w:val="auto"/>
                <w:sz w:val="18"/>
                <w:szCs w:val="18"/>
                <w:highlight w:val="none"/>
                <w:u w:val="none"/>
              </w:rPr>
            </w:pPr>
          </w:p>
        </w:tc>
        <w:tc>
          <w:tcPr>
            <w:tcW w:w="407" w:type="pct"/>
            <w:vMerge w:val="continue"/>
            <w:tcBorders>
              <w:tl2br w:val="nil"/>
              <w:tr2bl w:val="nil"/>
            </w:tcBorders>
            <w:shd w:val="clear" w:color="auto" w:fill="auto"/>
            <w:vAlign w:val="center"/>
          </w:tcPr>
          <w:p w14:paraId="6E8A7E09">
            <w:pPr>
              <w:jc w:val="center"/>
              <w:rPr>
                <w:rFonts w:hint="default" w:ascii="Times New Roman" w:hAnsi="Times New Roman" w:eastAsia="宋体" w:cs="Times New Roman"/>
                <w:i w:val="0"/>
                <w:iCs w:val="0"/>
                <w:color w:val="auto"/>
                <w:sz w:val="18"/>
                <w:szCs w:val="18"/>
                <w:highlight w:val="none"/>
                <w:u w:val="none"/>
              </w:rPr>
            </w:pPr>
          </w:p>
        </w:tc>
        <w:tc>
          <w:tcPr>
            <w:tcW w:w="268" w:type="pct"/>
            <w:tcBorders>
              <w:tl2br w:val="nil"/>
              <w:tr2bl w:val="nil"/>
            </w:tcBorders>
            <w:shd w:val="clear" w:color="auto" w:fill="auto"/>
            <w:vAlign w:val="center"/>
          </w:tcPr>
          <w:p w14:paraId="789311DF">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1米处声压级/dB(A)</w:t>
            </w:r>
          </w:p>
        </w:tc>
        <w:tc>
          <w:tcPr>
            <w:tcW w:w="168" w:type="pct"/>
            <w:vMerge w:val="continue"/>
            <w:tcBorders>
              <w:tl2br w:val="nil"/>
              <w:tr2bl w:val="nil"/>
            </w:tcBorders>
            <w:shd w:val="clear" w:color="auto" w:fill="auto"/>
            <w:vAlign w:val="center"/>
          </w:tcPr>
          <w:p w14:paraId="5401D342">
            <w:pPr>
              <w:jc w:val="center"/>
              <w:rPr>
                <w:rFonts w:hint="default" w:ascii="Times New Roman" w:hAnsi="Times New Roman" w:eastAsia="宋体" w:cs="Times New Roman"/>
                <w:i w:val="0"/>
                <w:iCs w:val="0"/>
                <w:color w:val="auto"/>
                <w:sz w:val="18"/>
                <w:szCs w:val="18"/>
                <w:highlight w:val="none"/>
                <w:u w:val="none"/>
              </w:rPr>
            </w:pPr>
          </w:p>
        </w:tc>
        <w:tc>
          <w:tcPr>
            <w:tcW w:w="195" w:type="pct"/>
            <w:tcBorders>
              <w:tl2br w:val="nil"/>
              <w:tr2bl w:val="nil"/>
            </w:tcBorders>
            <w:shd w:val="clear" w:color="auto" w:fill="auto"/>
            <w:vAlign w:val="center"/>
          </w:tcPr>
          <w:p w14:paraId="4355A8A6">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X</w:t>
            </w:r>
          </w:p>
        </w:tc>
        <w:tc>
          <w:tcPr>
            <w:tcW w:w="173" w:type="pct"/>
            <w:tcBorders>
              <w:tl2br w:val="nil"/>
              <w:tr2bl w:val="nil"/>
            </w:tcBorders>
            <w:shd w:val="clear" w:color="auto" w:fill="auto"/>
            <w:vAlign w:val="center"/>
          </w:tcPr>
          <w:p w14:paraId="4BCA2107">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Y</w:t>
            </w:r>
          </w:p>
        </w:tc>
        <w:tc>
          <w:tcPr>
            <w:tcW w:w="131" w:type="pct"/>
            <w:tcBorders>
              <w:tl2br w:val="nil"/>
              <w:tr2bl w:val="nil"/>
            </w:tcBorders>
            <w:shd w:val="clear" w:color="auto" w:fill="auto"/>
            <w:vAlign w:val="center"/>
          </w:tcPr>
          <w:p w14:paraId="08D92CBE">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Z</w:t>
            </w:r>
          </w:p>
        </w:tc>
        <w:tc>
          <w:tcPr>
            <w:tcW w:w="166" w:type="pct"/>
            <w:tcBorders>
              <w:tl2br w:val="nil"/>
              <w:tr2bl w:val="nil"/>
            </w:tcBorders>
            <w:shd w:val="clear" w:color="auto" w:fill="auto"/>
            <w:vAlign w:val="center"/>
          </w:tcPr>
          <w:p w14:paraId="5284490B">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东</w:t>
            </w:r>
          </w:p>
        </w:tc>
        <w:tc>
          <w:tcPr>
            <w:tcW w:w="166" w:type="pct"/>
            <w:tcBorders>
              <w:tl2br w:val="nil"/>
              <w:tr2bl w:val="nil"/>
            </w:tcBorders>
            <w:shd w:val="clear" w:color="auto" w:fill="auto"/>
            <w:vAlign w:val="center"/>
          </w:tcPr>
          <w:p w14:paraId="50B77684">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南</w:t>
            </w:r>
          </w:p>
        </w:tc>
        <w:tc>
          <w:tcPr>
            <w:tcW w:w="166" w:type="pct"/>
            <w:tcBorders>
              <w:tl2br w:val="nil"/>
              <w:tr2bl w:val="nil"/>
            </w:tcBorders>
            <w:shd w:val="clear" w:color="auto" w:fill="auto"/>
            <w:vAlign w:val="center"/>
          </w:tcPr>
          <w:p w14:paraId="6FCF3701">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西</w:t>
            </w:r>
          </w:p>
        </w:tc>
        <w:tc>
          <w:tcPr>
            <w:tcW w:w="166" w:type="pct"/>
            <w:tcBorders>
              <w:tl2br w:val="nil"/>
              <w:tr2bl w:val="nil"/>
            </w:tcBorders>
            <w:shd w:val="clear" w:color="auto" w:fill="auto"/>
            <w:vAlign w:val="center"/>
          </w:tcPr>
          <w:p w14:paraId="60A1CB8F">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北</w:t>
            </w:r>
          </w:p>
        </w:tc>
        <w:tc>
          <w:tcPr>
            <w:tcW w:w="166" w:type="pct"/>
            <w:tcBorders>
              <w:tl2br w:val="nil"/>
              <w:tr2bl w:val="nil"/>
            </w:tcBorders>
            <w:shd w:val="clear" w:color="auto" w:fill="auto"/>
            <w:vAlign w:val="center"/>
          </w:tcPr>
          <w:p w14:paraId="4D254D57">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东</w:t>
            </w:r>
          </w:p>
        </w:tc>
        <w:tc>
          <w:tcPr>
            <w:tcW w:w="166" w:type="pct"/>
            <w:tcBorders>
              <w:tl2br w:val="nil"/>
              <w:tr2bl w:val="nil"/>
            </w:tcBorders>
            <w:shd w:val="clear" w:color="auto" w:fill="auto"/>
            <w:vAlign w:val="center"/>
          </w:tcPr>
          <w:p w14:paraId="3B278391">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南</w:t>
            </w:r>
          </w:p>
        </w:tc>
        <w:tc>
          <w:tcPr>
            <w:tcW w:w="166" w:type="pct"/>
            <w:tcBorders>
              <w:tl2br w:val="nil"/>
              <w:tr2bl w:val="nil"/>
            </w:tcBorders>
            <w:shd w:val="clear" w:color="auto" w:fill="auto"/>
            <w:vAlign w:val="center"/>
          </w:tcPr>
          <w:p w14:paraId="69A9EE07">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西</w:t>
            </w:r>
          </w:p>
        </w:tc>
        <w:tc>
          <w:tcPr>
            <w:tcW w:w="168" w:type="pct"/>
            <w:tcBorders>
              <w:tl2br w:val="nil"/>
              <w:tr2bl w:val="nil"/>
            </w:tcBorders>
            <w:shd w:val="clear" w:color="auto" w:fill="auto"/>
            <w:vAlign w:val="center"/>
          </w:tcPr>
          <w:p w14:paraId="6E2EFBED">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北</w:t>
            </w:r>
          </w:p>
        </w:tc>
        <w:tc>
          <w:tcPr>
            <w:tcW w:w="161" w:type="pct"/>
            <w:vMerge w:val="continue"/>
            <w:tcBorders>
              <w:tl2br w:val="nil"/>
              <w:tr2bl w:val="nil"/>
            </w:tcBorders>
            <w:shd w:val="clear" w:color="auto" w:fill="auto"/>
            <w:vAlign w:val="center"/>
          </w:tcPr>
          <w:p w14:paraId="61026AFC">
            <w:pPr>
              <w:jc w:val="center"/>
              <w:rPr>
                <w:rFonts w:hint="default" w:ascii="Times New Roman" w:hAnsi="Times New Roman" w:eastAsia="宋体" w:cs="Times New Roman"/>
                <w:i w:val="0"/>
                <w:iCs w:val="0"/>
                <w:color w:val="auto"/>
                <w:sz w:val="18"/>
                <w:szCs w:val="18"/>
                <w:highlight w:val="none"/>
                <w:u w:val="none"/>
              </w:rPr>
            </w:pPr>
          </w:p>
        </w:tc>
        <w:tc>
          <w:tcPr>
            <w:tcW w:w="227" w:type="pct"/>
            <w:vMerge w:val="continue"/>
            <w:tcBorders>
              <w:tl2br w:val="nil"/>
              <w:tr2bl w:val="nil"/>
            </w:tcBorders>
            <w:shd w:val="clear" w:color="auto" w:fill="auto"/>
            <w:vAlign w:val="center"/>
          </w:tcPr>
          <w:p w14:paraId="56F675F4">
            <w:pPr>
              <w:jc w:val="center"/>
              <w:rPr>
                <w:rFonts w:hint="default" w:ascii="Times New Roman" w:hAnsi="Times New Roman" w:eastAsia="宋体" w:cs="Times New Roman"/>
                <w:i w:val="0"/>
                <w:iCs w:val="0"/>
                <w:color w:val="auto"/>
                <w:sz w:val="18"/>
                <w:szCs w:val="18"/>
                <w:highlight w:val="none"/>
                <w:u w:val="none"/>
              </w:rPr>
            </w:pPr>
          </w:p>
        </w:tc>
        <w:tc>
          <w:tcPr>
            <w:tcW w:w="162" w:type="pct"/>
            <w:tcBorders>
              <w:tl2br w:val="nil"/>
              <w:tr2bl w:val="nil"/>
            </w:tcBorders>
            <w:shd w:val="clear" w:color="auto" w:fill="auto"/>
            <w:vAlign w:val="center"/>
          </w:tcPr>
          <w:p w14:paraId="0AD6B488">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东</w:t>
            </w:r>
          </w:p>
        </w:tc>
        <w:tc>
          <w:tcPr>
            <w:tcW w:w="162" w:type="pct"/>
            <w:tcBorders>
              <w:tl2br w:val="nil"/>
              <w:tr2bl w:val="nil"/>
            </w:tcBorders>
            <w:shd w:val="clear" w:color="auto" w:fill="auto"/>
            <w:vAlign w:val="center"/>
          </w:tcPr>
          <w:p w14:paraId="39E188B3">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南</w:t>
            </w:r>
          </w:p>
        </w:tc>
        <w:tc>
          <w:tcPr>
            <w:tcW w:w="162" w:type="pct"/>
            <w:tcBorders>
              <w:tl2br w:val="nil"/>
              <w:tr2bl w:val="nil"/>
            </w:tcBorders>
            <w:shd w:val="clear" w:color="auto" w:fill="auto"/>
            <w:vAlign w:val="center"/>
          </w:tcPr>
          <w:p w14:paraId="6D3B8BE4">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西</w:t>
            </w:r>
          </w:p>
        </w:tc>
        <w:tc>
          <w:tcPr>
            <w:tcW w:w="188" w:type="pct"/>
            <w:tcBorders>
              <w:tl2br w:val="nil"/>
              <w:tr2bl w:val="nil"/>
            </w:tcBorders>
            <w:shd w:val="clear" w:color="auto" w:fill="auto"/>
            <w:vAlign w:val="center"/>
          </w:tcPr>
          <w:p w14:paraId="1A2AE69B">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北</w:t>
            </w:r>
          </w:p>
        </w:tc>
        <w:tc>
          <w:tcPr>
            <w:tcW w:w="243" w:type="pct"/>
            <w:vMerge w:val="continue"/>
            <w:tcBorders>
              <w:tl2br w:val="nil"/>
              <w:tr2bl w:val="nil"/>
            </w:tcBorders>
            <w:shd w:val="clear" w:color="auto" w:fill="auto"/>
            <w:vAlign w:val="center"/>
          </w:tcPr>
          <w:p w14:paraId="50DE8437">
            <w:pPr>
              <w:jc w:val="center"/>
              <w:rPr>
                <w:rFonts w:hint="default" w:ascii="Times New Roman" w:hAnsi="Times New Roman" w:eastAsia="宋体" w:cs="Times New Roman"/>
                <w:i w:val="0"/>
                <w:iCs w:val="0"/>
                <w:color w:val="auto"/>
                <w:sz w:val="18"/>
                <w:szCs w:val="18"/>
                <w:highlight w:val="none"/>
                <w:u w:val="none"/>
              </w:rPr>
            </w:pPr>
          </w:p>
        </w:tc>
      </w:tr>
      <w:tr w14:paraId="3ECAA43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3" w:hRule="atLeast"/>
        </w:trPr>
        <w:tc>
          <w:tcPr>
            <w:tcW w:w="121" w:type="pct"/>
            <w:tcBorders>
              <w:tl2br w:val="nil"/>
              <w:tr2bl w:val="nil"/>
            </w:tcBorders>
            <w:shd w:val="clear" w:color="auto" w:fill="auto"/>
            <w:vAlign w:val="center"/>
          </w:tcPr>
          <w:p w14:paraId="35CD5567">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1</w:t>
            </w:r>
          </w:p>
        </w:tc>
        <w:tc>
          <w:tcPr>
            <w:tcW w:w="366" w:type="pct"/>
            <w:vMerge w:val="restart"/>
            <w:tcBorders>
              <w:tl2br w:val="nil"/>
              <w:tr2bl w:val="nil"/>
            </w:tcBorders>
            <w:shd w:val="clear" w:color="auto" w:fill="auto"/>
            <w:vAlign w:val="center"/>
          </w:tcPr>
          <w:p w14:paraId="0C0D552F">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研磨房</w:t>
            </w:r>
          </w:p>
        </w:tc>
        <w:tc>
          <w:tcPr>
            <w:tcW w:w="523" w:type="pct"/>
            <w:tcBorders>
              <w:tl2br w:val="nil"/>
              <w:tr2bl w:val="nil"/>
            </w:tcBorders>
            <w:shd w:val="clear" w:color="auto" w:fill="auto"/>
            <w:vAlign w:val="center"/>
          </w:tcPr>
          <w:p w14:paraId="2B5A2F15">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纯水制备设备</w:t>
            </w:r>
          </w:p>
        </w:tc>
        <w:tc>
          <w:tcPr>
            <w:tcW w:w="407" w:type="pct"/>
            <w:tcBorders>
              <w:tl2br w:val="nil"/>
              <w:tr2bl w:val="nil"/>
            </w:tcBorders>
            <w:shd w:val="clear" w:color="auto" w:fill="auto"/>
            <w:vAlign w:val="center"/>
          </w:tcPr>
          <w:p w14:paraId="251594D8">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0.25 t/h</w:t>
            </w:r>
          </w:p>
        </w:tc>
        <w:tc>
          <w:tcPr>
            <w:tcW w:w="268" w:type="pct"/>
            <w:tcBorders>
              <w:tl2br w:val="nil"/>
              <w:tr2bl w:val="nil"/>
            </w:tcBorders>
            <w:shd w:val="clear" w:color="auto" w:fill="auto"/>
            <w:vAlign w:val="center"/>
          </w:tcPr>
          <w:p w14:paraId="6097450B">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65</w:t>
            </w:r>
          </w:p>
        </w:tc>
        <w:tc>
          <w:tcPr>
            <w:tcW w:w="168" w:type="pct"/>
            <w:vMerge w:val="restart"/>
            <w:tcBorders>
              <w:tl2br w:val="nil"/>
              <w:tr2bl w:val="nil"/>
            </w:tcBorders>
            <w:shd w:val="clear" w:color="auto" w:fill="auto"/>
            <w:vAlign w:val="center"/>
          </w:tcPr>
          <w:p w14:paraId="3A05753B">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基础减震、建筑隔声</w:t>
            </w:r>
          </w:p>
        </w:tc>
        <w:tc>
          <w:tcPr>
            <w:tcW w:w="195" w:type="pct"/>
            <w:tcBorders>
              <w:tl2br w:val="nil"/>
              <w:tr2bl w:val="nil"/>
            </w:tcBorders>
            <w:shd w:val="clear" w:color="auto" w:fill="auto"/>
            <w:vAlign w:val="center"/>
          </w:tcPr>
          <w:p w14:paraId="6FDD6B86">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-37.11</w:t>
            </w:r>
          </w:p>
        </w:tc>
        <w:tc>
          <w:tcPr>
            <w:tcW w:w="173" w:type="pct"/>
            <w:tcBorders>
              <w:tl2br w:val="nil"/>
              <w:tr2bl w:val="nil"/>
            </w:tcBorders>
            <w:shd w:val="clear" w:color="auto" w:fill="auto"/>
            <w:vAlign w:val="center"/>
          </w:tcPr>
          <w:p w14:paraId="13B621A3">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9.76</w:t>
            </w:r>
          </w:p>
        </w:tc>
        <w:tc>
          <w:tcPr>
            <w:tcW w:w="131" w:type="pct"/>
            <w:tcBorders>
              <w:tl2br w:val="nil"/>
              <w:tr2bl w:val="nil"/>
            </w:tcBorders>
            <w:shd w:val="clear" w:color="auto" w:fill="auto"/>
            <w:vAlign w:val="center"/>
          </w:tcPr>
          <w:p w14:paraId="08ECEE3A">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45</w:t>
            </w:r>
          </w:p>
        </w:tc>
        <w:tc>
          <w:tcPr>
            <w:tcW w:w="166" w:type="pct"/>
            <w:tcBorders>
              <w:tl2br w:val="nil"/>
              <w:tr2bl w:val="nil"/>
            </w:tcBorders>
            <w:shd w:val="clear" w:color="auto" w:fill="auto"/>
            <w:noWrap/>
            <w:vAlign w:val="center"/>
          </w:tcPr>
          <w:p w14:paraId="75BF7923">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21.38</w:t>
            </w:r>
          </w:p>
        </w:tc>
        <w:tc>
          <w:tcPr>
            <w:tcW w:w="166" w:type="pct"/>
            <w:tcBorders>
              <w:tl2br w:val="nil"/>
              <w:tr2bl w:val="nil"/>
            </w:tcBorders>
            <w:shd w:val="clear" w:color="auto" w:fill="auto"/>
            <w:noWrap/>
            <w:vAlign w:val="center"/>
          </w:tcPr>
          <w:p w14:paraId="7963A81A">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22.69</w:t>
            </w:r>
          </w:p>
        </w:tc>
        <w:tc>
          <w:tcPr>
            <w:tcW w:w="166" w:type="pct"/>
            <w:tcBorders>
              <w:tl2br w:val="nil"/>
              <w:tr2bl w:val="nil"/>
            </w:tcBorders>
            <w:shd w:val="clear" w:color="auto" w:fill="auto"/>
            <w:noWrap/>
            <w:vAlign w:val="center"/>
          </w:tcPr>
          <w:p w14:paraId="5E67FACF">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30.89</w:t>
            </w:r>
          </w:p>
        </w:tc>
        <w:tc>
          <w:tcPr>
            <w:tcW w:w="166" w:type="pct"/>
            <w:tcBorders>
              <w:tl2br w:val="nil"/>
              <w:tr2bl w:val="nil"/>
            </w:tcBorders>
            <w:shd w:val="clear" w:color="auto" w:fill="auto"/>
            <w:noWrap/>
            <w:vAlign w:val="center"/>
          </w:tcPr>
          <w:p w14:paraId="147470F3">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3.37</w:t>
            </w:r>
          </w:p>
        </w:tc>
        <w:tc>
          <w:tcPr>
            <w:tcW w:w="166" w:type="pct"/>
            <w:tcBorders>
              <w:tl2br w:val="nil"/>
              <w:tr2bl w:val="nil"/>
            </w:tcBorders>
            <w:shd w:val="clear" w:color="auto" w:fill="auto"/>
            <w:noWrap/>
            <w:vAlign w:val="center"/>
          </w:tcPr>
          <w:p w14:paraId="0F5A09AA">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58.08</w:t>
            </w:r>
          </w:p>
        </w:tc>
        <w:tc>
          <w:tcPr>
            <w:tcW w:w="166" w:type="pct"/>
            <w:tcBorders>
              <w:tl2br w:val="nil"/>
              <w:tr2bl w:val="nil"/>
            </w:tcBorders>
            <w:shd w:val="clear" w:color="auto" w:fill="auto"/>
            <w:noWrap/>
            <w:vAlign w:val="center"/>
          </w:tcPr>
          <w:p w14:paraId="746671DA">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58.08</w:t>
            </w:r>
          </w:p>
        </w:tc>
        <w:tc>
          <w:tcPr>
            <w:tcW w:w="166" w:type="pct"/>
            <w:tcBorders>
              <w:tl2br w:val="nil"/>
              <w:tr2bl w:val="nil"/>
            </w:tcBorders>
            <w:shd w:val="clear" w:color="auto" w:fill="auto"/>
            <w:noWrap/>
            <w:vAlign w:val="center"/>
          </w:tcPr>
          <w:p w14:paraId="5327EA53">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58.08</w:t>
            </w:r>
          </w:p>
        </w:tc>
        <w:tc>
          <w:tcPr>
            <w:tcW w:w="168" w:type="pct"/>
            <w:tcBorders>
              <w:tl2br w:val="nil"/>
              <w:tr2bl w:val="nil"/>
            </w:tcBorders>
            <w:shd w:val="clear" w:color="auto" w:fill="auto"/>
            <w:noWrap/>
            <w:vAlign w:val="center"/>
          </w:tcPr>
          <w:p w14:paraId="4BE3B853">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58.22</w:t>
            </w:r>
          </w:p>
        </w:tc>
        <w:tc>
          <w:tcPr>
            <w:tcW w:w="161" w:type="pct"/>
            <w:vMerge w:val="restart"/>
            <w:tcBorders>
              <w:tl2br w:val="nil"/>
              <w:tr2bl w:val="nil"/>
            </w:tcBorders>
            <w:shd w:val="clear" w:color="auto" w:fill="auto"/>
            <w:vAlign w:val="center"/>
          </w:tcPr>
          <w:p w14:paraId="6577A7B5">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昼间</w:t>
            </w:r>
          </w:p>
        </w:tc>
        <w:tc>
          <w:tcPr>
            <w:tcW w:w="227" w:type="pct"/>
            <w:tcBorders>
              <w:tl2br w:val="nil"/>
              <w:tr2bl w:val="nil"/>
            </w:tcBorders>
            <w:shd w:val="clear" w:color="auto" w:fill="auto"/>
            <w:vAlign w:val="center"/>
          </w:tcPr>
          <w:p w14:paraId="66E5B949">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21</w:t>
            </w:r>
          </w:p>
        </w:tc>
        <w:tc>
          <w:tcPr>
            <w:tcW w:w="162" w:type="pct"/>
            <w:tcBorders>
              <w:tl2br w:val="nil"/>
              <w:tr2bl w:val="nil"/>
            </w:tcBorders>
            <w:shd w:val="clear" w:color="auto" w:fill="auto"/>
            <w:noWrap/>
            <w:vAlign w:val="center"/>
          </w:tcPr>
          <w:p w14:paraId="4979AB5E">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37.08</w:t>
            </w:r>
          </w:p>
        </w:tc>
        <w:tc>
          <w:tcPr>
            <w:tcW w:w="162" w:type="pct"/>
            <w:tcBorders>
              <w:tl2br w:val="nil"/>
              <w:tr2bl w:val="nil"/>
            </w:tcBorders>
            <w:shd w:val="clear" w:color="auto" w:fill="auto"/>
            <w:noWrap/>
            <w:vAlign w:val="center"/>
          </w:tcPr>
          <w:p w14:paraId="2C707DB4">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37.08</w:t>
            </w:r>
          </w:p>
        </w:tc>
        <w:tc>
          <w:tcPr>
            <w:tcW w:w="162" w:type="pct"/>
            <w:tcBorders>
              <w:tl2br w:val="nil"/>
              <w:tr2bl w:val="nil"/>
            </w:tcBorders>
            <w:shd w:val="clear" w:color="auto" w:fill="auto"/>
            <w:noWrap/>
            <w:vAlign w:val="center"/>
          </w:tcPr>
          <w:p w14:paraId="7A6C71CD">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37.08</w:t>
            </w:r>
          </w:p>
        </w:tc>
        <w:tc>
          <w:tcPr>
            <w:tcW w:w="188" w:type="pct"/>
            <w:tcBorders>
              <w:tl2br w:val="nil"/>
              <w:tr2bl w:val="nil"/>
            </w:tcBorders>
            <w:shd w:val="clear" w:color="auto" w:fill="auto"/>
            <w:noWrap/>
            <w:vAlign w:val="center"/>
          </w:tcPr>
          <w:p w14:paraId="5243E6FC">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37.22</w:t>
            </w:r>
          </w:p>
        </w:tc>
        <w:tc>
          <w:tcPr>
            <w:tcW w:w="243" w:type="pct"/>
            <w:tcBorders>
              <w:tl2br w:val="nil"/>
              <w:tr2bl w:val="nil"/>
            </w:tcBorders>
            <w:shd w:val="clear" w:color="auto" w:fill="auto"/>
            <w:vAlign w:val="center"/>
          </w:tcPr>
          <w:p w14:paraId="7DA18A9C">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1</w:t>
            </w:r>
          </w:p>
        </w:tc>
      </w:tr>
      <w:tr w14:paraId="15030B0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3" w:hRule="atLeast"/>
        </w:trPr>
        <w:tc>
          <w:tcPr>
            <w:tcW w:w="121" w:type="pct"/>
            <w:tcBorders>
              <w:tl2br w:val="nil"/>
              <w:tr2bl w:val="nil"/>
            </w:tcBorders>
            <w:shd w:val="clear" w:color="auto" w:fill="auto"/>
            <w:vAlign w:val="center"/>
          </w:tcPr>
          <w:p w14:paraId="3B42A4C8">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2</w:t>
            </w:r>
          </w:p>
        </w:tc>
        <w:tc>
          <w:tcPr>
            <w:tcW w:w="366" w:type="pct"/>
            <w:vMerge w:val="continue"/>
            <w:tcBorders>
              <w:tl2br w:val="nil"/>
              <w:tr2bl w:val="nil"/>
            </w:tcBorders>
            <w:shd w:val="clear" w:color="auto" w:fill="auto"/>
            <w:vAlign w:val="center"/>
          </w:tcPr>
          <w:p w14:paraId="398D17E8">
            <w:pPr>
              <w:jc w:val="center"/>
              <w:rPr>
                <w:rFonts w:hint="default" w:ascii="Times New Roman" w:hAnsi="Times New Roman" w:eastAsia="宋体" w:cs="Times New Roman"/>
                <w:i w:val="0"/>
                <w:iCs w:val="0"/>
                <w:color w:val="auto"/>
                <w:sz w:val="18"/>
                <w:szCs w:val="18"/>
                <w:highlight w:val="none"/>
                <w:u w:val="none"/>
              </w:rPr>
            </w:pPr>
          </w:p>
        </w:tc>
        <w:tc>
          <w:tcPr>
            <w:tcW w:w="523" w:type="pct"/>
            <w:tcBorders>
              <w:tl2br w:val="nil"/>
              <w:tr2bl w:val="nil"/>
            </w:tcBorders>
            <w:shd w:val="clear" w:color="auto" w:fill="auto"/>
            <w:vAlign w:val="center"/>
          </w:tcPr>
          <w:p w14:paraId="7EC5457C">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工业冷水机</w:t>
            </w:r>
          </w:p>
        </w:tc>
        <w:tc>
          <w:tcPr>
            <w:tcW w:w="407" w:type="pct"/>
            <w:tcBorders>
              <w:tl2br w:val="nil"/>
              <w:tr2bl w:val="nil"/>
            </w:tcBorders>
            <w:shd w:val="clear" w:color="auto" w:fill="auto"/>
            <w:vAlign w:val="center"/>
          </w:tcPr>
          <w:p w14:paraId="18B65041">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JLSF-15HP</w:t>
            </w:r>
          </w:p>
        </w:tc>
        <w:tc>
          <w:tcPr>
            <w:tcW w:w="268" w:type="pct"/>
            <w:tcBorders>
              <w:tl2br w:val="nil"/>
              <w:tr2bl w:val="nil"/>
            </w:tcBorders>
            <w:shd w:val="clear" w:color="auto" w:fill="auto"/>
            <w:vAlign w:val="center"/>
          </w:tcPr>
          <w:p w14:paraId="6BB4E184">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70</w:t>
            </w:r>
          </w:p>
        </w:tc>
        <w:tc>
          <w:tcPr>
            <w:tcW w:w="168" w:type="pct"/>
            <w:vMerge w:val="continue"/>
            <w:tcBorders>
              <w:tl2br w:val="nil"/>
              <w:tr2bl w:val="nil"/>
            </w:tcBorders>
            <w:shd w:val="clear" w:color="auto" w:fill="auto"/>
            <w:vAlign w:val="center"/>
          </w:tcPr>
          <w:p w14:paraId="72250359">
            <w:pPr>
              <w:jc w:val="center"/>
              <w:rPr>
                <w:rFonts w:hint="default" w:ascii="Times New Roman" w:hAnsi="Times New Roman" w:eastAsia="宋体" w:cs="Times New Roman"/>
                <w:i w:val="0"/>
                <w:iCs w:val="0"/>
                <w:color w:val="auto"/>
                <w:sz w:val="18"/>
                <w:szCs w:val="18"/>
                <w:highlight w:val="none"/>
                <w:u w:val="none"/>
              </w:rPr>
            </w:pPr>
          </w:p>
        </w:tc>
        <w:tc>
          <w:tcPr>
            <w:tcW w:w="195" w:type="pct"/>
            <w:tcBorders>
              <w:tl2br w:val="nil"/>
              <w:tr2bl w:val="nil"/>
            </w:tcBorders>
            <w:shd w:val="clear" w:color="auto" w:fill="auto"/>
            <w:vAlign w:val="center"/>
          </w:tcPr>
          <w:p w14:paraId="023D07BF">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-35.48</w:t>
            </w:r>
          </w:p>
        </w:tc>
        <w:tc>
          <w:tcPr>
            <w:tcW w:w="173" w:type="pct"/>
            <w:tcBorders>
              <w:tl2br w:val="nil"/>
              <w:tr2bl w:val="nil"/>
            </w:tcBorders>
            <w:shd w:val="clear" w:color="auto" w:fill="auto"/>
            <w:vAlign w:val="center"/>
          </w:tcPr>
          <w:p w14:paraId="04517984">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5.41</w:t>
            </w:r>
          </w:p>
        </w:tc>
        <w:tc>
          <w:tcPr>
            <w:tcW w:w="131" w:type="pct"/>
            <w:tcBorders>
              <w:tl2br w:val="nil"/>
              <w:tr2bl w:val="nil"/>
            </w:tcBorders>
            <w:shd w:val="clear" w:color="auto" w:fill="auto"/>
            <w:vAlign w:val="center"/>
          </w:tcPr>
          <w:p w14:paraId="61AD5233">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45</w:t>
            </w:r>
          </w:p>
        </w:tc>
        <w:tc>
          <w:tcPr>
            <w:tcW w:w="166" w:type="pct"/>
            <w:tcBorders>
              <w:tl2br w:val="nil"/>
              <w:tr2bl w:val="nil"/>
            </w:tcBorders>
            <w:shd w:val="clear" w:color="auto" w:fill="auto"/>
            <w:noWrap/>
            <w:vAlign w:val="center"/>
          </w:tcPr>
          <w:p w14:paraId="68F2A5B4">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21.69</w:t>
            </w:r>
          </w:p>
        </w:tc>
        <w:tc>
          <w:tcPr>
            <w:tcW w:w="166" w:type="pct"/>
            <w:tcBorders>
              <w:tl2br w:val="nil"/>
              <w:tr2bl w:val="nil"/>
            </w:tcBorders>
            <w:shd w:val="clear" w:color="auto" w:fill="auto"/>
            <w:noWrap/>
            <w:vAlign w:val="center"/>
          </w:tcPr>
          <w:p w14:paraId="40C9854B">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18.05</w:t>
            </w:r>
          </w:p>
        </w:tc>
        <w:tc>
          <w:tcPr>
            <w:tcW w:w="166" w:type="pct"/>
            <w:tcBorders>
              <w:tl2br w:val="nil"/>
              <w:tr2bl w:val="nil"/>
            </w:tcBorders>
            <w:shd w:val="clear" w:color="auto" w:fill="auto"/>
            <w:noWrap/>
            <w:vAlign w:val="center"/>
          </w:tcPr>
          <w:p w14:paraId="35A67E37">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30.66</w:t>
            </w:r>
          </w:p>
        </w:tc>
        <w:tc>
          <w:tcPr>
            <w:tcW w:w="166" w:type="pct"/>
            <w:tcBorders>
              <w:tl2br w:val="nil"/>
              <w:tr2bl w:val="nil"/>
            </w:tcBorders>
            <w:shd w:val="clear" w:color="auto" w:fill="auto"/>
            <w:noWrap/>
            <w:vAlign w:val="center"/>
          </w:tcPr>
          <w:p w14:paraId="08FDFE37">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8.01</w:t>
            </w:r>
          </w:p>
        </w:tc>
        <w:tc>
          <w:tcPr>
            <w:tcW w:w="166" w:type="pct"/>
            <w:tcBorders>
              <w:tl2br w:val="nil"/>
              <w:tr2bl w:val="nil"/>
            </w:tcBorders>
            <w:shd w:val="clear" w:color="auto" w:fill="auto"/>
            <w:noWrap/>
            <w:vAlign w:val="center"/>
          </w:tcPr>
          <w:p w14:paraId="4E59037E">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63.08</w:t>
            </w:r>
          </w:p>
        </w:tc>
        <w:tc>
          <w:tcPr>
            <w:tcW w:w="166" w:type="pct"/>
            <w:tcBorders>
              <w:tl2br w:val="nil"/>
              <w:tr2bl w:val="nil"/>
            </w:tcBorders>
            <w:shd w:val="clear" w:color="auto" w:fill="auto"/>
            <w:noWrap/>
            <w:vAlign w:val="center"/>
          </w:tcPr>
          <w:p w14:paraId="6B586FEF">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63.08</w:t>
            </w:r>
          </w:p>
        </w:tc>
        <w:tc>
          <w:tcPr>
            <w:tcW w:w="166" w:type="pct"/>
            <w:tcBorders>
              <w:tl2br w:val="nil"/>
              <w:tr2bl w:val="nil"/>
            </w:tcBorders>
            <w:shd w:val="clear" w:color="auto" w:fill="auto"/>
            <w:noWrap/>
            <w:vAlign w:val="center"/>
          </w:tcPr>
          <w:p w14:paraId="381EFC19">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63.08</w:t>
            </w:r>
          </w:p>
        </w:tc>
        <w:tc>
          <w:tcPr>
            <w:tcW w:w="168" w:type="pct"/>
            <w:tcBorders>
              <w:tl2br w:val="nil"/>
              <w:tr2bl w:val="nil"/>
            </w:tcBorders>
            <w:shd w:val="clear" w:color="auto" w:fill="auto"/>
            <w:noWrap/>
            <w:vAlign w:val="center"/>
          </w:tcPr>
          <w:p w14:paraId="54FC5E20">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63.10</w:t>
            </w:r>
          </w:p>
        </w:tc>
        <w:tc>
          <w:tcPr>
            <w:tcW w:w="161" w:type="pct"/>
            <w:vMerge w:val="continue"/>
            <w:tcBorders>
              <w:tl2br w:val="nil"/>
              <w:tr2bl w:val="nil"/>
            </w:tcBorders>
            <w:shd w:val="clear" w:color="auto" w:fill="auto"/>
            <w:vAlign w:val="center"/>
          </w:tcPr>
          <w:p w14:paraId="19EE73B8">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p>
        </w:tc>
        <w:tc>
          <w:tcPr>
            <w:tcW w:w="227" w:type="pct"/>
            <w:tcBorders>
              <w:tl2br w:val="nil"/>
              <w:tr2bl w:val="nil"/>
            </w:tcBorders>
            <w:shd w:val="clear" w:color="auto" w:fill="auto"/>
            <w:vAlign w:val="center"/>
          </w:tcPr>
          <w:p w14:paraId="7D97D46B">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21</w:t>
            </w:r>
          </w:p>
        </w:tc>
        <w:tc>
          <w:tcPr>
            <w:tcW w:w="162" w:type="pct"/>
            <w:tcBorders>
              <w:tl2br w:val="nil"/>
              <w:tr2bl w:val="nil"/>
            </w:tcBorders>
            <w:shd w:val="clear" w:color="auto" w:fill="auto"/>
            <w:noWrap/>
            <w:vAlign w:val="center"/>
          </w:tcPr>
          <w:p w14:paraId="1583081C">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42.08</w:t>
            </w:r>
          </w:p>
        </w:tc>
        <w:tc>
          <w:tcPr>
            <w:tcW w:w="162" w:type="pct"/>
            <w:tcBorders>
              <w:tl2br w:val="nil"/>
              <w:tr2bl w:val="nil"/>
            </w:tcBorders>
            <w:shd w:val="clear" w:color="auto" w:fill="auto"/>
            <w:noWrap/>
            <w:vAlign w:val="center"/>
          </w:tcPr>
          <w:p w14:paraId="4539F35A">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42.08</w:t>
            </w:r>
          </w:p>
        </w:tc>
        <w:tc>
          <w:tcPr>
            <w:tcW w:w="162" w:type="pct"/>
            <w:tcBorders>
              <w:tl2br w:val="nil"/>
              <w:tr2bl w:val="nil"/>
            </w:tcBorders>
            <w:shd w:val="clear" w:color="auto" w:fill="auto"/>
            <w:noWrap/>
            <w:vAlign w:val="center"/>
          </w:tcPr>
          <w:p w14:paraId="1305E5D5">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42.08</w:t>
            </w:r>
          </w:p>
        </w:tc>
        <w:tc>
          <w:tcPr>
            <w:tcW w:w="188" w:type="pct"/>
            <w:tcBorders>
              <w:tl2br w:val="nil"/>
              <w:tr2bl w:val="nil"/>
            </w:tcBorders>
            <w:shd w:val="clear" w:color="auto" w:fill="auto"/>
            <w:noWrap/>
            <w:vAlign w:val="center"/>
          </w:tcPr>
          <w:p w14:paraId="7E0F29D4">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42.10</w:t>
            </w:r>
          </w:p>
        </w:tc>
        <w:tc>
          <w:tcPr>
            <w:tcW w:w="243" w:type="pct"/>
            <w:tcBorders>
              <w:tl2br w:val="nil"/>
              <w:tr2bl w:val="nil"/>
            </w:tcBorders>
            <w:shd w:val="clear" w:color="auto" w:fill="auto"/>
            <w:vAlign w:val="center"/>
          </w:tcPr>
          <w:p w14:paraId="41585B95">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1</w:t>
            </w:r>
          </w:p>
        </w:tc>
      </w:tr>
      <w:tr w14:paraId="23494D3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121" w:type="pct"/>
            <w:tcBorders>
              <w:tl2br w:val="nil"/>
              <w:tr2bl w:val="nil"/>
            </w:tcBorders>
            <w:shd w:val="clear" w:color="auto" w:fill="auto"/>
            <w:vAlign w:val="center"/>
          </w:tcPr>
          <w:p w14:paraId="4F9E6A61">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3</w:t>
            </w:r>
          </w:p>
        </w:tc>
        <w:tc>
          <w:tcPr>
            <w:tcW w:w="366" w:type="pct"/>
            <w:vMerge w:val="continue"/>
            <w:tcBorders>
              <w:tl2br w:val="nil"/>
              <w:tr2bl w:val="nil"/>
            </w:tcBorders>
            <w:shd w:val="clear" w:color="auto" w:fill="auto"/>
            <w:vAlign w:val="center"/>
          </w:tcPr>
          <w:p w14:paraId="2CB921A5">
            <w:pPr>
              <w:jc w:val="center"/>
              <w:rPr>
                <w:rFonts w:hint="default" w:ascii="Times New Roman" w:hAnsi="Times New Roman" w:eastAsia="宋体" w:cs="Times New Roman"/>
                <w:i w:val="0"/>
                <w:iCs w:val="0"/>
                <w:color w:val="auto"/>
                <w:sz w:val="18"/>
                <w:szCs w:val="18"/>
                <w:highlight w:val="none"/>
                <w:u w:val="none"/>
              </w:rPr>
            </w:pPr>
          </w:p>
        </w:tc>
        <w:tc>
          <w:tcPr>
            <w:tcW w:w="523" w:type="pct"/>
            <w:tcBorders>
              <w:tl2br w:val="nil"/>
              <w:tr2bl w:val="nil"/>
            </w:tcBorders>
            <w:shd w:val="clear" w:color="auto" w:fill="auto"/>
            <w:vAlign w:val="center"/>
          </w:tcPr>
          <w:p w14:paraId="04EBC70B">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砂磨机</w:t>
            </w:r>
          </w:p>
        </w:tc>
        <w:tc>
          <w:tcPr>
            <w:tcW w:w="407" w:type="pct"/>
            <w:tcBorders>
              <w:tl2br w:val="nil"/>
              <w:tr2bl w:val="nil"/>
            </w:tcBorders>
            <w:shd w:val="clear" w:color="auto" w:fill="auto"/>
            <w:vAlign w:val="center"/>
          </w:tcPr>
          <w:p w14:paraId="11FFB7E5">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KZN6SM-VR</w:t>
            </w:r>
          </w:p>
        </w:tc>
        <w:tc>
          <w:tcPr>
            <w:tcW w:w="268" w:type="pct"/>
            <w:tcBorders>
              <w:tl2br w:val="nil"/>
              <w:tr2bl w:val="nil"/>
            </w:tcBorders>
            <w:shd w:val="clear" w:color="auto" w:fill="auto"/>
            <w:vAlign w:val="center"/>
          </w:tcPr>
          <w:p w14:paraId="79B88AFD">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85</w:t>
            </w:r>
          </w:p>
        </w:tc>
        <w:tc>
          <w:tcPr>
            <w:tcW w:w="168" w:type="pct"/>
            <w:vMerge w:val="continue"/>
            <w:tcBorders>
              <w:tl2br w:val="nil"/>
              <w:tr2bl w:val="nil"/>
            </w:tcBorders>
            <w:shd w:val="clear" w:color="auto" w:fill="auto"/>
            <w:vAlign w:val="center"/>
          </w:tcPr>
          <w:p w14:paraId="7CAA0135">
            <w:pPr>
              <w:jc w:val="center"/>
              <w:rPr>
                <w:rFonts w:hint="default" w:ascii="Times New Roman" w:hAnsi="Times New Roman" w:eastAsia="宋体" w:cs="Times New Roman"/>
                <w:i w:val="0"/>
                <w:iCs w:val="0"/>
                <w:color w:val="auto"/>
                <w:sz w:val="18"/>
                <w:szCs w:val="18"/>
                <w:highlight w:val="none"/>
                <w:u w:val="none"/>
              </w:rPr>
            </w:pPr>
          </w:p>
        </w:tc>
        <w:tc>
          <w:tcPr>
            <w:tcW w:w="195" w:type="pct"/>
            <w:tcBorders>
              <w:tl2br w:val="nil"/>
              <w:tr2bl w:val="nil"/>
            </w:tcBorders>
            <w:shd w:val="clear" w:color="auto" w:fill="auto"/>
            <w:vAlign w:val="center"/>
          </w:tcPr>
          <w:p w14:paraId="79A9C1BF">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-32.4</w:t>
            </w:r>
          </w:p>
        </w:tc>
        <w:tc>
          <w:tcPr>
            <w:tcW w:w="173" w:type="pct"/>
            <w:tcBorders>
              <w:tl2br w:val="nil"/>
              <w:tr2bl w:val="nil"/>
            </w:tcBorders>
            <w:shd w:val="clear" w:color="auto" w:fill="auto"/>
            <w:vAlign w:val="center"/>
          </w:tcPr>
          <w:p w14:paraId="4D462DE6">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7.29</w:t>
            </w:r>
          </w:p>
        </w:tc>
        <w:tc>
          <w:tcPr>
            <w:tcW w:w="131" w:type="pct"/>
            <w:tcBorders>
              <w:tl2br w:val="nil"/>
              <w:tr2bl w:val="nil"/>
            </w:tcBorders>
            <w:shd w:val="clear" w:color="auto" w:fill="auto"/>
            <w:vAlign w:val="center"/>
          </w:tcPr>
          <w:p w14:paraId="5D39560E">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45</w:t>
            </w:r>
          </w:p>
        </w:tc>
        <w:tc>
          <w:tcPr>
            <w:tcW w:w="166" w:type="pct"/>
            <w:tcBorders>
              <w:tl2br w:val="nil"/>
              <w:tr2bl w:val="nil"/>
            </w:tcBorders>
            <w:shd w:val="clear" w:color="auto" w:fill="auto"/>
            <w:noWrap/>
            <w:vAlign w:val="center"/>
          </w:tcPr>
          <w:p w14:paraId="2D831B7D">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25.18</w:t>
            </w:r>
          </w:p>
        </w:tc>
        <w:tc>
          <w:tcPr>
            <w:tcW w:w="166" w:type="pct"/>
            <w:tcBorders>
              <w:tl2br w:val="nil"/>
              <w:tr2bl w:val="nil"/>
            </w:tcBorders>
            <w:shd w:val="clear" w:color="auto" w:fill="auto"/>
            <w:noWrap/>
            <w:vAlign w:val="center"/>
          </w:tcPr>
          <w:p w14:paraId="04CAE9C8">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18.90</w:t>
            </w:r>
          </w:p>
        </w:tc>
        <w:tc>
          <w:tcPr>
            <w:tcW w:w="166" w:type="pct"/>
            <w:tcBorders>
              <w:tl2br w:val="nil"/>
              <w:tr2bl w:val="nil"/>
            </w:tcBorders>
            <w:shd w:val="clear" w:color="auto" w:fill="auto"/>
            <w:noWrap/>
            <w:vAlign w:val="center"/>
          </w:tcPr>
          <w:p w14:paraId="6116B8D4">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27.16</w:t>
            </w:r>
          </w:p>
        </w:tc>
        <w:tc>
          <w:tcPr>
            <w:tcW w:w="166" w:type="pct"/>
            <w:tcBorders>
              <w:tl2br w:val="nil"/>
              <w:tr2bl w:val="nil"/>
            </w:tcBorders>
            <w:shd w:val="clear" w:color="auto" w:fill="auto"/>
            <w:noWrap/>
            <w:vAlign w:val="center"/>
          </w:tcPr>
          <w:p w14:paraId="06739963">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7.13</w:t>
            </w:r>
          </w:p>
        </w:tc>
        <w:tc>
          <w:tcPr>
            <w:tcW w:w="166" w:type="pct"/>
            <w:tcBorders>
              <w:tl2br w:val="nil"/>
              <w:tr2bl w:val="nil"/>
            </w:tcBorders>
            <w:shd w:val="clear" w:color="auto" w:fill="auto"/>
            <w:noWrap/>
            <w:vAlign w:val="center"/>
          </w:tcPr>
          <w:p w14:paraId="4F620053">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 xml:space="preserve">78.08 </w:t>
            </w:r>
          </w:p>
        </w:tc>
        <w:tc>
          <w:tcPr>
            <w:tcW w:w="166" w:type="pct"/>
            <w:tcBorders>
              <w:tl2br w:val="nil"/>
              <w:tr2bl w:val="nil"/>
            </w:tcBorders>
            <w:shd w:val="clear" w:color="auto" w:fill="auto"/>
            <w:noWrap/>
            <w:vAlign w:val="center"/>
          </w:tcPr>
          <w:p w14:paraId="20EB449F">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 xml:space="preserve">78.08 </w:t>
            </w:r>
          </w:p>
        </w:tc>
        <w:tc>
          <w:tcPr>
            <w:tcW w:w="166" w:type="pct"/>
            <w:tcBorders>
              <w:tl2br w:val="nil"/>
              <w:tr2bl w:val="nil"/>
            </w:tcBorders>
            <w:shd w:val="clear" w:color="auto" w:fill="auto"/>
            <w:noWrap/>
            <w:vAlign w:val="center"/>
          </w:tcPr>
          <w:p w14:paraId="771DA7A9">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 xml:space="preserve">78.08 </w:t>
            </w:r>
          </w:p>
        </w:tc>
        <w:tc>
          <w:tcPr>
            <w:tcW w:w="168" w:type="pct"/>
            <w:tcBorders>
              <w:tl2br w:val="nil"/>
              <w:tr2bl w:val="nil"/>
            </w:tcBorders>
            <w:shd w:val="clear" w:color="auto" w:fill="auto"/>
            <w:noWrap/>
            <w:vAlign w:val="center"/>
          </w:tcPr>
          <w:p w14:paraId="3CF610A3">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 xml:space="preserve">78.11 </w:t>
            </w:r>
          </w:p>
        </w:tc>
        <w:tc>
          <w:tcPr>
            <w:tcW w:w="161" w:type="pct"/>
            <w:vMerge w:val="continue"/>
            <w:tcBorders>
              <w:tl2br w:val="nil"/>
              <w:tr2bl w:val="nil"/>
            </w:tcBorders>
            <w:shd w:val="clear" w:color="auto" w:fill="auto"/>
            <w:vAlign w:val="center"/>
          </w:tcPr>
          <w:p w14:paraId="2E800905">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p>
        </w:tc>
        <w:tc>
          <w:tcPr>
            <w:tcW w:w="227" w:type="pct"/>
            <w:tcBorders>
              <w:tl2br w:val="nil"/>
              <w:tr2bl w:val="nil"/>
            </w:tcBorders>
            <w:shd w:val="clear" w:color="auto" w:fill="auto"/>
            <w:vAlign w:val="center"/>
          </w:tcPr>
          <w:p w14:paraId="71948C3A">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21</w:t>
            </w:r>
          </w:p>
        </w:tc>
        <w:tc>
          <w:tcPr>
            <w:tcW w:w="162" w:type="pct"/>
            <w:tcBorders>
              <w:tl2br w:val="nil"/>
              <w:tr2bl w:val="nil"/>
            </w:tcBorders>
            <w:shd w:val="clear" w:color="auto" w:fill="auto"/>
            <w:noWrap/>
            <w:vAlign w:val="center"/>
          </w:tcPr>
          <w:p w14:paraId="4A3CCA4C">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57.08</w:t>
            </w:r>
          </w:p>
        </w:tc>
        <w:tc>
          <w:tcPr>
            <w:tcW w:w="162" w:type="pct"/>
            <w:tcBorders>
              <w:tl2br w:val="nil"/>
              <w:tr2bl w:val="nil"/>
            </w:tcBorders>
            <w:shd w:val="clear" w:color="auto" w:fill="auto"/>
            <w:noWrap/>
            <w:vAlign w:val="center"/>
          </w:tcPr>
          <w:p w14:paraId="76396A61">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57.08</w:t>
            </w:r>
          </w:p>
        </w:tc>
        <w:tc>
          <w:tcPr>
            <w:tcW w:w="162" w:type="pct"/>
            <w:tcBorders>
              <w:tl2br w:val="nil"/>
              <w:tr2bl w:val="nil"/>
            </w:tcBorders>
            <w:shd w:val="clear" w:color="auto" w:fill="auto"/>
            <w:noWrap/>
            <w:vAlign w:val="center"/>
          </w:tcPr>
          <w:p w14:paraId="6776BCC6">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57.08</w:t>
            </w:r>
          </w:p>
        </w:tc>
        <w:tc>
          <w:tcPr>
            <w:tcW w:w="188" w:type="pct"/>
            <w:tcBorders>
              <w:tl2br w:val="nil"/>
              <w:tr2bl w:val="nil"/>
            </w:tcBorders>
            <w:shd w:val="clear" w:color="auto" w:fill="auto"/>
            <w:noWrap/>
            <w:vAlign w:val="center"/>
          </w:tcPr>
          <w:p w14:paraId="5721004A">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57.11</w:t>
            </w:r>
          </w:p>
        </w:tc>
        <w:tc>
          <w:tcPr>
            <w:tcW w:w="243" w:type="pct"/>
            <w:tcBorders>
              <w:tl2br w:val="nil"/>
              <w:tr2bl w:val="nil"/>
            </w:tcBorders>
            <w:shd w:val="clear" w:color="auto" w:fill="auto"/>
            <w:vAlign w:val="center"/>
          </w:tcPr>
          <w:p w14:paraId="3EA4899D">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1</w:t>
            </w:r>
          </w:p>
        </w:tc>
      </w:tr>
      <w:tr w14:paraId="506D400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3" w:hRule="atLeast"/>
        </w:trPr>
        <w:tc>
          <w:tcPr>
            <w:tcW w:w="121" w:type="pct"/>
            <w:tcBorders>
              <w:tl2br w:val="nil"/>
              <w:tr2bl w:val="nil"/>
            </w:tcBorders>
            <w:shd w:val="clear" w:color="auto" w:fill="auto"/>
            <w:vAlign w:val="center"/>
          </w:tcPr>
          <w:p w14:paraId="64D00A89">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4</w:t>
            </w:r>
          </w:p>
        </w:tc>
        <w:tc>
          <w:tcPr>
            <w:tcW w:w="366" w:type="pct"/>
            <w:vMerge w:val="restart"/>
            <w:tcBorders>
              <w:tl2br w:val="nil"/>
              <w:tr2bl w:val="nil"/>
            </w:tcBorders>
            <w:shd w:val="clear" w:color="auto" w:fill="auto"/>
            <w:vAlign w:val="center"/>
          </w:tcPr>
          <w:p w14:paraId="6B5D5EA7">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喷雾干燥房</w:t>
            </w:r>
          </w:p>
        </w:tc>
        <w:tc>
          <w:tcPr>
            <w:tcW w:w="523" w:type="pct"/>
            <w:tcBorders>
              <w:tl2br w:val="nil"/>
              <w:tr2bl w:val="nil"/>
            </w:tcBorders>
            <w:shd w:val="clear" w:color="auto" w:fill="auto"/>
            <w:vAlign w:val="center"/>
          </w:tcPr>
          <w:p w14:paraId="5B87D1D1">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喷雾干燥器1</w:t>
            </w:r>
          </w:p>
        </w:tc>
        <w:tc>
          <w:tcPr>
            <w:tcW w:w="407" w:type="pct"/>
            <w:tcBorders>
              <w:tl2br w:val="nil"/>
              <w:tr2bl w:val="nil"/>
            </w:tcBorders>
            <w:shd w:val="clear" w:color="auto" w:fill="auto"/>
            <w:vAlign w:val="center"/>
          </w:tcPr>
          <w:p w14:paraId="2A62E7AA">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ZH10L</w:t>
            </w:r>
          </w:p>
        </w:tc>
        <w:tc>
          <w:tcPr>
            <w:tcW w:w="268" w:type="pct"/>
            <w:tcBorders>
              <w:tl2br w:val="nil"/>
              <w:tr2bl w:val="nil"/>
            </w:tcBorders>
            <w:shd w:val="clear" w:color="auto" w:fill="auto"/>
            <w:vAlign w:val="center"/>
          </w:tcPr>
          <w:p w14:paraId="545D2480">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75</w:t>
            </w:r>
          </w:p>
        </w:tc>
        <w:tc>
          <w:tcPr>
            <w:tcW w:w="168" w:type="pct"/>
            <w:vMerge w:val="continue"/>
            <w:tcBorders>
              <w:tl2br w:val="nil"/>
              <w:tr2bl w:val="nil"/>
            </w:tcBorders>
            <w:shd w:val="clear" w:color="auto" w:fill="auto"/>
            <w:vAlign w:val="center"/>
          </w:tcPr>
          <w:p w14:paraId="5A0F19C5">
            <w:pPr>
              <w:jc w:val="center"/>
              <w:rPr>
                <w:rFonts w:hint="default" w:ascii="Times New Roman" w:hAnsi="Times New Roman" w:eastAsia="宋体" w:cs="Times New Roman"/>
                <w:i w:val="0"/>
                <w:iCs w:val="0"/>
                <w:color w:val="auto"/>
                <w:sz w:val="18"/>
                <w:szCs w:val="18"/>
                <w:highlight w:val="none"/>
                <w:u w:val="none"/>
              </w:rPr>
            </w:pPr>
          </w:p>
        </w:tc>
        <w:tc>
          <w:tcPr>
            <w:tcW w:w="195" w:type="pct"/>
            <w:tcBorders>
              <w:tl2br w:val="nil"/>
              <w:tr2bl w:val="nil"/>
            </w:tcBorders>
            <w:shd w:val="clear" w:color="auto" w:fill="auto"/>
            <w:vAlign w:val="center"/>
          </w:tcPr>
          <w:p w14:paraId="0C559D9A">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-28.03</w:t>
            </w:r>
          </w:p>
        </w:tc>
        <w:tc>
          <w:tcPr>
            <w:tcW w:w="173" w:type="pct"/>
            <w:tcBorders>
              <w:tl2br w:val="nil"/>
              <w:tr2bl w:val="nil"/>
            </w:tcBorders>
            <w:shd w:val="clear" w:color="auto" w:fill="auto"/>
            <w:vAlign w:val="center"/>
          </w:tcPr>
          <w:p w14:paraId="561303A4">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13.71</w:t>
            </w:r>
          </w:p>
        </w:tc>
        <w:tc>
          <w:tcPr>
            <w:tcW w:w="131" w:type="pct"/>
            <w:tcBorders>
              <w:tl2br w:val="nil"/>
              <w:tr2bl w:val="nil"/>
            </w:tcBorders>
            <w:shd w:val="clear" w:color="auto" w:fill="auto"/>
            <w:vAlign w:val="center"/>
          </w:tcPr>
          <w:p w14:paraId="28BC52D2">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45</w:t>
            </w:r>
          </w:p>
        </w:tc>
        <w:tc>
          <w:tcPr>
            <w:tcW w:w="166" w:type="pct"/>
            <w:tcBorders>
              <w:tl2br w:val="nil"/>
              <w:tr2bl w:val="nil"/>
            </w:tcBorders>
            <w:shd w:val="clear" w:color="auto" w:fill="auto"/>
            <w:noWrap/>
            <w:vAlign w:val="center"/>
          </w:tcPr>
          <w:p w14:paraId="7C27CA2B">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31.21</w:t>
            </w:r>
          </w:p>
        </w:tc>
        <w:tc>
          <w:tcPr>
            <w:tcW w:w="166" w:type="pct"/>
            <w:tcBorders>
              <w:tl2br w:val="nil"/>
              <w:tr2bl w:val="nil"/>
            </w:tcBorders>
            <w:shd w:val="clear" w:color="auto" w:fill="auto"/>
            <w:noWrap/>
            <w:vAlign w:val="center"/>
          </w:tcPr>
          <w:p w14:paraId="2547A0CF">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23.67</w:t>
            </w:r>
          </w:p>
        </w:tc>
        <w:tc>
          <w:tcPr>
            <w:tcW w:w="166" w:type="pct"/>
            <w:tcBorders>
              <w:tl2br w:val="nil"/>
              <w:tr2bl w:val="nil"/>
            </w:tcBorders>
            <w:shd w:val="clear" w:color="auto" w:fill="auto"/>
            <w:noWrap/>
            <w:vAlign w:val="center"/>
          </w:tcPr>
          <w:p w14:paraId="093A9E4C">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21.04</w:t>
            </w:r>
          </w:p>
        </w:tc>
        <w:tc>
          <w:tcPr>
            <w:tcW w:w="166" w:type="pct"/>
            <w:tcBorders>
              <w:tl2br w:val="nil"/>
              <w:tr2bl w:val="nil"/>
            </w:tcBorders>
            <w:shd w:val="clear" w:color="auto" w:fill="auto"/>
            <w:noWrap/>
            <w:vAlign w:val="center"/>
          </w:tcPr>
          <w:p w14:paraId="6CAB410F">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2.31</w:t>
            </w:r>
          </w:p>
        </w:tc>
        <w:tc>
          <w:tcPr>
            <w:tcW w:w="166" w:type="pct"/>
            <w:tcBorders>
              <w:tl2br w:val="nil"/>
              <w:tr2bl w:val="nil"/>
            </w:tcBorders>
            <w:shd w:val="clear" w:color="auto" w:fill="auto"/>
            <w:noWrap/>
            <w:vAlign w:val="center"/>
          </w:tcPr>
          <w:p w14:paraId="20738E7C">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68.08</w:t>
            </w:r>
          </w:p>
        </w:tc>
        <w:tc>
          <w:tcPr>
            <w:tcW w:w="166" w:type="pct"/>
            <w:tcBorders>
              <w:tl2br w:val="nil"/>
              <w:tr2bl w:val="nil"/>
            </w:tcBorders>
            <w:shd w:val="clear" w:color="auto" w:fill="auto"/>
            <w:noWrap/>
            <w:vAlign w:val="center"/>
          </w:tcPr>
          <w:p w14:paraId="0B009FF5">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68.08</w:t>
            </w:r>
          </w:p>
        </w:tc>
        <w:tc>
          <w:tcPr>
            <w:tcW w:w="166" w:type="pct"/>
            <w:tcBorders>
              <w:tl2br w:val="nil"/>
              <w:tr2bl w:val="nil"/>
            </w:tcBorders>
            <w:shd w:val="clear" w:color="auto" w:fill="auto"/>
            <w:noWrap/>
            <w:vAlign w:val="center"/>
          </w:tcPr>
          <w:p w14:paraId="2B40A28F">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68.08</w:t>
            </w:r>
          </w:p>
        </w:tc>
        <w:tc>
          <w:tcPr>
            <w:tcW w:w="168" w:type="pct"/>
            <w:tcBorders>
              <w:tl2br w:val="nil"/>
              <w:tr2bl w:val="nil"/>
            </w:tcBorders>
            <w:shd w:val="clear" w:color="auto" w:fill="auto"/>
            <w:noWrap/>
            <w:vAlign w:val="center"/>
          </w:tcPr>
          <w:p w14:paraId="786F1B4D">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68.38</w:t>
            </w:r>
          </w:p>
        </w:tc>
        <w:tc>
          <w:tcPr>
            <w:tcW w:w="161" w:type="pct"/>
            <w:vMerge w:val="continue"/>
            <w:tcBorders>
              <w:tl2br w:val="nil"/>
              <w:tr2bl w:val="nil"/>
            </w:tcBorders>
            <w:shd w:val="clear" w:color="auto" w:fill="auto"/>
            <w:vAlign w:val="center"/>
          </w:tcPr>
          <w:p w14:paraId="6A416625">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p>
        </w:tc>
        <w:tc>
          <w:tcPr>
            <w:tcW w:w="227" w:type="pct"/>
            <w:tcBorders>
              <w:tl2br w:val="nil"/>
              <w:tr2bl w:val="nil"/>
            </w:tcBorders>
            <w:shd w:val="clear" w:color="auto" w:fill="auto"/>
            <w:vAlign w:val="center"/>
          </w:tcPr>
          <w:p w14:paraId="69B49420">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21</w:t>
            </w:r>
          </w:p>
        </w:tc>
        <w:tc>
          <w:tcPr>
            <w:tcW w:w="162" w:type="pct"/>
            <w:tcBorders>
              <w:tl2br w:val="nil"/>
              <w:tr2bl w:val="nil"/>
            </w:tcBorders>
            <w:shd w:val="clear" w:color="auto" w:fill="auto"/>
            <w:noWrap/>
            <w:vAlign w:val="center"/>
          </w:tcPr>
          <w:p w14:paraId="7B7CE6A4">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47.08</w:t>
            </w:r>
          </w:p>
        </w:tc>
        <w:tc>
          <w:tcPr>
            <w:tcW w:w="162" w:type="pct"/>
            <w:tcBorders>
              <w:tl2br w:val="nil"/>
              <w:tr2bl w:val="nil"/>
            </w:tcBorders>
            <w:shd w:val="clear" w:color="auto" w:fill="auto"/>
            <w:noWrap/>
            <w:vAlign w:val="center"/>
          </w:tcPr>
          <w:p w14:paraId="4D5EDD4C">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47.08</w:t>
            </w:r>
          </w:p>
        </w:tc>
        <w:tc>
          <w:tcPr>
            <w:tcW w:w="162" w:type="pct"/>
            <w:tcBorders>
              <w:tl2br w:val="nil"/>
              <w:tr2bl w:val="nil"/>
            </w:tcBorders>
            <w:shd w:val="clear" w:color="auto" w:fill="auto"/>
            <w:noWrap/>
            <w:vAlign w:val="center"/>
          </w:tcPr>
          <w:p w14:paraId="2EB9F0B6">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47.08</w:t>
            </w:r>
          </w:p>
        </w:tc>
        <w:tc>
          <w:tcPr>
            <w:tcW w:w="188" w:type="pct"/>
            <w:tcBorders>
              <w:tl2br w:val="nil"/>
              <w:tr2bl w:val="nil"/>
            </w:tcBorders>
            <w:shd w:val="clear" w:color="auto" w:fill="auto"/>
            <w:noWrap/>
            <w:vAlign w:val="center"/>
          </w:tcPr>
          <w:p w14:paraId="46B729FB">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47.38</w:t>
            </w:r>
          </w:p>
        </w:tc>
        <w:tc>
          <w:tcPr>
            <w:tcW w:w="243" w:type="pct"/>
            <w:tcBorders>
              <w:tl2br w:val="nil"/>
              <w:tr2bl w:val="nil"/>
            </w:tcBorders>
            <w:shd w:val="clear" w:color="auto" w:fill="auto"/>
            <w:vAlign w:val="center"/>
          </w:tcPr>
          <w:p w14:paraId="545E933C">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1</w:t>
            </w:r>
          </w:p>
        </w:tc>
      </w:tr>
      <w:tr w14:paraId="369BDAF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3" w:hRule="atLeast"/>
        </w:trPr>
        <w:tc>
          <w:tcPr>
            <w:tcW w:w="121" w:type="pct"/>
            <w:tcBorders>
              <w:tl2br w:val="nil"/>
              <w:tr2bl w:val="nil"/>
            </w:tcBorders>
            <w:shd w:val="clear" w:color="auto" w:fill="auto"/>
            <w:vAlign w:val="center"/>
          </w:tcPr>
          <w:p w14:paraId="043B8F4C">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5</w:t>
            </w:r>
          </w:p>
        </w:tc>
        <w:tc>
          <w:tcPr>
            <w:tcW w:w="366" w:type="pct"/>
            <w:vMerge w:val="continue"/>
            <w:tcBorders>
              <w:tl2br w:val="nil"/>
              <w:tr2bl w:val="nil"/>
            </w:tcBorders>
            <w:shd w:val="clear" w:color="auto" w:fill="auto"/>
            <w:vAlign w:val="center"/>
          </w:tcPr>
          <w:p w14:paraId="6EB22152">
            <w:pPr>
              <w:jc w:val="center"/>
              <w:rPr>
                <w:rFonts w:hint="default" w:ascii="Times New Roman" w:hAnsi="Times New Roman" w:eastAsia="宋体" w:cs="Times New Roman"/>
                <w:i w:val="0"/>
                <w:iCs w:val="0"/>
                <w:color w:val="auto"/>
                <w:sz w:val="18"/>
                <w:szCs w:val="18"/>
                <w:highlight w:val="none"/>
                <w:u w:val="none"/>
              </w:rPr>
            </w:pPr>
          </w:p>
        </w:tc>
        <w:tc>
          <w:tcPr>
            <w:tcW w:w="523" w:type="pct"/>
            <w:tcBorders>
              <w:tl2br w:val="nil"/>
              <w:tr2bl w:val="nil"/>
            </w:tcBorders>
            <w:shd w:val="clear" w:color="auto" w:fill="auto"/>
            <w:vAlign w:val="center"/>
          </w:tcPr>
          <w:p w14:paraId="4BCB3297">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喷雾干燥器2</w:t>
            </w:r>
          </w:p>
        </w:tc>
        <w:tc>
          <w:tcPr>
            <w:tcW w:w="407" w:type="pct"/>
            <w:tcBorders>
              <w:tl2br w:val="nil"/>
              <w:tr2bl w:val="nil"/>
            </w:tcBorders>
            <w:shd w:val="clear" w:color="auto" w:fill="auto"/>
            <w:vAlign w:val="center"/>
          </w:tcPr>
          <w:p w14:paraId="367D1C9B">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ZH10L</w:t>
            </w:r>
          </w:p>
        </w:tc>
        <w:tc>
          <w:tcPr>
            <w:tcW w:w="268" w:type="pct"/>
            <w:tcBorders>
              <w:tl2br w:val="nil"/>
              <w:tr2bl w:val="nil"/>
            </w:tcBorders>
            <w:shd w:val="clear" w:color="auto" w:fill="auto"/>
            <w:vAlign w:val="center"/>
          </w:tcPr>
          <w:p w14:paraId="08F8E0A3">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75</w:t>
            </w:r>
          </w:p>
        </w:tc>
        <w:tc>
          <w:tcPr>
            <w:tcW w:w="168" w:type="pct"/>
            <w:vMerge w:val="continue"/>
            <w:tcBorders>
              <w:tl2br w:val="nil"/>
              <w:tr2bl w:val="nil"/>
            </w:tcBorders>
            <w:shd w:val="clear" w:color="auto" w:fill="auto"/>
            <w:vAlign w:val="center"/>
          </w:tcPr>
          <w:p w14:paraId="5034B128">
            <w:pPr>
              <w:jc w:val="center"/>
              <w:rPr>
                <w:rFonts w:hint="default" w:ascii="Times New Roman" w:hAnsi="Times New Roman" w:eastAsia="宋体" w:cs="Times New Roman"/>
                <w:i w:val="0"/>
                <w:iCs w:val="0"/>
                <w:color w:val="auto"/>
                <w:sz w:val="18"/>
                <w:szCs w:val="18"/>
                <w:highlight w:val="none"/>
                <w:u w:val="none"/>
              </w:rPr>
            </w:pPr>
          </w:p>
        </w:tc>
        <w:tc>
          <w:tcPr>
            <w:tcW w:w="195" w:type="pct"/>
            <w:tcBorders>
              <w:tl2br w:val="nil"/>
              <w:tr2bl w:val="nil"/>
            </w:tcBorders>
            <w:shd w:val="clear" w:color="auto" w:fill="auto"/>
            <w:vAlign w:val="center"/>
          </w:tcPr>
          <w:p w14:paraId="62876B6F">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-26.8</w:t>
            </w:r>
          </w:p>
        </w:tc>
        <w:tc>
          <w:tcPr>
            <w:tcW w:w="173" w:type="pct"/>
            <w:tcBorders>
              <w:tl2br w:val="nil"/>
              <w:tr2bl w:val="nil"/>
            </w:tcBorders>
            <w:shd w:val="clear" w:color="auto" w:fill="auto"/>
            <w:vAlign w:val="center"/>
          </w:tcPr>
          <w:p w14:paraId="271ADC50">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9.68</w:t>
            </w:r>
          </w:p>
        </w:tc>
        <w:tc>
          <w:tcPr>
            <w:tcW w:w="131" w:type="pct"/>
            <w:tcBorders>
              <w:tl2br w:val="nil"/>
              <w:tr2bl w:val="nil"/>
            </w:tcBorders>
            <w:shd w:val="clear" w:color="auto" w:fill="auto"/>
            <w:vAlign w:val="center"/>
          </w:tcPr>
          <w:p w14:paraId="7DA6963B">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45</w:t>
            </w:r>
          </w:p>
        </w:tc>
        <w:tc>
          <w:tcPr>
            <w:tcW w:w="166" w:type="pct"/>
            <w:tcBorders>
              <w:tl2br w:val="nil"/>
              <w:tr2bl w:val="nil"/>
            </w:tcBorders>
            <w:shd w:val="clear" w:color="auto" w:fill="auto"/>
            <w:noWrap/>
            <w:vAlign w:val="center"/>
          </w:tcPr>
          <w:p w14:paraId="2217A304">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31.23</w:t>
            </w:r>
          </w:p>
        </w:tc>
        <w:tc>
          <w:tcPr>
            <w:tcW w:w="166" w:type="pct"/>
            <w:tcBorders>
              <w:tl2br w:val="nil"/>
              <w:tr2bl w:val="nil"/>
            </w:tcBorders>
            <w:shd w:val="clear" w:color="auto" w:fill="auto"/>
            <w:noWrap/>
            <w:vAlign w:val="center"/>
          </w:tcPr>
          <w:p w14:paraId="759F52EB">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19.46</w:t>
            </w:r>
          </w:p>
        </w:tc>
        <w:tc>
          <w:tcPr>
            <w:tcW w:w="166" w:type="pct"/>
            <w:tcBorders>
              <w:tl2br w:val="nil"/>
              <w:tr2bl w:val="nil"/>
            </w:tcBorders>
            <w:shd w:val="clear" w:color="auto" w:fill="auto"/>
            <w:noWrap/>
            <w:vAlign w:val="center"/>
          </w:tcPr>
          <w:p w14:paraId="03A46FF6">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21.10</w:t>
            </w:r>
          </w:p>
        </w:tc>
        <w:tc>
          <w:tcPr>
            <w:tcW w:w="166" w:type="pct"/>
            <w:tcBorders>
              <w:tl2br w:val="nil"/>
              <w:tr2bl w:val="nil"/>
            </w:tcBorders>
            <w:shd w:val="clear" w:color="auto" w:fill="auto"/>
            <w:noWrap/>
            <w:vAlign w:val="center"/>
          </w:tcPr>
          <w:p w14:paraId="16D84572">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6.53</w:t>
            </w:r>
          </w:p>
        </w:tc>
        <w:tc>
          <w:tcPr>
            <w:tcW w:w="166" w:type="pct"/>
            <w:tcBorders>
              <w:tl2br w:val="nil"/>
              <w:tr2bl w:val="nil"/>
            </w:tcBorders>
            <w:shd w:val="clear" w:color="auto" w:fill="auto"/>
            <w:noWrap/>
            <w:vAlign w:val="center"/>
          </w:tcPr>
          <w:p w14:paraId="1C315D20">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68.08</w:t>
            </w:r>
          </w:p>
        </w:tc>
        <w:tc>
          <w:tcPr>
            <w:tcW w:w="166" w:type="pct"/>
            <w:tcBorders>
              <w:tl2br w:val="nil"/>
              <w:tr2bl w:val="nil"/>
            </w:tcBorders>
            <w:shd w:val="clear" w:color="auto" w:fill="auto"/>
            <w:noWrap/>
            <w:vAlign w:val="center"/>
          </w:tcPr>
          <w:p w14:paraId="6599C1C2">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68.08</w:t>
            </w:r>
          </w:p>
        </w:tc>
        <w:tc>
          <w:tcPr>
            <w:tcW w:w="166" w:type="pct"/>
            <w:tcBorders>
              <w:tl2br w:val="nil"/>
              <w:tr2bl w:val="nil"/>
            </w:tcBorders>
            <w:shd w:val="clear" w:color="auto" w:fill="auto"/>
            <w:noWrap/>
            <w:vAlign w:val="center"/>
          </w:tcPr>
          <w:p w14:paraId="4ACFF262">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68.08</w:t>
            </w:r>
          </w:p>
        </w:tc>
        <w:tc>
          <w:tcPr>
            <w:tcW w:w="168" w:type="pct"/>
            <w:tcBorders>
              <w:tl2br w:val="nil"/>
              <w:tr2bl w:val="nil"/>
            </w:tcBorders>
            <w:shd w:val="clear" w:color="auto" w:fill="auto"/>
            <w:noWrap/>
            <w:vAlign w:val="center"/>
          </w:tcPr>
          <w:p w14:paraId="4308A7E1">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68.12</w:t>
            </w:r>
          </w:p>
        </w:tc>
        <w:tc>
          <w:tcPr>
            <w:tcW w:w="161" w:type="pct"/>
            <w:vMerge w:val="continue"/>
            <w:tcBorders>
              <w:tl2br w:val="nil"/>
              <w:tr2bl w:val="nil"/>
            </w:tcBorders>
            <w:shd w:val="clear" w:color="auto" w:fill="auto"/>
            <w:vAlign w:val="center"/>
          </w:tcPr>
          <w:p w14:paraId="52B35E3C">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p>
        </w:tc>
        <w:tc>
          <w:tcPr>
            <w:tcW w:w="227" w:type="pct"/>
            <w:tcBorders>
              <w:tl2br w:val="nil"/>
              <w:tr2bl w:val="nil"/>
            </w:tcBorders>
            <w:shd w:val="clear" w:color="auto" w:fill="auto"/>
            <w:vAlign w:val="center"/>
          </w:tcPr>
          <w:p w14:paraId="0C16CE94">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21</w:t>
            </w:r>
          </w:p>
        </w:tc>
        <w:tc>
          <w:tcPr>
            <w:tcW w:w="162" w:type="pct"/>
            <w:tcBorders>
              <w:tl2br w:val="nil"/>
              <w:tr2bl w:val="nil"/>
            </w:tcBorders>
            <w:shd w:val="clear" w:color="auto" w:fill="auto"/>
            <w:noWrap/>
            <w:vAlign w:val="center"/>
          </w:tcPr>
          <w:p w14:paraId="1405D35E">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47.08</w:t>
            </w:r>
          </w:p>
        </w:tc>
        <w:tc>
          <w:tcPr>
            <w:tcW w:w="162" w:type="pct"/>
            <w:tcBorders>
              <w:tl2br w:val="nil"/>
              <w:tr2bl w:val="nil"/>
            </w:tcBorders>
            <w:shd w:val="clear" w:color="auto" w:fill="auto"/>
            <w:noWrap/>
            <w:vAlign w:val="center"/>
          </w:tcPr>
          <w:p w14:paraId="58B2CA77">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47.08</w:t>
            </w:r>
          </w:p>
        </w:tc>
        <w:tc>
          <w:tcPr>
            <w:tcW w:w="162" w:type="pct"/>
            <w:tcBorders>
              <w:tl2br w:val="nil"/>
              <w:tr2bl w:val="nil"/>
            </w:tcBorders>
            <w:shd w:val="clear" w:color="auto" w:fill="auto"/>
            <w:noWrap/>
            <w:vAlign w:val="center"/>
          </w:tcPr>
          <w:p w14:paraId="5221AA5C">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47.08</w:t>
            </w:r>
          </w:p>
        </w:tc>
        <w:tc>
          <w:tcPr>
            <w:tcW w:w="188" w:type="pct"/>
            <w:tcBorders>
              <w:tl2br w:val="nil"/>
              <w:tr2bl w:val="nil"/>
            </w:tcBorders>
            <w:shd w:val="clear" w:color="auto" w:fill="auto"/>
            <w:noWrap/>
            <w:vAlign w:val="center"/>
          </w:tcPr>
          <w:p w14:paraId="4DF15D3D">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47.12</w:t>
            </w:r>
          </w:p>
        </w:tc>
        <w:tc>
          <w:tcPr>
            <w:tcW w:w="243" w:type="pct"/>
            <w:tcBorders>
              <w:tl2br w:val="nil"/>
              <w:tr2bl w:val="nil"/>
            </w:tcBorders>
            <w:shd w:val="clear" w:color="auto" w:fill="auto"/>
            <w:vAlign w:val="center"/>
          </w:tcPr>
          <w:p w14:paraId="08CD8DDE">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1</w:t>
            </w:r>
          </w:p>
        </w:tc>
      </w:tr>
      <w:tr w14:paraId="4D58873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3" w:hRule="atLeast"/>
        </w:trPr>
        <w:tc>
          <w:tcPr>
            <w:tcW w:w="121" w:type="pct"/>
            <w:tcBorders>
              <w:tl2br w:val="nil"/>
              <w:tr2bl w:val="nil"/>
            </w:tcBorders>
            <w:shd w:val="clear" w:color="auto" w:fill="auto"/>
            <w:vAlign w:val="center"/>
          </w:tcPr>
          <w:p w14:paraId="7191B5E1">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6</w:t>
            </w:r>
          </w:p>
        </w:tc>
        <w:tc>
          <w:tcPr>
            <w:tcW w:w="366" w:type="pct"/>
            <w:vMerge w:val="restart"/>
            <w:tcBorders>
              <w:tl2br w:val="nil"/>
              <w:tr2bl w:val="nil"/>
            </w:tcBorders>
            <w:shd w:val="clear" w:color="auto" w:fill="auto"/>
            <w:vAlign w:val="center"/>
          </w:tcPr>
          <w:p w14:paraId="1B68B943">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窑炉房</w:t>
            </w:r>
          </w:p>
        </w:tc>
        <w:tc>
          <w:tcPr>
            <w:tcW w:w="523" w:type="pct"/>
            <w:tcBorders>
              <w:tl2br w:val="nil"/>
              <w:tr2bl w:val="nil"/>
            </w:tcBorders>
            <w:shd w:val="clear" w:color="auto" w:fill="auto"/>
            <w:vAlign w:val="center"/>
          </w:tcPr>
          <w:p w14:paraId="1B90D958">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箱式炉1</w:t>
            </w:r>
          </w:p>
        </w:tc>
        <w:tc>
          <w:tcPr>
            <w:tcW w:w="407" w:type="pct"/>
            <w:tcBorders>
              <w:tl2br w:val="nil"/>
              <w:tr2bl w:val="nil"/>
            </w:tcBorders>
            <w:shd w:val="clear" w:color="auto" w:fill="auto"/>
            <w:vAlign w:val="center"/>
          </w:tcPr>
          <w:p w14:paraId="3E12EF4E">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AK2111N</w:t>
            </w:r>
          </w:p>
        </w:tc>
        <w:tc>
          <w:tcPr>
            <w:tcW w:w="268" w:type="pct"/>
            <w:tcBorders>
              <w:tl2br w:val="nil"/>
              <w:tr2bl w:val="nil"/>
            </w:tcBorders>
            <w:shd w:val="clear" w:color="auto" w:fill="auto"/>
            <w:vAlign w:val="center"/>
          </w:tcPr>
          <w:p w14:paraId="454BABBA">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70</w:t>
            </w:r>
          </w:p>
        </w:tc>
        <w:tc>
          <w:tcPr>
            <w:tcW w:w="168" w:type="pct"/>
            <w:vMerge w:val="continue"/>
            <w:tcBorders>
              <w:tl2br w:val="nil"/>
              <w:tr2bl w:val="nil"/>
            </w:tcBorders>
            <w:shd w:val="clear" w:color="auto" w:fill="auto"/>
            <w:vAlign w:val="center"/>
          </w:tcPr>
          <w:p w14:paraId="77EEBEFB">
            <w:pPr>
              <w:jc w:val="center"/>
              <w:rPr>
                <w:rFonts w:hint="default" w:ascii="Times New Roman" w:hAnsi="Times New Roman" w:eastAsia="宋体" w:cs="Times New Roman"/>
                <w:i w:val="0"/>
                <w:iCs w:val="0"/>
                <w:color w:val="auto"/>
                <w:sz w:val="18"/>
                <w:szCs w:val="18"/>
                <w:highlight w:val="none"/>
                <w:u w:val="none"/>
              </w:rPr>
            </w:pPr>
          </w:p>
        </w:tc>
        <w:tc>
          <w:tcPr>
            <w:tcW w:w="195" w:type="pct"/>
            <w:tcBorders>
              <w:tl2br w:val="nil"/>
              <w:tr2bl w:val="nil"/>
            </w:tcBorders>
            <w:shd w:val="clear" w:color="auto" w:fill="auto"/>
            <w:vAlign w:val="center"/>
          </w:tcPr>
          <w:p w14:paraId="3F1F1B75">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-22.98</w:t>
            </w:r>
          </w:p>
        </w:tc>
        <w:tc>
          <w:tcPr>
            <w:tcW w:w="173" w:type="pct"/>
            <w:tcBorders>
              <w:tl2br w:val="nil"/>
              <w:tr2bl w:val="nil"/>
            </w:tcBorders>
            <w:shd w:val="clear" w:color="auto" w:fill="auto"/>
            <w:vAlign w:val="center"/>
          </w:tcPr>
          <w:p w14:paraId="5590B4D1">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15.6</w:t>
            </w:r>
          </w:p>
        </w:tc>
        <w:tc>
          <w:tcPr>
            <w:tcW w:w="131" w:type="pct"/>
            <w:tcBorders>
              <w:tl2br w:val="nil"/>
              <w:tr2bl w:val="nil"/>
            </w:tcBorders>
            <w:shd w:val="clear" w:color="auto" w:fill="auto"/>
            <w:vAlign w:val="center"/>
          </w:tcPr>
          <w:p w14:paraId="5E186C82">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45</w:t>
            </w:r>
          </w:p>
        </w:tc>
        <w:tc>
          <w:tcPr>
            <w:tcW w:w="166" w:type="pct"/>
            <w:tcBorders>
              <w:tl2br w:val="nil"/>
              <w:tr2bl w:val="nil"/>
            </w:tcBorders>
            <w:shd w:val="clear" w:color="auto" w:fill="auto"/>
            <w:noWrap/>
            <w:vAlign w:val="center"/>
          </w:tcPr>
          <w:p w14:paraId="74E0C126">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36.59</w:t>
            </w:r>
          </w:p>
        </w:tc>
        <w:tc>
          <w:tcPr>
            <w:tcW w:w="166" w:type="pct"/>
            <w:tcBorders>
              <w:tl2br w:val="nil"/>
              <w:tr2bl w:val="nil"/>
            </w:tcBorders>
            <w:shd w:val="clear" w:color="auto" w:fill="auto"/>
            <w:noWrap/>
            <w:vAlign w:val="center"/>
          </w:tcPr>
          <w:p w14:paraId="493725E5">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23.93</w:t>
            </w:r>
          </w:p>
        </w:tc>
        <w:tc>
          <w:tcPr>
            <w:tcW w:w="166" w:type="pct"/>
            <w:tcBorders>
              <w:tl2br w:val="nil"/>
              <w:tr2bl w:val="nil"/>
            </w:tcBorders>
            <w:shd w:val="clear" w:color="auto" w:fill="auto"/>
            <w:noWrap/>
            <w:vAlign w:val="center"/>
          </w:tcPr>
          <w:p w14:paraId="3CA089F1">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15.66</w:t>
            </w:r>
          </w:p>
        </w:tc>
        <w:tc>
          <w:tcPr>
            <w:tcW w:w="166" w:type="pct"/>
            <w:tcBorders>
              <w:tl2br w:val="nil"/>
              <w:tr2bl w:val="nil"/>
            </w:tcBorders>
            <w:shd w:val="clear" w:color="auto" w:fill="auto"/>
            <w:noWrap/>
            <w:vAlign w:val="center"/>
          </w:tcPr>
          <w:p w14:paraId="537F18A3">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2.02</w:t>
            </w:r>
          </w:p>
        </w:tc>
        <w:tc>
          <w:tcPr>
            <w:tcW w:w="166" w:type="pct"/>
            <w:tcBorders>
              <w:tl2br w:val="nil"/>
              <w:tr2bl w:val="nil"/>
            </w:tcBorders>
            <w:shd w:val="clear" w:color="auto" w:fill="auto"/>
            <w:noWrap/>
            <w:vAlign w:val="center"/>
          </w:tcPr>
          <w:p w14:paraId="07218C9D">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63.08</w:t>
            </w:r>
          </w:p>
        </w:tc>
        <w:tc>
          <w:tcPr>
            <w:tcW w:w="166" w:type="pct"/>
            <w:tcBorders>
              <w:tl2br w:val="nil"/>
              <w:tr2bl w:val="nil"/>
            </w:tcBorders>
            <w:shd w:val="clear" w:color="auto" w:fill="auto"/>
            <w:noWrap/>
            <w:vAlign w:val="center"/>
          </w:tcPr>
          <w:p w14:paraId="5CDB03D3">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63.08</w:t>
            </w:r>
          </w:p>
        </w:tc>
        <w:tc>
          <w:tcPr>
            <w:tcW w:w="166" w:type="pct"/>
            <w:tcBorders>
              <w:tl2br w:val="nil"/>
              <w:tr2bl w:val="nil"/>
            </w:tcBorders>
            <w:shd w:val="clear" w:color="auto" w:fill="auto"/>
            <w:noWrap/>
            <w:vAlign w:val="center"/>
          </w:tcPr>
          <w:p w14:paraId="20E2EBC7">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63.08</w:t>
            </w:r>
          </w:p>
        </w:tc>
        <w:tc>
          <w:tcPr>
            <w:tcW w:w="168" w:type="pct"/>
            <w:tcBorders>
              <w:tl2br w:val="nil"/>
              <w:tr2bl w:val="nil"/>
            </w:tcBorders>
            <w:shd w:val="clear" w:color="auto" w:fill="auto"/>
            <w:noWrap/>
            <w:vAlign w:val="center"/>
          </w:tcPr>
          <w:p w14:paraId="4A0C5075">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63.47</w:t>
            </w:r>
          </w:p>
        </w:tc>
        <w:tc>
          <w:tcPr>
            <w:tcW w:w="161" w:type="pct"/>
            <w:vMerge w:val="continue"/>
            <w:tcBorders>
              <w:tl2br w:val="nil"/>
              <w:tr2bl w:val="nil"/>
            </w:tcBorders>
            <w:shd w:val="clear" w:color="auto" w:fill="auto"/>
            <w:vAlign w:val="center"/>
          </w:tcPr>
          <w:p w14:paraId="1D792D55">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p>
        </w:tc>
        <w:tc>
          <w:tcPr>
            <w:tcW w:w="227" w:type="pct"/>
            <w:tcBorders>
              <w:tl2br w:val="nil"/>
              <w:tr2bl w:val="nil"/>
            </w:tcBorders>
            <w:shd w:val="clear" w:color="auto" w:fill="auto"/>
            <w:vAlign w:val="center"/>
          </w:tcPr>
          <w:p w14:paraId="21060016">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21</w:t>
            </w:r>
          </w:p>
        </w:tc>
        <w:tc>
          <w:tcPr>
            <w:tcW w:w="162" w:type="pct"/>
            <w:tcBorders>
              <w:tl2br w:val="nil"/>
              <w:tr2bl w:val="nil"/>
            </w:tcBorders>
            <w:shd w:val="clear" w:color="auto" w:fill="auto"/>
            <w:noWrap/>
            <w:vAlign w:val="center"/>
          </w:tcPr>
          <w:p w14:paraId="6C607DC1">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42.08</w:t>
            </w:r>
          </w:p>
        </w:tc>
        <w:tc>
          <w:tcPr>
            <w:tcW w:w="162" w:type="pct"/>
            <w:tcBorders>
              <w:tl2br w:val="nil"/>
              <w:tr2bl w:val="nil"/>
            </w:tcBorders>
            <w:shd w:val="clear" w:color="auto" w:fill="auto"/>
            <w:noWrap/>
            <w:vAlign w:val="center"/>
          </w:tcPr>
          <w:p w14:paraId="4A139E0B">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42.08</w:t>
            </w:r>
          </w:p>
        </w:tc>
        <w:tc>
          <w:tcPr>
            <w:tcW w:w="162" w:type="pct"/>
            <w:tcBorders>
              <w:tl2br w:val="nil"/>
              <w:tr2bl w:val="nil"/>
            </w:tcBorders>
            <w:shd w:val="clear" w:color="auto" w:fill="auto"/>
            <w:noWrap/>
            <w:vAlign w:val="center"/>
          </w:tcPr>
          <w:p w14:paraId="04989C9D">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42.08</w:t>
            </w:r>
          </w:p>
        </w:tc>
        <w:tc>
          <w:tcPr>
            <w:tcW w:w="188" w:type="pct"/>
            <w:tcBorders>
              <w:tl2br w:val="nil"/>
              <w:tr2bl w:val="nil"/>
            </w:tcBorders>
            <w:shd w:val="clear" w:color="auto" w:fill="auto"/>
            <w:noWrap/>
            <w:vAlign w:val="center"/>
          </w:tcPr>
          <w:p w14:paraId="702A64EC">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42.47</w:t>
            </w:r>
          </w:p>
        </w:tc>
        <w:tc>
          <w:tcPr>
            <w:tcW w:w="243" w:type="pct"/>
            <w:tcBorders>
              <w:tl2br w:val="nil"/>
              <w:tr2bl w:val="nil"/>
            </w:tcBorders>
            <w:shd w:val="clear" w:color="auto" w:fill="auto"/>
            <w:vAlign w:val="center"/>
          </w:tcPr>
          <w:p w14:paraId="37477044">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1</w:t>
            </w:r>
          </w:p>
        </w:tc>
      </w:tr>
      <w:tr w14:paraId="0E3AA1E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3" w:hRule="atLeast"/>
        </w:trPr>
        <w:tc>
          <w:tcPr>
            <w:tcW w:w="121" w:type="pct"/>
            <w:tcBorders>
              <w:tl2br w:val="nil"/>
              <w:tr2bl w:val="nil"/>
            </w:tcBorders>
            <w:shd w:val="clear" w:color="auto" w:fill="auto"/>
            <w:vAlign w:val="center"/>
          </w:tcPr>
          <w:p w14:paraId="7BD4081E">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7</w:t>
            </w:r>
          </w:p>
        </w:tc>
        <w:tc>
          <w:tcPr>
            <w:tcW w:w="366" w:type="pct"/>
            <w:vMerge w:val="continue"/>
            <w:tcBorders>
              <w:tl2br w:val="nil"/>
              <w:tr2bl w:val="nil"/>
            </w:tcBorders>
            <w:shd w:val="clear" w:color="auto" w:fill="auto"/>
            <w:vAlign w:val="center"/>
          </w:tcPr>
          <w:p w14:paraId="30A160AE">
            <w:pPr>
              <w:jc w:val="center"/>
              <w:rPr>
                <w:rFonts w:hint="default" w:ascii="Times New Roman" w:hAnsi="Times New Roman" w:eastAsia="宋体" w:cs="Times New Roman"/>
                <w:i w:val="0"/>
                <w:iCs w:val="0"/>
                <w:color w:val="auto"/>
                <w:sz w:val="18"/>
                <w:szCs w:val="18"/>
                <w:highlight w:val="none"/>
                <w:u w:val="none"/>
              </w:rPr>
            </w:pPr>
          </w:p>
        </w:tc>
        <w:tc>
          <w:tcPr>
            <w:tcW w:w="523" w:type="pct"/>
            <w:tcBorders>
              <w:tl2br w:val="nil"/>
              <w:tr2bl w:val="nil"/>
            </w:tcBorders>
            <w:shd w:val="clear" w:color="auto" w:fill="auto"/>
            <w:vAlign w:val="center"/>
          </w:tcPr>
          <w:p w14:paraId="2551F8CB">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箱式炉2</w:t>
            </w:r>
          </w:p>
        </w:tc>
        <w:tc>
          <w:tcPr>
            <w:tcW w:w="407" w:type="pct"/>
            <w:tcBorders>
              <w:tl2br w:val="nil"/>
              <w:tr2bl w:val="nil"/>
            </w:tcBorders>
            <w:shd w:val="clear" w:color="auto" w:fill="auto"/>
            <w:vAlign w:val="center"/>
          </w:tcPr>
          <w:p w14:paraId="3EB35E2D">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AK2111N</w:t>
            </w:r>
          </w:p>
        </w:tc>
        <w:tc>
          <w:tcPr>
            <w:tcW w:w="268" w:type="pct"/>
            <w:tcBorders>
              <w:tl2br w:val="nil"/>
              <w:tr2bl w:val="nil"/>
            </w:tcBorders>
            <w:shd w:val="clear" w:color="auto" w:fill="auto"/>
            <w:vAlign w:val="center"/>
          </w:tcPr>
          <w:p w14:paraId="2F86F9F2">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70</w:t>
            </w:r>
          </w:p>
        </w:tc>
        <w:tc>
          <w:tcPr>
            <w:tcW w:w="168" w:type="pct"/>
            <w:vMerge w:val="continue"/>
            <w:tcBorders>
              <w:tl2br w:val="nil"/>
              <w:tr2bl w:val="nil"/>
            </w:tcBorders>
            <w:shd w:val="clear" w:color="auto" w:fill="auto"/>
            <w:vAlign w:val="center"/>
          </w:tcPr>
          <w:p w14:paraId="169DD3C6">
            <w:pPr>
              <w:jc w:val="center"/>
              <w:rPr>
                <w:rFonts w:hint="default" w:ascii="Times New Roman" w:hAnsi="Times New Roman" w:eastAsia="宋体" w:cs="Times New Roman"/>
                <w:i w:val="0"/>
                <w:iCs w:val="0"/>
                <w:color w:val="auto"/>
                <w:sz w:val="18"/>
                <w:szCs w:val="18"/>
                <w:highlight w:val="none"/>
                <w:u w:val="none"/>
              </w:rPr>
            </w:pPr>
          </w:p>
        </w:tc>
        <w:tc>
          <w:tcPr>
            <w:tcW w:w="195" w:type="pct"/>
            <w:tcBorders>
              <w:tl2br w:val="nil"/>
              <w:tr2bl w:val="nil"/>
            </w:tcBorders>
            <w:shd w:val="clear" w:color="auto" w:fill="auto"/>
            <w:vAlign w:val="center"/>
          </w:tcPr>
          <w:p w14:paraId="1CFC9C6F">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-22.33</w:t>
            </w:r>
          </w:p>
        </w:tc>
        <w:tc>
          <w:tcPr>
            <w:tcW w:w="173" w:type="pct"/>
            <w:tcBorders>
              <w:tl2br w:val="nil"/>
              <w:tr2bl w:val="nil"/>
            </w:tcBorders>
            <w:shd w:val="clear" w:color="auto" w:fill="auto"/>
            <w:vAlign w:val="center"/>
          </w:tcPr>
          <w:p w14:paraId="386F7CA3">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12.5</w:t>
            </w:r>
          </w:p>
        </w:tc>
        <w:tc>
          <w:tcPr>
            <w:tcW w:w="131" w:type="pct"/>
            <w:tcBorders>
              <w:tl2br w:val="nil"/>
              <w:tr2bl w:val="nil"/>
            </w:tcBorders>
            <w:shd w:val="clear" w:color="auto" w:fill="auto"/>
            <w:vAlign w:val="center"/>
          </w:tcPr>
          <w:p w14:paraId="6F0EDA3D">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45</w:t>
            </w:r>
          </w:p>
        </w:tc>
        <w:tc>
          <w:tcPr>
            <w:tcW w:w="166" w:type="pct"/>
            <w:tcBorders>
              <w:tl2br w:val="nil"/>
              <w:tr2bl w:val="nil"/>
            </w:tcBorders>
            <w:shd w:val="clear" w:color="auto" w:fill="auto"/>
            <w:noWrap/>
            <w:vAlign w:val="center"/>
          </w:tcPr>
          <w:p w14:paraId="2721C46F">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36.32</w:t>
            </w:r>
          </w:p>
        </w:tc>
        <w:tc>
          <w:tcPr>
            <w:tcW w:w="166" w:type="pct"/>
            <w:tcBorders>
              <w:tl2br w:val="nil"/>
              <w:tr2bl w:val="nil"/>
            </w:tcBorders>
            <w:shd w:val="clear" w:color="auto" w:fill="auto"/>
            <w:noWrap/>
            <w:vAlign w:val="center"/>
          </w:tcPr>
          <w:p w14:paraId="7F4135C6">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20.78</w:t>
            </w:r>
          </w:p>
        </w:tc>
        <w:tc>
          <w:tcPr>
            <w:tcW w:w="166" w:type="pct"/>
            <w:tcBorders>
              <w:tl2br w:val="nil"/>
              <w:tr2bl w:val="nil"/>
            </w:tcBorders>
            <w:shd w:val="clear" w:color="auto" w:fill="auto"/>
            <w:noWrap/>
            <w:vAlign w:val="center"/>
          </w:tcPr>
          <w:p w14:paraId="7B04B591">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15.98</w:t>
            </w:r>
          </w:p>
        </w:tc>
        <w:tc>
          <w:tcPr>
            <w:tcW w:w="166" w:type="pct"/>
            <w:tcBorders>
              <w:tl2br w:val="nil"/>
              <w:tr2bl w:val="nil"/>
            </w:tcBorders>
            <w:shd w:val="clear" w:color="auto" w:fill="auto"/>
            <w:noWrap/>
            <w:vAlign w:val="center"/>
          </w:tcPr>
          <w:p w14:paraId="31D3BEC2">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5.17</w:t>
            </w:r>
          </w:p>
        </w:tc>
        <w:tc>
          <w:tcPr>
            <w:tcW w:w="166" w:type="pct"/>
            <w:tcBorders>
              <w:tl2br w:val="nil"/>
              <w:tr2bl w:val="nil"/>
            </w:tcBorders>
            <w:shd w:val="clear" w:color="auto" w:fill="auto"/>
            <w:noWrap/>
            <w:vAlign w:val="center"/>
          </w:tcPr>
          <w:p w14:paraId="3C6CB147">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63.08</w:t>
            </w:r>
          </w:p>
        </w:tc>
        <w:tc>
          <w:tcPr>
            <w:tcW w:w="166" w:type="pct"/>
            <w:tcBorders>
              <w:tl2br w:val="nil"/>
              <w:tr2bl w:val="nil"/>
            </w:tcBorders>
            <w:shd w:val="clear" w:color="auto" w:fill="auto"/>
            <w:noWrap/>
            <w:vAlign w:val="center"/>
          </w:tcPr>
          <w:p w14:paraId="5404F8EE">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63.08</w:t>
            </w:r>
          </w:p>
        </w:tc>
        <w:tc>
          <w:tcPr>
            <w:tcW w:w="166" w:type="pct"/>
            <w:tcBorders>
              <w:tl2br w:val="nil"/>
              <w:tr2bl w:val="nil"/>
            </w:tcBorders>
            <w:shd w:val="clear" w:color="auto" w:fill="auto"/>
            <w:noWrap/>
            <w:vAlign w:val="center"/>
          </w:tcPr>
          <w:p w14:paraId="12AA046A">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63.08</w:t>
            </w:r>
          </w:p>
        </w:tc>
        <w:tc>
          <w:tcPr>
            <w:tcW w:w="168" w:type="pct"/>
            <w:tcBorders>
              <w:tl2br w:val="nil"/>
              <w:tr2bl w:val="nil"/>
            </w:tcBorders>
            <w:shd w:val="clear" w:color="auto" w:fill="auto"/>
            <w:noWrap/>
            <w:vAlign w:val="center"/>
          </w:tcPr>
          <w:p w14:paraId="7D51C78F">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63.14</w:t>
            </w:r>
          </w:p>
        </w:tc>
        <w:tc>
          <w:tcPr>
            <w:tcW w:w="161" w:type="pct"/>
            <w:vMerge w:val="continue"/>
            <w:tcBorders>
              <w:tl2br w:val="nil"/>
              <w:tr2bl w:val="nil"/>
            </w:tcBorders>
            <w:shd w:val="clear" w:color="auto" w:fill="auto"/>
            <w:vAlign w:val="center"/>
          </w:tcPr>
          <w:p w14:paraId="1184A962">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p>
        </w:tc>
        <w:tc>
          <w:tcPr>
            <w:tcW w:w="227" w:type="pct"/>
            <w:tcBorders>
              <w:tl2br w:val="nil"/>
              <w:tr2bl w:val="nil"/>
            </w:tcBorders>
            <w:shd w:val="clear" w:color="auto" w:fill="auto"/>
            <w:vAlign w:val="center"/>
          </w:tcPr>
          <w:p w14:paraId="7DA40BB8">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21</w:t>
            </w:r>
          </w:p>
        </w:tc>
        <w:tc>
          <w:tcPr>
            <w:tcW w:w="162" w:type="pct"/>
            <w:tcBorders>
              <w:tl2br w:val="nil"/>
              <w:tr2bl w:val="nil"/>
            </w:tcBorders>
            <w:shd w:val="clear" w:color="auto" w:fill="auto"/>
            <w:noWrap/>
            <w:vAlign w:val="center"/>
          </w:tcPr>
          <w:p w14:paraId="1656BC2E">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42.08</w:t>
            </w:r>
          </w:p>
        </w:tc>
        <w:tc>
          <w:tcPr>
            <w:tcW w:w="162" w:type="pct"/>
            <w:tcBorders>
              <w:tl2br w:val="nil"/>
              <w:tr2bl w:val="nil"/>
            </w:tcBorders>
            <w:shd w:val="clear" w:color="auto" w:fill="auto"/>
            <w:noWrap/>
            <w:vAlign w:val="center"/>
          </w:tcPr>
          <w:p w14:paraId="1625B1E9">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42.08</w:t>
            </w:r>
          </w:p>
        </w:tc>
        <w:tc>
          <w:tcPr>
            <w:tcW w:w="162" w:type="pct"/>
            <w:tcBorders>
              <w:tl2br w:val="nil"/>
              <w:tr2bl w:val="nil"/>
            </w:tcBorders>
            <w:shd w:val="clear" w:color="auto" w:fill="auto"/>
            <w:noWrap/>
            <w:vAlign w:val="center"/>
          </w:tcPr>
          <w:p w14:paraId="56D339D0">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42.08</w:t>
            </w:r>
          </w:p>
        </w:tc>
        <w:tc>
          <w:tcPr>
            <w:tcW w:w="188" w:type="pct"/>
            <w:tcBorders>
              <w:tl2br w:val="nil"/>
              <w:tr2bl w:val="nil"/>
            </w:tcBorders>
            <w:shd w:val="clear" w:color="auto" w:fill="auto"/>
            <w:noWrap/>
            <w:vAlign w:val="center"/>
          </w:tcPr>
          <w:p w14:paraId="4DD2B668">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42.14</w:t>
            </w:r>
          </w:p>
        </w:tc>
        <w:tc>
          <w:tcPr>
            <w:tcW w:w="243" w:type="pct"/>
            <w:tcBorders>
              <w:tl2br w:val="nil"/>
              <w:tr2bl w:val="nil"/>
            </w:tcBorders>
            <w:shd w:val="clear" w:color="auto" w:fill="auto"/>
            <w:vAlign w:val="center"/>
          </w:tcPr>
          <w:p w14:paraId="0082D905">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1</w:t>
            </w:r>
          </w:p>
        </w:tc>
      </w:tr>
      <w:tr w14:paraId="425CBF7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121" w:type="pct"/>
            <w:tcBorders>
              <w:tl2br w:val="nil"/>
              <w:tr2bl w:val="nil"/>
            </w:tcBorders>
            <w:shd w:val="clear" w:color="auto" w:fill="auto"/>
            <w:vAlign w:val="center"/>
          </w:tcPr>
          <w:p w14:paraId="20DB36D6">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8</w:t>
            </w:r>
          </w:p>
        </w:tc>
        <w:tc>
          <w:tcPr>
            <w:tcW w:w="366" w:type="pct"/>
            <w:vMerge w:val="continue"/>
            <w:tcBorders>
              <w:tl2br w:val="nil"/>
              <w:tr2bl w:val="nil"/>
            </w:tcBorders>
            <w:shd w:val="clear" w:color="auto" w:fill="auto"/>
            <w:vAlign w:val="center"/>
          </w:tcPr>
          <w:p w14:paraId="6C83E444">
            <w:pPr>
              <w:jc w:val="center"/>
              <w:rPr>
                <w:rFonts w:hint="default" w:ascii="Times New Roman" w:hAnsi="Times New Roman" w:eastAsia="宋体" w:cs="Times New Roman"/>
                <w:i w:val="0"/>
                <w:iCs w:val="0"/>
                <w:color w:val="auto"/>
                <w:sz w:val="18"/>
                <w:szCs w:val="18"/>
                <w:highlight w:val="none"/>
                <w:u w:val="none"/>
              </w:rPr>
            </w:pPr>
          </w:p>
        </w:tc>
        <w:tc>
          <w:tcPr>
            <w:tcW w:w="523" w:type="pct"/>
            <w:tcBorders>
              <w:tl2br w:val="nil"/>
              <w:tr2bl w:val="nil"/>
            </w:tcBorders>
            <w:shd w:val="clear" w:color="auto" w:fill="auto"/>
            <w:vAlign w:val="center"/>
          </w:tcPr>
          <w:p w14:paraId="35367BE8">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箱式炉3</w:t>
            </w:r>
          </w:p>
        </w:tc>
        <w:tc>
          <w:tcPr>
            <w:tcW w:w="407" w:type="pct"/>
            <w:tcBorders>
              <w:tl2br w:val="nil"/>
              <w:tr2bl w:val="nil"/>
            </w:tcBorders>
            <w:shd w:val="clear" w:color="auto" w:fill="auto"/>
            <w:vAlign w:val="center"/>
          </w:tcPr>
          <w:p w14:paraId="55912854">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AK2111N</w:t>
            </w:r>
          </w:p>
        </w:tc>
        <w:tc>
          <w:tcPr>
            <w:tcW w:w="268" w:type="pct"/>
            <w:tcBorders>
              <w:tl2br w:val="nil"/>
              <w:tr2bl w:val="nil"/>
            </w:tcBorders>
            <w:shd w:val="clear" w:color="auto" w:fill="auto"/>
            <w:vAlign w:val="center"/>
          </w:tcPr>
          <w:p w14:paraId="77F54886">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70</w:t>
            </w:r>
          </w:p>
        </w:tc>
        <w:tc>
          <w:tcPr>
            <w:tcW w:w="168" w:type="pct"/>
            <w:vMerge w:val="continue"/>
            <w:tcBorders>
              <w:tl2br w:val="nil"/>
              <w:tr2bl w:val="nil"/>
            </w:tcBorders>
            <w:shd w:val="clear" w:color="auto" w:fill="auto"/>
            <w:vAlign w:val="center"/>
          </w:tcPr>
          <w:p w14:paraId="62200465">
            <w:pPr>
              <w:jc w:val="center"/>
              <w:rPr>
                <w:rFonts w:hint="default" w:ascii="Times New Roman" w:hAnsi="Times New Roman" w:eastAsia="宋体" w:cs="Times New Roman"/>
                <w:i w:val="0"/>
                <w:iCs w:val="0"/>
                <w:color w:val="auto"/>
                <w:sz w:val="18"/>
                <w:szCs w:val="18"/>
                <w:highlight w:val="none"/>
                <w:u w:val="none"/>
              </w:rPr>
            </w:pPr>
          </w:p>
        </w:tc>
        <w:tc>
          <w:tcPr>
            <w:tcW w:w="195" w:type="pct"/>
            <w:tcBorders>
              <w:tl2br w:val="nil"/>
              <w:tr2bl w:val="nil"/>
            </w:tcBorders>
            <w:shd w:val="clear" w:color="auto" w:fill="auto"/>
            <w:vAlign w:val="center"/>
          </w:tcPr>
          <w:p w14:paraId="4C0BDBDA">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-18.38</w:t>
            </w:r>
          </w:p>
        </w:tc>
        <w:tc>
          <w:tcPr>
            <w:tcW w:w="173" w:type="pct"/>
            <w:tcBorders>
              <w:tl2br w:val="nil"/>
              <w:tr2bl w:val="nil"/>
            </w:tcBorders>
            <w:shd w:val="clear" w:color="auto" w:fill="auto"/>
            <w:vAlign w:val="center"/>
          </w:tcPr>
          <w:p w14:paraId="442CE0E3">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16.99</w:t>
            </w:r>
          </w:p>
        </w:tc>
        <w:tc>
          <w:tcPr>
            <w:tcW w:w="131" w:type="pct"/>
            <w:tcBorders>
              <w:tl2br w:val="nil"/>
              <w:tr2bl w:val="nil"/>
            </w:tcBorders>
            <w:shd w:val="clear" w:color="auto" w:fill="auto"/>
            <w:vAlign w:val="center"/>
          </w:tcPr>
          <w:p w14:paraId="6C4F4545">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45</w:t>
            </w:r>
          </w:p>
        </w:tc>
        <w:tc>
          <w:tcPr>
            <w:tcW w:w="166" w:type="pct"/>
            <w:tcBorders>
              <w:tl2br w:val="nil"/>
              <w:tr2bl w:val="nil"/>
            </w:tcBorders>
            <w:shd w:val="clear" w:color="auto" w:fill="auto"/>
            <w:noWrap/>
            <w:vAlign w:val="center"/>
          </w:tcPr>
          <w:p w14:paraId="44D3BBA7">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41.39</w:t>
            </w:r>
          </w:p>
        </w:tc>
        <w:tc>
          <w:tcPr>
            <w:tcW w:w="166" w:type="pct"/>
            <w:tcBorders>
              <w:tl2br w:val="nil"/>
              <w:tr2bl w:val="nil"/>
            </w:tcBorders>
            <w:shd w:val="clear" w:color="auto" w:fill="auto"/>
            <w:noWrap/>
            <w:vAlign w:val="center"/>
          </w:tcPr>
          <w:p w14:paraId="11F4A526">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23.84</w:t>
            </w:r>
          </w:p>
        </w:tc>
        <w:tc>
          <w:tcPr>
            <w:tcW w:w="166" w:type="pct"/>
            <w:tcBorders>
              <w:tl2br w:val="nil"/>
              <w:tr2bl w:val="nil"/>
            </w:tcBorders>
            <w:shd w:val="clear" w:color="auto" w:fill="auto"/>
            <w:noWrap/>
            <w:vAlign w:val="center"/>
          </w:tcPr>
          <w:p w14:paraId="12610644">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10.85</w:t>
            </w:r>
          </w:p>
        </w:tc>
        <w:tc>
          <w:tcPr>
            <w:tcW w:w="166" w:type="pct"/>
            <w:tcBorders>
              <w:tl2br w:val="nil"/>
              <w:tr2bl w:val="nil"/>
            </w:tcBorders>
            <w:shd w:val="clear" w:color="auto" w:fill="auto"/>
            <w:noWrap/>
            <w:vAlign w:val="center"/>
          </w:tcPr>
          <w:p w14:paraId="197B538D">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2.07</w:t>
            </w:r>
          </w:p>
        </w:tc>
        <w:tc>
          <w:tcPr>
            <w:tcW w:w="166" w:type="pct"/>
            <w:tcBorders>
              <w:tl2br w:val="nil"/>
              <w:tr2bl w:val="nil"/>
            </w:tcBorders>
            <w:shd w:val="clear" w:color="auto" w:fill="auto"/>
            <w:noWrap/>
            <w:vAlign w:val="center"/>
          </w:tcPr>
          <w:p w14:paraId="0EEF9147">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63.08</w:t>
            </w:r>
          </w:p>
        </w:tc>
        <w:tc>
          <w:tcPr>
            <w:tcW w:w="166" w:type="pct"/>
            <w:tcBorders>
              <w:tl2br w:val="nil"/>
              <w:tr2bl w:val="nil"/>
            </w:tcBorders>
            <w:shd w:val="clear" w:color="auto" w:fill="auto"/>
            <w:noWrap/>
            <w:vAlign w:val="center"/>
          </w:tcPr>
          <w:p w14:paraId="0323A25B">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63.08</w:t>
            </w:r>
          </w:p>
        </w:tc>
        <w:tc>
          <w:tcPr>
            <w:tcW w:w="166" w:type="pct"/>
            <w:tcBorders>
              <w:tl2br w:val="nil"/>
              <w:tr2bl w:val="nil"/>
            </w:tcBorders>
            <w:shd w:val="clear" w:color="auto" w:fill="auto"/>
            <w:noWrap/>
            <w:vAlign w:val="center"/>
          </w:tcPr>
          <w:p w14:paraId="62F198F0">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63.09</w:t>
            </w:r>
          </w:p>
        </w:tc>
        <w:tc>
          <w:tcPr>
            <w:tcW w:w="168" w:type="pct"/>
            <w:tcBorders>
              <w:tl2br w:val="nil"/>
              <w:tr2bl w:val="nil"/>
            </w:tcBorders>
            <w:shd w:val="clear" w:color="auto" w:fill="auto"/>
            <w:noWrap/>
            <w:vAlign w:val="center"/>
          </w:tcPr>
          <w:p w14:paraId="321C6B19">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63.46</w:t>
            </w:r>
          </w:p>
        </w:tc>
        <w:tc>
          <w:tcPr>
            <w:tcW w:w="161" w:type="pct"/>
            <w:vMerge w:val="continue"/>
            <w:tcBorders>
              <w:tl2br w:val="nil"/>
              <w:tr2bl w:val="nil"/>
            </w:tcBorders>
            <w:shd w:val="clear" w:color="auto" w:fill="auto"/>
            <w:vAlign w:val="center"/>
          </w:tcPr>
          <w:p w14:paraId="3570D91B">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p>
        </w:tc>
        <w:tc>
          <w:tcPr>
            <w:tcW w:w="227" w:type="pct"/>
            <w:tcBorders>
              <w:tl2br w:val="nil"/>
              <w:tr2bl w:val="nil"/>
            </w:tcBorders>
            <w:shd w:val="clear" w:color="auto" w:fill="auto"/>
            <w:vAlign w:val="center"/>
          </w:tcPr>
          <w:p w14:paraId="568BA5DF">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21</w:t>
            </w:r>
          </w:p>
        </w:tc>
        <w:tc>
          <w:tcPr>
            <w:tcW w:w="162" w:type="pct"/>
            <w:tcBorders>
              <w:tl2br w:val="nil"/>
              <w:tr2bl w:val="nil"/>
            </w:tcBorders>
            <w:shd w:val="clear" w:color="auto" w:fill="auto"/>
            <w:noWrap/>
            <w:vAlign w:val="center"/>
          </w:tcPr>
          <w:p w14:paraId="036FFEE0">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42.08</w:t>
            </w:r>
          </w:p>
        </w:tc>
        <w:tc>
          <w:tcPr>
            <w:tcW w:w="162" w:type="pct"/>
            <w:tcBorders>
              <w:tl2br w:val="nil"/>
              <w:tr2bl w:val="nil"/>
            </w:tcBorders>
            <w:shd w:val="clear" w:color="auto" w:fill="auto"/>
            <w:noWrap/>
            <w:vAlign w:val="center"/>
          </w:tcPr>
          <w:p w14:paraId="1D74E203">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42.08</w:t>
            </w:r>
          </w:p>
        </w:tc>
        <w:tc>
          <w:tcPr>
            <w:tcW w:w="162" w:type="pct"/>
            <w:tcBorders>
              <w:tl2br w:val="nil"/>
              <w:tr2bl w:val="nil"/>
            </w:tcBorders>
            <w:shd w:val="clear" w:color="auto" w:fill="auto"/>
            <w:noWrap/>
            <w:vAlign w:val="center"/>
          </w:tcPr>
          <w:p w14:paraId="302DEA69">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42.09</w:t>
            </w:r>
          </w:p>
        </w:tc>
        <w:tc>
          <w:tcPr>
            <w:tcW w:w="188" w:type="pct"/>
            <w:tcBorders>
              <w:tl2br w:val="nil"/>
              <w:tr2bl w:val="nil"/>
            </w:tcBorders>
            <w:shd w:val="clear" w:color="auto" w:fill="auto"/>
            <w:noWrap/>
            <w:vAlign w:val="center"/>
          </w:tcPr>
          <w:p w14:paraId="271B1046">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42.46</w:t>
            </w:r>
          </w:p>
        </w:tc>
        <w:tc>
          <w:tcPr>
            <w:tcW w:w="243" w:type="pct"/>
            <w:tcBorders>
              <w:tl2br w:val="nil"/>
              <w:tr2bl w:val="nil"/>
            </w:tcBorders>
            <w:shd w:val="clear" w:color="auto" w:fill="auto"/>
            <w:vAlign w:val="center"/>
          </w:tcPr>
          <w:p w14:paraId="2BF91B01">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1</w:t>
            </w:r>
          </w:p>
        </w:tc>
      </w:tr>
      <w:tr w14:paraId="091769C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3" w:hRule="atLeast"/>
        </w:trPr>
        <w:tc>
          <w:tcPr>
            <w:tcW w:w="121" w:type="pct"/>
            <w:tcBorders>
              <w:tl2br w:val="nil"/>
              <w:tr2bl w:val="nil"/>
            </w:tcBorders>
            <w:shd w:val="clear" w:color="auto" w:fill="auto"/>
            <w:vAlign w:val="center"/>
          </w:tcPr>
          <w:p w14:paraId="27081C78">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9</w:t>
            </w:r>
          </w:p>
        </w:tc>
        <w:tc>
          <w:tcPr>
            <w:tcW w:w="366" w:type="pct"/>
            <w:vMerge w:val="continue"/>
            <w:tcBorders>
              <w:tl2br w:val="nil"/>
              <w:tr2bl w:val="nil"/>
            </w:tcBorders>
            <w:shd w:val="clear" w:color="auto" w:fill="auto"/>
            <w:vAlign w:val="center"/>
          </w:tcPr>
          <w:p w14:paraId="47FA0200">
            <w:pPr>
              <w:jc w:val="center"/>
              <w:rPr>
                <w:rFonts w:hint="default" w:ascii="Times New Roman" w:hAnsi="Times New Roman" w:eastAsia="宋体" w:cs="Times New Roman"/>
                <w:i w:val="0"/>
                <w:iCs w:val="0"/>
                <w:color w:val="auto"/>
                <w:sz w:val="18"/>
                <w:szCs w:val="18"/>
                <w:highlight w:val="none"/>
                <w:u w:val="none"/>
              </w:rPr>
            </w:pPr>
          </w:p>
        </w:tc>
        <w:tc>
          <w:tcPr>
            <w:tcW w:w="523" w:type="pct"/>
            <w:tcBorders>
              <w:tl2br w:val="nil"/>
              <w:tr2bl w:val="nil"/>
            </w:tcBorders>
            <w:shd w:val="clear" w:color="auto" w:fill="auto"/>
            <w:vAlign w:val="center"/>
          </w:tcPr>
          <w:p w14:paraId="460474B8">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箱式炉4</w:t>
            </w:r>
          </w:p>
        </w:tc>
        <w:tc>
          <w:tcPr>
            <w:tcW w:w="407" w:type="pct"/>
            <w:tcBorders>
              <w:tl2br w:val="nil"/>
              <w:tr2bl w:val="nil"/>
            </w:tcBorders>
            <w:shd w:val="clear" w:color="auto" w:fill="auto"/>
            <w:vAlign w:val="center"/>
          </w:tcPr>
          <w:p w14:paraId="43AA37AC">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AK2111N</w:t>
            </w:r>
          </w:p>
        </w:tc>
        <w:tc>
          <w:tcPr>
            <w:tcW w:w="268" w:type="pct"/>
            <w:tcBorders>
              <w:tl2br w:val="nil"/>
              <w:tr2bl w:val="nil"/>
            </w:tcBorders>
            <w:shd w:val="clear" w:color="auto" w:fill="auto"/>
            <w:vAlign w:val="center"/>
          </w:tcPr>
          <w:p w14:paraId="767F2174">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70</w:t>
            </w:r>
          </w:p>
        </w:tc>
        <w:tc>
          <w:tcPr>
            <w:tcW w:w="168" w:type="pct"/>
            <w:vMerge w:val="continue"/>
            <w:tcBorders>
              <w:tl2br w:val="nil"/>
              <w:tr2bl w:val="nil"/>
            </w:tcBorders>
            <w:shd w:val="clear" w:color="auto" w:fill="auto"/>
            <w:vAlign w:val="center"/>
          </w:tcPr>
          <w:p w14:paraId="62181BB2">
            <w:pPr>
              <w:jc w:val="center"/>
              <w:rPr>
                <w:rFonts w:hint="default" w:ascii="Times New Roman" w:hAnsi="Times New Roman" w:eastAsia="宋体" w:cs="Times New Roman"/>
                <w:i w:val="0"/>
                <w:iCs w:val="0"/>
                <w:color w:val="auto"/>
                <w:sz w:val="18"/>
                <w:szCs w:val="18"/>
                <w:highlight w:val="none"/>
                <w:u w:val="none"/>
              </w:rPr>
            </w:pPr>
          </w:p>
        </w:tc>
        <w:tc>
          <w:tcPr>
            <w:tcW w:w="195" w:type="pct"/>
            <w:tcBorders>
              <w:tl2br w:val="nil"/>
              <w:tr2bl w:val="nil"/>
            </w:tcBorders>
            <w:shd w:val="clear" w:color="auto" w:fill="auto"/>
            <w:vAlign w:val="center"/>
          </w:tcPr>
          <w:p w14:paraId="34BC1D48">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-17.97</w:t>
            </w:r>
          </w:p>
        </w:tc>
        <w:tc>
          <w:tcPr>
            <w:tcW w:w="173" w:type="pct"/>
            <w:tcBorders>
              <w:tl2br w:val="nil"/>
              <w:tr2bl w:val="nil"/>
            </w:tcBorders>
            <w:shd w:val="clear" w:color="auto" w:fill="auto"/>
            <w:vAlign w:val="center"/>
          </w:tcPr>
          <w:p w14:paraId="5F2EEC51">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13.85</w:t>
            </w:r>
          </w:p>
        </w:tc>
        <w:tc>
          <w:tcPr>
            <w:tcW w:w="131" w:type="pct"/>
            <w:tcBorders>
              <w:tl2br w:val="nil"/>
              <w:tr2bl w:val="nil"/>
            </w:tcBorders>
            <w:shd w:val="clear" w:color="auto" w:fill="auto"/>
            <w:vAlign w:val="center"/>
          </w:tcPr>
          <w:p w14:paraId="73ACE654">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45</w:t>
            </w:r>
          </w:p>
        </w:tc>
        <w:tc>
          <w:tcPr>
            <w:tcW w:w="166" w:type="pct"/>
            <w:tcBorders>
              <w:tl2br w:val="nil"/>
              <w:tr2bl w:val="nil"/>
            </w:tcBorders>
            <w:shd w:val="clear" w:color="auto" w:fill="auto"/>
            <w:noWrap/>
            <w:vAlign w:val="center"/>
          </w:tcPr>
          <w:p w14:paraId="2E87BE86">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40.89</w:t>
            </w:r>
          </w:p>
        </w:tc>
        <w:tc>
          <w:tcPr>
            <w:tcW w:w="166" w:type="pct"/>
            <w:tcBorders>
              <w:tl2br w:val="nil"/>
              <w:tr2bl w:val="nil"/>
            </w:tcBorders>
            <w:shd w:val="clear" w:color="auto" w:fill="auto"/>
            <w:noWrap/>
            <w:vAlign w:val="center"/>
          </w:tcPr>
          <w:p w14:paraId="27D69ECD">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20.73</w:t>
            </w:r>
          </w:p>
        </w:tc>
        <w:tc>
          <w:tcPr>
            <w:tcW w:w="166" w:type="pct"/>
            <w:tcBorders>
              <w:tl2br w:val="nil"/>
              <w:tr2bl w:val="nil"/>
            </w:tcBorders>
            <w:shd w:val="clear" w:color="auto" w:fill="auto"/>
            <w:noWrap/>
            <w:vAlign w:val="center"/>
          </w:tcPr>
          <w:p w14:paraId="5DD2E70A">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11.42</w:t>
            </w:r>
          </w:p>
        </w:tc>
        <w:tc>
          <w:tcPr>
            <w:tcW w:w="166" w:type="pct"/>
            <w:tcBorders>
              <w:tl2br w:val="nil"/>
              <w:tr2bl w:val="nil"/>
            </w:tcBorders>
            <w:shd w:val="clear" w:color="auto" w:fill="auto"/>
            <w:noWrap/>
            <w:vAlign w:val="center"/>
          </w:tcPr>
          <w:p w14:paraId="67558832">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5.18</w:t>
            </w:r>
          </w:p>
        </w:tc>
        <w:tc>
          <w:tcPr>
            <w:tcW w:w="166" w:type="pct"/>
            <w:tcBorders>
              <w:tl2br w:val="nil"/>
              <w:tr2bl w:val="nil"/>
            </w:tcBorders>
            <w:shd w:val="clear" w:color="auto" w:fill="auto"/>
            <w:noWrap/>
            <w:vAlign w:val="center"/>
          </w:tcPr>
          <w:p w14:paraId="322D6E23">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63.08</w:t>
            </w:r>
          </w:p>
        </w:tc>
        <w:tc>
          <w:tcPr>
            <w:tcW w:w="166" w:type="pct"/>
            <w:tcBorders>
              <w:tl2br w:val="nil"/>
              <w:tr2bl w:val="nil"/>
            </w:tcBorders>
            <w:shd w:val="clear" w:color="auto" w:fill="auto"/>
            <w:noWrap/>
            <w:vAlign w:val="center"/>
          </w:tcPr>
          <w:p w14:paraId="61F7B0F3">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63.08</w:t>
            </w:r>
          </w:p>
        </w:tc>
        <w:tc>
          <w:tcPr>
            <w:tcW w:w="166" w:type="pct"/>
            <w:tcBorders>
              <w:tl2br w:val="nil"/>
              <w:tr2bl w:val="nil"/>
            </w:tcBorders>
            <w:shd w:val="clear" w:color="auto" w:fill="auto"/>
            <w:noWrap/>
            <w:vAlign w:val="center"/>
          </w:tcPr>
          <w:p w14:paraId="2AD31EE8">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63.09</w:t>
            </w:r>
          </w:p>
        </w:tc>
        <w:tc>
          <w:tcPr>
            <w:tcW w:w="168" w:type="pct"/>
            <w:tcBorders>
              <w:tl2br w:val="nil"/>
              <w:tr2bl w:val="nil"/>
            </w:tcBorders>
            <w:shd w:val="clear" w:color="auto" w:fill="auto"/>
            <w:noWrap/>
            <w:vAlign w:val="center"/>
          </w:tcPr>
          <w:p w14:paraId="5DACA91A">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63.14</w:t>
            </w:r>
          </w:p>
        </w:tc>
        <w:tc>
          <w:tcPr>
            <w:tcW w:w="161" w:type="pct"/>
            <w:vMerge w:val="continue"/>
            <w:tcBorders>
              <w:tl2br w:val="nil"/>
              <w:tr2bl w:val="nil"/>
            </w:tcBorders>
            <w:shd w:val="clear" w:color="auto" w:fill="auto"/>
            <w:vAlign w:val="center"/>
          </w:tcPr>
          <w:p w14:paraId="52579C97">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p>
        </w:tc>
        <w:tc>
          <w:tcPr>
            <w:tcW w:w="227" w:type="pct"/>
            <w:tcBorders>
              <w:tl2br w:val="nil"/>
              <w:tr2bl w:val="nil"/>
            </w:tcBorders>
            <w:shd w:val="clear" w:color="auto" w:fill="auto"/>
            <w:vAlign w:val="center"/>
          </w:tcPr>
          <w:p w14:paraId="118A7DF1">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21</w:t>
            </w:r>
          </w:p>
        </w:tc>
        <w:tc>
          <w:tcPr>
            <w:tcW w:w="162" w:type="pct"/>
            <w:tcBorders>
              <w:tl2br w:val="nil"/>
              <w:tr2bl w:val="nil"/>
            </w:tcBorders>
            <w:shd w:val="clear" w:color="auto" w:fill="auto"/>
            <w:noWrap/>
            <w:vAlign w:val="center"/>
          </w:tcPr>
          <w:p w14:paraId="1C6D9449">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42.08</w:t>
            </w:r>
          </w:p>
        </w:tc>
        <w:tc>
          <w:tcPr>
            <w:tcW w:w="162" w:type="pct"/>
            <w:tcBorders>
              <w:tl2br w:val="nil"/>
              <w:tr2bl w:val="nil"/>
            </w:tcBorders>
            <w:shd w:val="clear" w:color="auto" w:fill="auto"/>
            <w:noWrap/>
            <w:vAlign w:val="center"/>
          </w:tcPr>
          <w:p w14:paraId="760BA7D8">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42.08</w:t>
            </w:r>
          </w:p>
        </w:tc>
        <w:tc>
          <w:tcPr>
            <w:tcW w:w="162" w:type="pct"/>
            <w:tcBorders>
              <w:tl2br w:val="nil"/>
              <w:tr2bl w:val="nil"/>
            </w:tcBorders>
            <w:shd w:val="clear" w:color="auto" w:fill="auto"/>
            <w:noWrap/>
            <w:vAlign w:val="center"/>
          </w:tcPr>
          <w:p w14:paraId="6EFD583C">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42.09</w:t>
            </w:r>
          </w:p>
        </w:tc>
        <w:tc>
          <w:tcPr>
            <w:tcW w:w="188" w:type="pct"/>
            <w:tcBorders>
              <w:tl2br w:val="nil"/>
              <w:tr2bl w:val="nil"/>
            </w:tcBorders>
            <w:shd w:val="clear" w:color="auto" w:fill="auto"/>
            <w:noWrap/>
            <w:vAlign w:val="center"/>
          </w:tcPr>
          <w:p w14:paraId="59220FE9">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42.14</w:t>
            </w:r>
          </w:p>
        </w:tc>
        <w:tc>
          <w:tcPr>
            <w:tcW w:w="243" w:type="pct"/>
            <w:tcBorders>
              <w:tl2br w:val="nil"/>
              <w:tr2bl w:val="nil"/>
            </w:tcBorders>
            <w:shd w:val="clear" w:color="auto" w:fill="auto"/>
            <w:vAlign w:val="center"/>
          </w:tcPr>
          <w:p w14:paraId="33FBB48F">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1</w:t>
            </w:r>
          </w:p>
        </w:tc>
      </w:tr>
      <w:tr w14:paraId="72BFEA6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3" w:hRule="atLeast"/>
        </w:trPr>
        <w:tc>
          <w:tcPr>
            <w:tcW w:w="121" w:type="pct"/>
            <w:tcBorders>
              <w:tl2br w:val="nil"/>
              <w:tr2bl w:val="nil"/>
            </w:tcBorders>
            <w:shd w:val="clear" w:color="auto" w:fill="auto"/>
            <w:vAlign w:val="center"/>
          </w:tcPr>
          <w:p w14:paraId="744A5F6F">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10</w:t>
            </w:r>
          </w:p>
        </w:tc>
        <w:tc>
          <w:tcPr>
            <w:tcW w:w="366" w:type="pct"/>
            <w:vMerge w:val="restart"/>
            <w:tcBorders>
              <w:tl2br w:val="nil"/>
              <w:tr2bl w:val="nil"/>
            </w:tcBorders>
            <w:shd w:val="clear" w:color="auto" w:fill="auto"/>
            <w:vAlign w:val="center"/>
          </w:tcPr>
          <w:p w14:paraId="744D7778">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气流粉碎房</w:t>
            </w:r>
          </w:p>
        </w:tc>
        <w:tc>
          <w:tcPr>
            <w:tcW w:w="523" w:type="pct"/>
            <w:tcBorders>
              <w:tl2br w:val="nil"/>
              <w:tr2bl w:val="nil"/>
            </w:tcBorders>
            <w:shd w:val="clear" w:color="auto" w:fill="auto"/>
            <w:vAlign w:val="center"/>
          </w:tcPr>
          <w:p w14:paraId="6C5FC9F6">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对辊机</w:t>
            </w:r>
          </w:p>
        </w:tc>
        <w:tc>
          <w:tcPr>
            <w:tcW w:w="407" w:type="pct"/>
            <w:tcBorders>
              <w:tl2br w:val="nil"/>
              <w:tr2bl w:val="nil"/>
            </w:tcBorders>
            <w:shd w:val="clear" w:color="auto" w:fill="auto"/>
            <w:vAlign w:val="center"/>
          </w:tcPr>
          <w:p w14:paraId="1A4280A9">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50 kg/h</w:t>
            </w:r>
          </w:p>
        </w:tc>
        <w:tc>
          <w:tcPr>
            <w:tcW w:w="268" w:type="pct"/>
            <w:tcBorders>
              <w:tl2br w:val="nil"/>
              <w:tr2bl w:val="nil"/>
            </w:tcBorders>
            <w:shd w:val="clear" w:color="auto" w:fill="auto"/>
            <w:vAlign w:val="center"/>
          </w:tcPr>
          <w:p w14:paraId="5BEF3D63">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75</w:t>
            </w:r>
          </w:p>
        </w:tc>
        <w:tc>
          <w:tcPr>
            <w:tcW w:w="168" w:type="pct"/>
            <w:vMerge w:val="continue"/>
            <w:tcBorders>
              <w:tl2br w:val="nil"/>
              <w:tr2bl w:val="nil"/>
            </w:tcBorders>
            <w:shd w:val="clear" w:color="auto" w:fill="auto"/>
            <w:vAlign w:val="center"/>
          </w:tcPr>
          <w:p w14:paraId="71856C9C">
            <w:pPr>
              <w:jc w:val="center"/>
              <w:rPr>
                <w:rFonts w:hint="default" w:ascii="Times New Roman" w:hAnsi="Times New Roman" w:eastAsia="宋体" w:cs="Times New Roman"/>
                <w:i w:val="0"/>
                <w:iCs w:val="0"/>
                <w:color w:val="auto"/>
                <w:sz w:val="18"/>
                <w:szCs w:val="18"/>
                <w:highlight w:val="none"/>
                <w:u w:val="none"/>
              </w:rPr>
            </w:pPr>
          </w:p>
        </w:tc>
        <w:tc>
          <w:tcPr>
            <w:tcW w:w="195" w:type="pct"/>
            <w:tcBorders>
              <w:tl2br w:val="nil"/>
              <w:tr2bl w:val="nil"/>
            </w:tcBorders>
            <w:shd w:val="clear" w:color="auto" w:fill="auto"/>
            <w:vAlign w:val="center"/>
          </w:tcPr>
          <w:p w14:paraId="42BE8BE7">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-15.7</w:t>
            </w:r>
          </w:p>
        </w:tc>
        <w:tc>
          <w:tcPr>
            <w:tcW w:w="173" w:type="pct"/>
            <w:tcBorders>
              <w:tl2br w:val="nil"/>
              <w:tr2bl w:val="nil"/>
            </w:tcBorders>
            <w:shd w:val="clear" w:color="auto" w:fill="auto"/>
            <w:vAlign w:val="center"/>
          </w:tcPr>
          <w:p w14:paraId="2F67954D">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3.3</w:t>
            </w:r>
          </w:p>
        </w:tc>
        <w:tc>
          <w:tcPr>
            <w:tcW w:w="131" w:type="pct"/>
            <w:tcBorders>
              <w:tl2br w:val="nil"/>
              <w:tr2bl w:val="nil"/>
            </w:tcBorders>
            <w:shd w:val="clear" w:color="auto" w:fill="auto"/>
            <w:vAlign w:val="center"/>
          </w:tcPr>
          <w:p w14:paraId="17952B27">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45</w:t>
            </w:r>
          </w:p>
        </w:tc>
        <w:tc>
          <w:tcPr>
            <w:tcW w:w="166" w:type="pct"/>
            <w:tcBorders>
              <w:tl2br w:val="nil"/>
              <w:tr2bl w:val="nil"/>
            </w:tcBorders>
            <w:shd w:val="clear" w:color="auto" w:fill="auto"/>
            <w:noWrap/>
            <w:vAlign w:val="center"/>
          </w:tcPr>
          <w:p w14:paraId="63C9B45E">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40.03</w:t>
            </w:r>
          </w:p>
        </w:tc>
        <w:tc>
          <w:tcPr>
            <w:tcW w:w="166" w:type="pct"/>
            <w:tcBorders>
              <w:tl2br w:val="nil"/>
              <w:tr2bl w:val="nil"/>
            </w:tcBorders>
            <w:shd w:val="clear" w:color="auto" w:fill="auto"/>
            <w:noWrap/>
            <w:vAlign w:val="center"/>
          </w:tcPr>
          <w:p w14:paraId="4E6437C8">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9.99</w:t>
            </w:r>
          </w:p>
        </w:tc>
        <w:tc>
          <w:tcPr>
            <w:tcW w:w="166" w:type="pct"/>
            <w:tcBorders>
              <w:tl2br w:val="nil"/>
              <w:tr2bl w:val="nil"/>
            </w:tcBorders>
            <w:shd w:val="clear" w:color="auto" w:fill="auto"/>
            <w:noWrap/>
            <w:vAlign w:val="center"/>
          </w:tcPr>
          <w:p w14:paraId="3C57FC48">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12.46</w:t>
            </w:r>
          </w:p>
        </w:tc>
        <w:tc>
          <w:tcPr>
            <w:tcW w:w="166" w:type="pct"/>
            <w:tcBorders>
              <w:tl2br w:val="nil"/>
              <w:tr2bl w:val="nil"/>
            </w:tcBorders>
            <w:shd w:val="clear" w:color="auto" w:fill="auto"/>
            <w:noWrap/>
            <w:vAlign w:val="center"/>
          </w:tcPr>
          <w:p w14:paraId="2A763EC5">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15.93</w:t>
            </w:r>
          </w:p>
        </w:tc>
        <w:tc>
          <w:tcPr>
            <w:tcW w:w="166" w:type="pct"/>
            <w:tcBorders>
              <w:tl2br w:val="nil"/>
              <w:tr2bl w:val="nil"/>
            </w:tcBorders>
            <w:shd w:val="clear" w:color="auto" w:fill="auto"/>
            <w:noWrap/>
            <w:vAlign w:val="center"/>
          </w:tcPr>
          <w:p w14:paraId="008CE0F6">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68.08</w:t>
            </w:r>
          </w:p>
        </w:tc>
        <w:tc>
          <w:tcPr>
            <w:tcW w:w="166" w:type="pct"/>
            <w:tcBorders>
              <w:tl2br w:val="nil"/>
              <w:tr2bl w:val="nil"/>
            </w:tcBorders>
            <w:shd w:val="clear" w:color="auto" w:fill="auto"/>
            <w:noWrap/>
            <w:vAlign w:val="center"/>
          </w:tcPr>
          <w:p w14:paraId="0D5E0506">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68.09</w:t>
            </w:r>
          </w:p>
        </w:tc>
        <w:tc>
          <w:tcPr>
            <w:tcW w:w="166" w:type="pct"/>
            <w:tcBorders>
              <w:tl2br w:val="nil"/>
              <w:tr2bl w:val="nil"/>
            </w:tcBorders>
            <w:shd w:val="clear" w:color="auto" w:fill="auto"/>
            <w:noWrap/>
            <w:vAlign w:val="center"/>
          </w:tcPr>
          <w:p w14:paraId="3D30F0CA">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68.09</w:t>
            </w:r>
          </w:p>
        </w:tc>
        <w:tc>
          <w:tcPr>
            <w:tcW w:w="168" w:type="pct"/>
            <w:tcBorders>
              <w:tl2br w:val="nil"/>
              <w:tr2bl w:val="nil"/>
            </w:tcBorders>
            <w:shd w:val="clear" w:color="auto" w:fill="auto"/>
            <w:noWrap/>
            <w:vAlign w:val="center"/>
          </w:tcPr>
          <w:p w14:paraId="17AEE7AF">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68.08</w:t>
            </w:r>
          </w:p>
        </w:tc>
        <w:tc>
          <w:tcPr>
            <w:tcW w:w="161" w:type="pct"/>
            <w:vMerge w:val="continue"/>
            <w:tcBorders>
              <w:tl2br w:val="nil"/>
              <w:tr2bl w:val="nil"/>
            </w:tcBorders>
            <w:shd w:val="clear" w:color="auto" w:fill="auto"/>
            <w:vAlign w:val="center"/>
          </w:tcPr>
          <w:p w14:paraId="2EC434C9">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p>
        </w:tc>
        <w:tc>
          <w:tcPr>
            <w:tcW w:w="227" w:type="pct"/>
            <w:tcBorders>
              <w:tl2br w:val="nil"/>
              <w:tr2bl w:val="nil"/>
            </w:tcBorders>
            <w:shd w:val="clear" w:color="auto" w:fill="auto"/>
            <w:vAlign w:val="center"/>
          </w:tcPr>
          <w:p w14:paraId="2BAB4A6A">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21</w:t>
            </w:r>
          </w:p>
        </w:tc>
        <w:tc>
          <w:tcPr>
            <w:tcW w:w="162" w:type="pct"/>
            <w:tcBorders>
              <w:tl2br w:val="nil"/>
              <w:tr2bl w:val="nil"/>
            </w:tcBorders>
            <w:shd w:val="clear" w:color="auto" w:fill="auto"/>
            <w:noWrap/>
            <w:vAlign w:val="center"/>
          </w:tcPr>
          <w:p w14:paraId="11E9F9EE">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47.08</w:t>
            </w:r>
          </w:p>
        </w:tc>
        <w:tc>
          <w:tcPr>
            <w:tcW w:w="162" w:type="pct"/>
            <w:tcBorders>
              <w:tl2br w:val="nil"/>
              <w:tr2bl w:val="nil"/>
            </w:tcBorders>
            <w:shd w:val="clear" w:color="auto" w:fill="auto"/>
            <w:noWrap/>
            <w:vAlign w:val="center"/>
          </w:tcPr>
          <w:p w14:paraId="7988D3BB">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47.09</w:t>
            </w:r>
          </w:p>
        </w:tc>
        <w:tc>
          <w:tcPr>
            <w:tcW w:w="162" w:type="pct"/>
            <w:tcBorders>
              <w:tl2br w:val="nil"/>
              <w:tr2bl w:val="nil"/>
            </w:tcBorders>
            <w:shd w:val="clear" w:color="auto" w:fill="auto"/>
            <w:noWrap/>
            <w:vAlign w:val="center"/>
          </w:tcPr>
          <w:p w14:paraId="48B9E5B7">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47.09</w:t>
            </w:r>
          </w:p>
        </w:tc>
        <w:tc>
          <w:tcPr>
            <w:tcW w:w="188" w:type="pct"/>
            <w:tcBorders>
              <w:tl2br w:val="nil"/>
              <w:tr2bl w:val="nil"/>
            </w:tcBorders>
            <w:shd w:val="clear" w:color="auto" w:fill="auto"/>
            <w:noWrap/>
            <w:vAlign w:val="center"/>
          </w:tcPr>
          <w:p w14:paraId="3FAFD992">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47.08</w:t>
            </w:r>
          </w:p>
        </w:tc>
        <w:tc>
          <w:tcPr>
            <w:tcW w:w="243" w:type="pct"/>
            <w:tcBorders>
              <w:tl2br w:val="nil"/>
              <w:tr2bl w:val="nil"/>
            </w:tcBorders>
            <w:shd w:val="clear" w:color="auto" w:fill="auto"/>
            <w:vAlign w:val="center"/>
          </w:tcPr>
          <w:p w14:paraId="2BBD2093">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1</w:t>
            </w:r>
          </w:p>
        </w:tc>
      </w:tr>
      <w:tr w14:paraId="0F3671C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121" w:type="pct"/>
            <w:tcBorders>
              <w:tl2br w:val="nil"/>
              <w:tr2bl w:val="nil"/>
            </w:tcBorders>
            <w:shd w:val="clear" w:color="auto" w:fill="auto"/>
            <w:vAlign w:val="center"/>
          </w:tcPr>
          <w:p w14:paraId="4274C72F">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11</w:t>
            </w:r>
          </w:p>
        </w:tc>
        <w:tc>
          <w:tcPr>
            <w:tcW w:w="366" w:type="pct"/>
            <w:vMerge w:val="continue"/>
            <w:tcBorders>
              <w:tl2br w:val="nil"/>
              <w:tr2bl w:val="nil"/>
            </w:tcBorders>
            <w:shd w:val="clear" w:color="auto" w:fill="auto"/>
            <w:vAlign w:val="center"/>
          </w:tcPr>
          <w:p w14:paraId="7545269D">
            <w:pPr>
              <w:jc w:val="center"/>
              <w:rPr>
                <w:rFonts w:hint="default" w:ascii="Times New Roman" w:hAnsi="Times New Roman" w:eastAsia="宋体" w:cs="Times New Roman"/>
                <w:i w:val="0"/>
                <w:iCs w:val="0"/>
                <w:color w:val="auto"/>
                <w:sz w:val="18"/>
                <w:szCs w:val="18"/>
                <w:highlight w:val="none"/>
                <w:u w:val="none"/>
              </w:rPr>
            </w:pPr>
          </w:p>
        </w:tc>
        <w:tc>
          <w:tcPr>
            <w:tcW w:w="523" w:type="pct"/>
            <w:tcBorders>
              <w:tl2br w:val="nil"/>
              <w:tr2bl w:val="nil"/>
            </w:tcBorders>
            <w:shd w:val="clear" w:color="auto" w:fill="auto"/>
            <w:vAlign w:val="center"/>
          </w:tcPr>
          <w:p w14:paraId="396AB367">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气流粉碎机</w:t>
            </w:r>
          </w:p>
        </w:tc>
        <w:tc>
          <w:tcPr>
            <w:tcW w:w="407" w:type="pct"/>
            <w:tcBorders>
              <w:tl2br w:val="nil"/>
              <w:tr2bl w:val="nil"/>
            </w:tcBorders>
            <w:shd w:val="clear" w:color="auto" w:fill="auto"/>
            <w:vAlign w:val="center"/>
          </w:tcPr>
          <w:p w14:paraId="7F4C5F8B">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RJ-10L</w:t>
            </w:r>
          </w:p>
        </w:tc>
        <w:tc>
          <w:tcPr>
            <w:tcW w:w="268" w:type="pct"/>
            <w:tcBorders>
              <w:tl2br w:val="nil"/>
              <w:tr2bl w:val="nil"/>
            </w:tcBorders>
            <w:shd w:val="clear" w:color="auto" w:fill="auto"/>
            <w:vAlign w:val="center"/>
          </w:tcPr>
          <w:p w14:paraId="19BE607F">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80</w:t>
            </w:r>
          </w:p>
        </w:tc>
        <w:tc>
          <w:tcPr>
            <w:tcW w:w="168" w:type="pct"/>
            <w:vMerge w:val="continue"/>
            <w:tcBorders>
              <w:tl2br w:val="nil"/>
              <w:tr2bl w:val="nil"/>
            </w:tcBorders>
            <w:shd w:val="clear" w:color="auto" w:fill="auto"/>
            <w:vAlign w:val="center"/>
          </w:tcPr>
          <w:p w14:paraId="152ABE77">
            <w:pPr>
              <w:jc w:val="center"/>
              <w:rPr>
                <w:rFonts w:hint="default" w:ascii="Times New Roman" w:hAnsi="Times New Roman" w:eastAsia="宋体" w:cs="Times New Roman"/>
                <w:i w:val="0"/>
                <w:iCs w:val="0"/>
                <w:color w:val="auto"/>
                <w:sz w:val="18"/>
                <w:szCs w:val="18"/>
                <w:highlight w:val="none"/>
                <w:u w:val="none"/>
              </w:rPr>
            </w:pPr>
          </w:p>
        </w:tc>
        <w:tc>
          <w:tcPr>
            <w:tcW w:w="195" w:type="pct"/>
            <w:tcBorders>
              <w:tl2br w:val="nil"/>
              <w:tr2bl w:val="nil"/>
            </w:tcBorders>
            <w:shd w:val="clear" w:color="auto" w:fill="auto"/>
            <w:vAlign w:val="center"/>
          </w:tcPr>
          <w:p w14:paraId="03515AF1">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-19.61</w:t>
            </w:r>
          </w:p>
        </w:tc>
        <w:tc>
          <w:tcPr>
            <w:tcW w:w="173" w:type="pct"/>
            <w:tcBorders>
              <w:tl2br w:val="nil"/>
              <w:tr2bl w:val="nil"/>
            </w:tcBorders>
            <w:shd w:val="clear" w:color="auto" w:fill="auto"/>
            <w:vAlign w:val="center"/>
          </w:tcPr>
          <w:p w14:paraId="3BE210E7">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3.26</w:t>
            </w:r>
          </w:p>
        </w:tc>
        <w:tc>
          <w:tcPr>
            <w:tcW w:w="131" w:type="pct"/>
            <w:tcBorders>
              <w:tl2br w:val="nil"/>
              <w:tr2bl w:val="nil"/>
            </w:tcBorders>
            <w:shd w:val="clear" w:color="auto" w:fill="auto"/>
            <w:vAlign w:val="center"/>
          </w:tcPr>
          <w:p w14:paraId="1B953F53">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45</w:t>
            </w:r>
          </w:p>
        </w:tc>
        <w:tc>
          <w:tcPr>
            <w:tcW w:w="166" w:type="pct"/>
            <w:tcBorders>
              <w:tl2br w:val="nil"/>
              <w:tr2bl w:val="nil"/>
            </w:tcBorders>
            <w:shd w:val="clear" w:color="auto" w:fill="auto"/>
            <w:noWrap/>
            <w:vAlign w:val="center"/>
          </w:tcPr>
          <w:p w14:paraId="39E58BAD">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36.28</w:t>
            </w:r>
          </w:p>
        </w:tc>
        <w:tc>
          <w:tcPr>
            <w:tcW w:w="166" w:type="pct"/>
            <w:tcBorders>
              <w:tl2br w:val="nil"/>
              <w:tr2bl w:val="nil"/>
            </w:tcBorders>
            <w:shd w:val="clear" w:color="auto" w:fill="auto"/>
            <w:noWrap/>
            <w:vAlign w:val="center"/>
          </w:tcPr>
          <w:p w14:paraId="6DCAFEA6">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11.15</w:t>
            </w:r>
          </w:p>
        </w:tc>
        <w:tc>
          <w:tcPr>
            <w:tcW w:w="166" w:type="pct"/>
            <w:tcBorders>
              <w:tl2br w:val="nil"/>
              <w:tr2bl w:val="nil"/>
            </w:tcBorders>
            <w:shd w:val="clear" w:color="auto" w:fill="auto"/>
            <w:noWrap/>
            <w:vAlign w:val="center"/>
          </w:tcPr>
          <w:p w14:paraId="6D4DB66A">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16.20</w:t>
            </w:r>
          </w:p>
        </w:tc>
        <w:tc>
          <w:tcPr>
            <w:tcW w:w="166" w:type="pct"/>
            <w:tcBorders>
              <w:tl2br w:val="nil"/>
              <w:tr2bl w:val="nil"/>
            </w:tcBorders>
            <w:shd w:val="clear" w:color="auto" w:fill="auto"/>
            <w:noWrap/>
            <w:vAlign w:val="center"/>
          </w:tcPr>
          <w:p w14:paraId="39A58347">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14.80</w:t>
            </w:r>
          </w:p>
        </w:tc>
        <w:tc>
          <w:tcPr>
            <w:tcW w:w="166" w:type="pct"/>
            <w:tcBorders>
              <w:tl2br w:val="nil"/>
              <w:tr2bl w:val="nil"/>
            </w:tcBorders>
            <w:shd w:val="clear" w:color="auto" w:fill="auto"/>
            <w:noWrap/>
            <w:vAlign w:val="center"/>
          </w:tcPr>
          <w:p w14:paraId="2CF211F9">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73.08</w:t>
            </w:r>
          </w:p>
        </w:tc>
        <w:tc>
          <w:tcPr>
            <w:tcW w:w="166" w:type="pct"/>
            <w:tcBorders>
              <w:tl2br w:val="nil"/>
              <w:tr2bl w:val="nil"/>
            </w:tcBorders>
            <w:shd w:val="clear" w:color="auto" w:fill="auto"/>
            <w:noWrap/>
            <w:vAlign w:val="center"/>
          </w:tcPr>
          <w:p w14:paraId="1C9645A4">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73.09</w:t>
            </w:r>
          </w:p>
        </w:tc>
        <w:tc>
          <w:tcPr>
            <w:tcW w:w="166" w:type="pct"/>
            <w:tcBorders>
              <w:tl2br w:val="nil"/>
              <w:tr2bl w:val="nil"/>
            </w:tcBorders>
            <w:shd w:val="clear" w:color="auto" w:fill="auto"/>
            <w:noWrap/>
            <w:vAlign w:val="center"/>
          </w:tcPr>
          <w:p w14:paraId="413AC382">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73.08</w:t>
            </w:r>
          </w:p>
        </w:tc>
        <w:tc>
          <w:tcPr>
            <w:tcW w:w="168" w:type="pct"/>
            <w:tcBorders>
              <w:tl2br w:val="nil"/>
              <w:tr2bl w:val="nil"/>
            </w:tcBorders>
            <w:shd w:val="clear" w:color="auto" w:fill="auto"/>
            <w:noWrap/>
            <w:vAlign w:val="center"/>
          </w:tcPr>
          <w:p w14:paraId="14C5EC95">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73.08</w:t>
            </w:r>
          </w:p>
        </w:tc>
        <w:tc>
          <w:tcPr>
            <w:tcW w:w="161" w:type="pct"/>
            <w:vMerge w:val="continue"/>
            <w:tcBorders>
              <w:tl2br w:val="nil"/>
              <w:tr2bl w:val="nil"/>
            </w:tcBorders>
            <w:shd w:val="clear" w:color="auto" w:fill="auto"/>
            <w:vAlign w:val="center"/>
          </w:tcPr>
          <w:p w14:paraId="57E8941D">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p>
        </w:tc>
        <w:tc>
          <w:tcPr>
            <w:tcW w:w="227" w:type="pct"/>
            <w:tcBorders>
              <w:tl2br w:val="nil"/>
              <w:tr2bl w:val="nil"/>
            </w:tcBorders>
            <w:shd w:val="clear" w:color="auto" w:fill="auto"/>
            <w:vAlign w:val="center"/>
          </w:tcPr>
          <w:p w14:paraId="4068B75B">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21</w:t>
            </w:r>
          </w:p>
        </w:tc>
        <w:tc>
          <w:tcPr>
            <w:tcW w:w="162" w:type="pct"/>
            <w:tcBorders>
              <w:tl2br w:val="nil"/>
              <w:tr2bl w:val="nil"/>
            </w:tcBorders>
            <w:shd w:val="clear" w:color="auto" w:fill="auto"/>
            <w:noWrap/>
            <w:vAlign w:val="center"/>
          </w:tcPr>
          <w:p w14:paraId="561B280F">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52.08</w:t>
            </w:r>
          </w:p>
        </w:tc>
        <w:tc>
          <w:tcPr>
            <w:tcW w:w="162" w:type="pct"/>
            <w:tcBorders>
              <w:tl2br w:val="nil"/>
              <w:tr2bl w:val="nil"/>
            </w:tcBorders>
            <w:shd w:val="clear" w:color="auto" w:fill="auto"/>
            <w:noWrap/>
            <w:vAlign w:val="center"/>
          </w:tcPr>
          <w:p w14:paraId="002FCBD7">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52.09</w:t>
            </w:r>
          </w:p>
        </w:tc>
        <w:tc>
          <w:tcPr>
            <w:tcW w:w="162" w:type="pct"/>
            <w:tcBorders>
              <w:tl2br w:val="nil"/>
              <w:tr2bl w:val="nil"/>
            </w:tcBorders>
            <w:shd w:val="clear" w:color="auto" w:fill="auto"/>
            <w:noWrap/>
            <w:vAlign w:val="center"/>
          </w:tcPr>
          <w:p w14:paraId="1EF87128">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52.08</w:t>
            </w:r>
          </w:p>
        </w:tc>
        <w:tc>
          <w:tcPr>
            <w:tcW w:w="188" w:type="pct"/>
            <w:tcBorders>
              <w:tl2br w:val="nil"/>
              <w:tr2bl w:val="nil"/>
            </w:tcBorders>
            <w:shd w:val="clear" w:color="auto" w:fill="auto"/>
            <w:noWrap/>
            <w:vAlign w:val="center"/>
          </w:tcPr>
          <w:p w14:paraId="72D85231">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52.08</w:t>
            </w:r>
          </w:p>
        </w:tc>
        <w:tc>
          <w:tcPr>
            <w:tcW w:w="243" w:type="pct"/>
            <w:tcBorders>
              <w:tl2br w:val="nil"/>
              <w:tr2bl w:val="nil"/>
            </w:tcBorders>
            <w:shd w:val="clear" w:color="auto" w:fill="auto"/>
            <w:vAlign w:val="center"/>
          </w:tcPr>
          <w:p w14:paraId="736B1810">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1</w:t>
            </w:r>
          </w:p>
        </w:tc>
      </w:tr>
      <w:tr w14:paraId="6231DE7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3" w:hRule="atLeast"/>
        </w:trPr>
        <w:tc>
          <w:tcPr>
            <w:tcW w:w="121" w:type="pct"/>
            <w:tcBorders>
              <w:tl2br w:val="nil"/>
              <w:tr2bl w:val="nil"/>
            </w:tcBorders>
            <w:shd w:val="clear" w:color="auto" w:fill="auto"/>
            <w:vAlign w:val="center"/>
          </w:tcPr>
          <w:p w14:paraId="62516327">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12</w:t>
            </w:r>
          </w:p>
        </w:tc>
        <w:tc>
          <w:tcPr>
            <w:tcW w:w="366" w:type="pct"/>
            <w:vMerge w:val="continue"/>
            <w:tcBorders>
              <w:tl2br w:val="nil"/>
              <w:tr2bl w:val="nil"/>
            </w:tcBorders>
            <w:shd w:val="clear" w:color="auto" w:fill="auto"/>
            <w:vAlign w:val="center"/>
          </w:tcPr>
          <w:p w14:paraId="7AE10467">
            <w:pPr>
              <w:jc w:val="center"/>
              <w:rPr>
                <w:rFonts w:hint="default" w:ascii="Times New Roman" w:hAnsi="Times New Roman" w:eastAsia="宋体" w:cs="Times New Roman"/>
                <w:i w:val="0"/>
                <w:iCs w:val="0"/>
                <w:color w:val="auto"/>
                <w:sz w:val="18"/>
                <w:szCs w:val="18"/>
                <w:highlight w:val="none"/>
                <w:u w:val="none"/>
              </w:rPr>
            </w:pPr>
          </w:p>
        </w:tc>
        <w:tc>
          <w:tcPr>
            <w:tcW w:w="523" w:type="pct"/>
            <w:tcBorders>
              <w:tl2br w:val="nil"/>
              <w:tr2bl w:val="nil"/>
            </w:tcBorders>
            <w:shd w:val="clear" w:color="auto" w:fill="auto"/>
            <w:vAlign w:val="center"/>
          </w:tcPr>
          <w:p w14:paraId="4BADC09E">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超声波振动筛</w:t>
            </w:r>
          </w:p>
        </w:tc>
        <w:tc>
          <w:tcPr>
            <w:tcW w:w="407" w:type="pct"/>
            <w:tcBorders>
              <w:tl2br w:val="nil"/>
              <w:tr2bl w:val="nil"/>
            </w:tcBorders>
            <w:shd w:val="clear" w:color="auto" w:fill="auto"/>
            <w:vAlign w:val="center"/>
          </w:tcPr>
          <w:p w14:paraId="5453F755">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1000-2S</w:t>
            </w:r>
          </w:p>
        </w:tc>
        <w:tc>
          <w:tcPr>
            <w:tcW w:w="268" w:type="pct"/>
            <w:tcBorders>
              <w:tl2br w:val="nil"/>
              <w:tr2bl w:val="nil"/>
            </w:tcBorders>
            <w:shd w:val="clear" w:color="auto" w:fill="auto"/>
            <w:vAlign w:val="center"/>
          </w:tcPr>
          <w:p w14:paraId="27F2BD92">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75</w:t>
            </w:r>
          </w:p>
        </w:tc>
        <w:tc>
          <w:tcPr>
            <w:tcW w:w="168" w:type="pct"/>
            <w:vMerge w:val="continue"/>
            <w:tcBorders>
              <w:tl2br w:val="nil"/>
              <w:tr2bl w:val="nil"/>
            </w:tcBorders>
            <w:shd w:val="clear" w:color="auto" w:fill="auto"/>
            <w:vAlign w:val="center"/>
          </w:tcPr>
          <w:p w14:paraId="245C6473">
            <w:pPr>
              <w:jc w:val="center"/>
              <w:rPr>
                <w:rFonts w:hint="default" w:ascii="Times New Roman" w:hAnsi="Times New Roman" w:eastAsia="宋体" w:cs="Times New Roman"/>
                <w:i w:val="0"/>
                <w:iCs w:val="0"/>
                <w:color w:val="auto"/>
                <w:sz w:val="18"/>
                <w:szCs w:val="18"/>
                <w:highlight w:val="none"/>
                <w:u w:val="none"/>
              </w:rPr>
            </w:pPr>
          </w:p>
        </w:tc>
        <w:tc>
          <w:tcPr>
            <w:tcW w:w="195" w:type="pct"/>
            <w:tcBorders>
              <w:tl2br w:val="nil"/>
              <w:tr2bl w:val="nil"/>
            </w:tcBorders>
            <w:shd w:val="clear" w:color="auto" w:fill="auto"/>
            <w:vAlign w:val="center"/>
          </w:tcPr>
          <w:p w14:paraId="636EEE95">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-16.17</w:t>
            </w:r>
          </w:p>
        </w:tc>
        <w:tc>
          <w:tcPr>
            <w:tcW w:w="173" w:type="pct"/>
            <w:tcBorders>
              <w:tl2br w:val="nil"/>
              <w:tr2bl w:val="nil"/>
            </w:tcBorders>
            <w:shd w:val="clear" w:color="auto" w:fill="auto"/>
            <w:vAlign w:val="center"/>
          </w:tcPr>
          <w:p w14:paraId="64149D1B">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4.83</w:t>
            </w:r>
          </w:p>
        </w:tc>
        <w:tc>
          <w:tcPr>
            <w:tcW w:w="131" w:type="pct"/>
            <w:tcBorders>
              <w:tl2br w:val="nil"/>
              <w:tr2bl w:val="nil"/>
            </w:tcBorders>
            <w:shd w:val="clear" w:color="auto" w:fill="auto"/>
            <w:vAlign w:val="center"/>
          </w:tcPr>
          <w:p w14:paraId="18C7B77E">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45</w:t>
            </w:r>
          </w:p>
        </w:tc>
        <w:tc>
          <w:tcPr>
            <w:tcW w:w="166" w:type="pct"/>
            <w:tcBorders>
              <w:tl2br w:val="nil"/>
              <w:tr2bl w:val="nil"/>
            </w:tcBorders>
            <w:shd w:val="clear" w:color="auto" w:fill="auto"/>
            <w:noWrap/>
            <w:vAlign w:val="center"/>
          </w:tcPr>
          <w:p w14:paraId="2B033B36">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40.02</w:t>
            </w:r>
          </w:p>
        </w:tc>
        <w:tc>
          <w:tcPr>
            <w:tcW w:w="166" w:type="pct"/>
            <w:tcBorders>
              <w:tl2br w:val="nil"/>
              <w:tr2bl w:val="nil"/>
            </w:tcBorders>
            <w:shd w:val="clear" w:color="auto" w:fill="auto"/>
            <w:noWrap/>
            <w:vAlign w:val="center"/>
          </w:tcPr>
          <w:p w14:paraId="2D496ACD">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11.59</w:t>
            </w:r>
          </w:p>
        </w:tc>
        <w:tc>
          <w:tcPr>
            <w:tcW w:w="166" w:type="pct"/>
            <w:tcBorders>
              <w:tl2br w:val="nil"/>
              <w:tr2bl w:val="nil"/>
            </w:tcBorders>
            <w:shd w:val="clear" w:color="auto" w:fill="auto"/>
            <w:noWrap/>
            <w:vAlign w:val="center"/>
          </w:tcPr>
          <w:p w14:paraId="3CEFC50A">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12.44</w:t>
            </w:r>
          </w:p>
        </w:tc>
        <w:tc>
          <w:tcPr>
            <w:tcW w:w="166" w:type="pct"/>
            <w:tcBorders>
              <w:tl2br w:val="nil"/>
              <w:tr2bl w:val="nil"/>
            </w:tcBorders>
            <w:shd w:val="clear" w:color="auto" w:fill="auto"/>
            <w:noWrap/>
            <w:vAlign w:val="center"/>
          </w:tcPr>
          <w:p w14:paraId="63A4D567">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14.33</w:t>
            </w:r>
          </w:p>
        </w:tc>
        <w:tc>
          <w:tcPr>
            <w:tcW w:w="166" w:type="pct"/>
            <w:tcBorders>
              <w:tl2br w:val="nil"/>
              <w:tr2bl w:val="nil"/>
            </w:tcBorders>
            <w:shd w:val="clear" w:color="auto" w:fill="auto"/>
            <w:noWrap/>
            <w:vAlign w:val="center"/>
          </w:tcPr>
          <w:p w14:paraId="02BFB74F">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68.08</w:t>
            </w:r>
          </w:p>
        </w:tc>
        <w:tc>
          <w:tcPr>
            <w:tcW w:w="166" w:type="pct"/>
            <w:tcBorders>
              <w:tl2br w:val="nil"/>
              <w:tr2bl w:val="nil"/>
            </w:tcBorders>
            <w:shd w:val="clear" w:color="auto" w:fill="auto"/>
            <w:noWrap/>
            <w:vAlign w:val="center"/>
          </w:tcPr>
          <w:p w14:paraId="1AEFF184">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68.09</w:t>
            </w:r>
          </w:p>
        </w:tc>
        <w:tc>
          <w:tcPr>
            <w:tcW w:w="166" w:type="pct"/>
            <w:tcBorders>
              <w:tl2br w:val="nil"/>
              <w:tr2bl w:val="nil"/>
            </w:tcBorders>
            <w:shd w:val="clear" w:color="auto" w:fill="auto"/>
            <w:noWrap/>
            <w:vAlign w:val="center"/>
          </w:tcPr>
          <w:p w14:paraId="30F7E032">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68.09</w:t>
            </w:r>
          </w:p>
        </w:tc>
        <w:tc>
          <w:tcPr>
            <w:tcW w:w="168" w:type="pct"/>
            <w:tcBorders>
              <w:tl2br w:val="nil"/>
              <w:tr2bl w:val="nil"/>
            </w:tcBorders>
            <w:shd w:val="clear" w:color="auto" w:fill="auto"/>
            <w:noWrap/>
            <w:vAlign w:val="center"/>
          </w:tcPr>
          <w:p w14:paraId="505A83BB">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68.08</w:t>
            </w:r>
          </w:p>
        </w:tc>
        <w:tc>
          <w:tcPr>
            <w:tcW w:w="161" w:type="pct"/>
            <w:vMerge w:val="continue"/>
            <w:tcBorders>
              <w:tl2br w:val="nil"/>
              <w:tr2bl w:val="nil"/>
            </w:tcBorders>
            <w:shd w:val="clear" w:color="auto" w:fill="auto"/>
            <w:vAlign w:val="center"/>
          </w:tcPr>
          <w:p w14:paraId="5D6C3C6D">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p>
        </w:tc>
        <w:tc>
          <w:tcPr>
            <w:tcW w:w="227" w:type="pct"/>
            <w:tcBorders>
              <w:tl2br w:val="nil"/>
              <w:tr2bl w:val="nil"/>
            </w:tcBorders>
            <w:shd w:val="clear" w:color="auto" w:fill="auto"/>
            <w:vAlign w:val="center"/>
          </w:tcPr>
          <w:p w14:paraId="5A846099">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21</w:t>
            </w:r>
          </w:p>
        </w:tc>
        <w:tc>
          <w:tcPr>
            <w:tcW w:w="162" w:type="pct"/>
            <w:tcBorders>
              <w:tl2br w:val="nil"/>
              <w:tr2bl w:val="nil"/>
            </w:tcBorders>
            <w:shd w:val="clear" w:color="auto" w:fill="auto"/>
            <w:noWrap/>
            <w:vAlign w:val="center"/>
          </w:tcPr>
          <w:p w14:paraId="2904818E">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47.08</w:t>
            </w:r>
          </w:p>
        </w:tc>
        <w:tc>
          <w:tcPr>
            <w:tcW w:w="162" w:type="pct"/>
            <w:tcBorders>
              <w:tl2br w:val="nil"/>
              <w:tr2bl w:val="nil"/>
            </w:tcBorders>
            <w:shd w:val="clear" w:color="auto" w:fill="auto"/>
            <w:noWrap/>
            <w:vAlign w:val="center"/>
          </w:tcPr>
          <w:p w14:paraId="21F82BB8">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47.09</w:t>
            </w:r>
          </w:p>
        </w:tc>
        <w:tc>
          <w:tcPr>
            <w:tcW w:w="162" w:type="pct"/>
            <w:tcBorders>
              <w:tl2br w:val="nil"/>
              <w:tr2bl w:val="nil"/>
            </w:tcBorders>
            <w:shd w:val="clear" w:color="auto" w:fill="auto"/>
            <w:noWrap/>
            <w:vAlign w:val="center"/>
          </w:tcPr>
          <w:p w14:paraId="14633D79">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47.09</w:t>
            </w:r>
          </w:p>
        </w:tc>
        <w:tc>
          <w:tcPr>
            <w:tcW w:w="188" w:type="pct"/>
            <w:tcBorders>
              <w:tl2br w:val="nil"/>
              <w:tr2bl w:val="nil"/>
            </w:tcBorders>
            <w:shd w:val="clear" w:color="auto" w:fill="auto"/>
            <w:noWrap/>
            <w:vAlign w:val="center"/>
          </w:tcPr>
          <w:p w14:paraId="0D8EF158">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47.08</w:t>
            </w:r>
          </w:p>
        </w:tc>
        <w:tc>
          <w:tcPr>
            <w:tcW w:w="243" w:type="pct"/>
            <w:tcBorders>
              <w:tl2br w:val="nil"/>
              <w:tr2bl w:val="nil"/>
            </w:tcBorders>
            <w:shd w:val="clear" w:color="auto" w:fill="auto"/>
            <w:vAlign w:val="center"/>
          </w:tcPr>
          <w:p w14:paraId="0D0D1C3C">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1</w:t>
            </w:r>
          </w:p>
        </w:tc>
      </w:tr>
      <w:tr w14:paraId="0E7B6C9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3" w:hRule="atLeast"/>
        </w:trPr>
        <w:tc>
          <w:tcPr>
            <w:tcW w:w="121" w:type="pct"/>
            <w:tcBorders>
              <w:tl2br w:val="nil"/>
              <w:tr2bl w:val="nil"/>
            </w:tcBorders>
            <w:shd w:val="clear" w:color="auto" w:fill="auto"/>
            <w:vAlign w:val="center"/>
          </w:tcPr>
          <w:p w14:paraId="25B4DB14">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13</w:t>
            </w:r>
          </w:p>
        </w:tc>
        <w:tc>
          <w:tcPr>
            <w:tcW w:w="366" w:type="pct"/>
            <w:vMerge w:val="restart"/>
            <w:tcBorders>
              <w:tl2br w:val="nil"/>
              <w:tr2bl w:val="nil"/>
            </w:tcBorders>
            <w:shd w:val="clear" w:color="auto" w:fill="auto"/>
            <w:vAlign w:val="center"/>
          </w:tcPr>
          <w:p w14:paraId="6A971406">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公辅房间</w:t>
            </w:r>
          </w:p>
        </w:tc>
        <w:tc>
          <w:tcPr>
            <w:tcW w:w="523" w:type="pct"/>
            <w:tcBorders>
              <w:tl2br w:val="nil"/>
              <w:tr2bl w:val="nil"/>
            </w:tcBorders>
            <w:shd w:val="clear" w:color="auto" w:fill="auto"/>
            <w:vAlign w:val="center"/>
          </w:tcPr>
          <w:p w14:paraId="27C48441">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变频螺杆空气压缩机</w:t>
            </w:r>
          </w:p>
        </w:tc>
        <w:tc>
          <w:tcPr>
            <w:tcW w:w="407" w:type="pct"/>
            <w:tcBorders>
              <w:tl2br w:val="nil"/>
              <w:tr2bl w:val="nil"/>
            </w:tcBorders>
            <w:shd w:val="clear" w:color="auto" w:fill="auto"/>
            <w:vAlign w:val="center"/>
          </w:tcPr>
          <w:p w14:paraId="28502D1C">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QGNV45-10.5</w:t>
            </w:r>
          </w:p>
        </w:tc>
        <w:tc>
          <w:tcPr>
            <w:tcW w:w="268" w:type="pct"/>
            <w:tcBorders>
              <w:tl2br w:val="nil"/>
              <w:tr2bl w:val="nil"/>
            </w:tcBorders>
            <w:shd w:val="clear" w:color="auto" w:fill="auto"/>
            <w:vAlign w:val="center"/>
          </w:tcPr>
          <w:p w14:paraId="543F108D">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75</w:t>
            </w:r>
          </w:p>
        </w:tc>
        <w:tc>
          <w:tcPr>
            <w:tcW w:w="168" w:type="pct"/>
            <w:vMerge w:val="continue"/>
            <w:tcBorders>
              <w:tl2br w:val="nil"/>
              <w:tr2bl w:val="nil"/>
            </w:tcBorders>
            <w:shd w:val="clear" w:color="auto" w:fill="auto"/>
            <w:vAlign w:val="center"/>
          </w:tcPr>
          <w:p w14:paraId="6D917302">
            <w:pPr>
              <w:jc w:val="center"/>
              <w:rPr>
                <w:rFonts w:hint="default" w:ascii="Times New Roman" w:hAnsi="Times New Roman" w:eastAsia="宋体" w:cs="Times New Roman"/>
                <w:i w:val="0"/>
                <w:iCs w:val="0"/>
                <w:color w:val="auto"/>
                <w:sz w:val="18"/>
                <w:szCs w:val="18"/>
                <w:highlight w:val="none"/>
                <w:u w:val="none"/>
              </w:rPr>
            </w:pPr>
          </w:p>
        </w:tc>
        <w:tc>
          <w:tcPr>
            <w:tcW w:w="195" w:type="pct"/>
            <w:tcBorders>
              <w:tl2br w:val="nil"/>
              <w:tr2bl w:val="nil"/>
            </w:tcBorders>
            <w:shd w:val="clear" w:color="auto" w:fill="auto"/>
            <w:vAlign w:val="center"/>
          </w:tcPr>
          <w:p w14:paraId="3249D5C7">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-10.51</w:t>
            </w:r>
          </w:p>
        </w:tc>
        <w:tc>
          <w:tcPr>
            <w:tcW w:w="173" w:type="pct"/>
            <w:tcBorders>
              <w:tl2br w:val="nil"/>
              <w:tr2bl w:val="nil"/>
            </w:tcBorders>
            <w:shd w:val="clear" w:color="auto" w:fill="auto"/>
            <w:vAlign w:val="center"/>
          </w:tcPr>
          <w:p w14:paraId="45FE4A20">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13.4</w:t>
            </w:r>
          </w:p>
        </w:tc>
        <w:tc>
          <w:tcPr>
            <w:tcW w:w="131" w:type="pct"/>
            <w:tcBorders>
              <w:tl2br w:val="nil"/>
              <w:tr2bl w:val="nil"/>
            </w:tcBorders>
            <w:shd w:val="clear" w:color="auto" w:fill="auto"/>
            <w:vAlign w:val="center"/>
          </w:tcPr>
          <w:p w14:paraId="4B3CCAE7">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45</w:t>
            </w:r>
          </w:p>
        </w:tc>
        <w:tc>
          <w:tcPr>
            <w:tcW w:w="166" w:type="pct"/>
            <w:tcBorders>
              <w:tl2br w:val="nil"/>
              <w:tr2bl w:val="nil"/>
            </w:tcBorders>
            <w:shd w:val="clear" w:color="auto" w:fill="auto"/>
            <w:noWrap/>
            <w:vAlign w:val="center"/>
          </w:tcPr>
          <w:p w14:paraId="17A94C5F">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47.90</w:t>
            </w:r>
          </w:p>
        </w:tc>
        <w:tc>
          <w:tcPr>
            <w:tcW w:w="166" w:type="pct"/>
            <w:tcBorders>
              <w:tl2br w:val="nil"/>
              <w:tr2bl w:val="nil"/>
            </w:tcBorders>
            <w:shd w:val="clear" w:color="auto" w:fill="auto"/>
            <w:noWrap/>
            <w:vAlign w:val="center"/>
          </w:tcPr>
          <w:p w14:paraId="05686E1D">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18.01</w:t>
            </w:r>
          </w:p>
        </w:tc>
        <w:tc>
          <w:tcPr>
            <w:tcW w:w="166" w:type="pct"/>
            <w:tcBorders>
              <w:tl2br w:val="nil"/>
              <w:tr2bl w:val="nil"/>
            </w:tcBorders>
            <w:shd w:val="clear" w:color="auto" w:fill="auto"/>
            <w:noWrap/>
            <w:vAlign w:val="center"/>
          </w:tcPr>
          <w:p w14:paraId="5BACC94D">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4.45</w:t>
            </w:r>
          </w:p>
        </w:tc>
        <w:tc>
          <w:tcPr>
            <w:tcW w:w="166" w:type="pct"/>
            <w:tcBorders>
              <w:tl2br w:val="nil"/>
              <w:tr2bl w:val="nil"/>
            </w:tcBorders>
            <w:shd w:val="clear" w:color="auto" w:fill="auto"/>
            <w:noWrap/>
            <w:vAlign w:val="center"/>
          </w:tcPr>
          <w:p w14:paraId="7B5C87B2">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7.84</w:t>
            </w:r>
          </w:p>
        </w:tc>
        <w:tc>
          <w:tcPr>
            <w:tcW w:w="166" w:type="pct"/>
            <w:tcBorders>
              <w:tl2br w:val="nil"/>
              <w:tr2bl w:val="nil"/>
            </w:tcBorders>
            <w:shd w:val="clear" w:color="auto" w:fill="auto"/>
            <w:noWrap/>
            <w:vAlign w:val="center"/>
          </w:tcPr>
          <w:p w14:paraId="5DFD7BE0">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68.08</w:t>
            </w:r>
          </w:p>
        </w:tc>
        <w:tc>
          <w:tcPr>
            <w:tcW w:w="166" w:type="pct"/>
            <w:tcBorders>
              <w:tl2br w:val="nil"/>
              <w:tr2bl w:val="nil"/>
            </w:tcBorders>
            <w:shd w:val="clear" w:color="auto" w:fill="auto"/>
            <w:noWrap/>
            <w:vAlign w:val="center"/>
          </w:tcPr>
          <w:p w14:paraId="273FBFF5">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68.08</w:t>
            </w:r>
          </w:p>
        </w:tc>
        <w:tc>
          <w:tcPr>
            <w:tcW w:w="166" w:type="pct"/>
            <w:tcBorders>
              <w:tl2br w:val="nil"/>
              <w:tr2bl w:val="nil"/>
            </w:tcBorders>
            <w:shd w:val="clear" w:color="auto" w:fill="auto"/>
            <w:noWrap/>
            <w:vAlign w:val="center"/>
          </w:tcPr>
          <w:p w14:paraId="517BEF85">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68.16</w:t>
            </w:r>
          </w:p>
        </w:tc>
        <w:tc>
          <w:tcPr>
            <w:tcW w:w="168" w:type="pct"/>
            <w:tcBorders>
              <w:tl2br w:val="nil"/>
              <w:tr2bl w:val="nil"/>
            </w:tcBorders>
            <w:shd w:val="clear" w:color="auto" w:fill="auto"/>
            <w:noWrap/>
            <w:vAlign w:val="center"/>
          </w:tcPr>
          <w:p w14:paraId="486382E3">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68.10</w:t>
            </w:r>
          </w:p>
        </w:tc>
        <w:tc>
          <w:tcPr>
            <w:tcW w:w="161" w:type="pct"/>
            <w:vMerge w:val="continue"/>
            <w:tcBorders>
              <w:tl2br w:val="nil"/>
              <w:tr2bl w:val="nil"/>
            </w:tcBorders>
            <w:shd w:val="clear" w:color="auto" w:fill="auto"/>
            <w:vAlign w:val="center"/>
          </w:tcPr>
          <w:p w14:paraId="0FE5B06A">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p>
        </w:tc>
        <w:tc>
          <w:tcPr>
            <w:tcW w:w="227" w:type="pct"/>
            <w:tcBorders>
              <w:tl2br w:val="nil"/>
              <w:tr2bl w:val="nil"/>
            </w:tcBorders>
            <w:shd w:val="clear" w:color="auto" w:fill="auto"/>
            <w:vAlign w:val="center"/>
          </w:tcPr>
          <w:p w14:paraId="3F65426B">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21</w:t>
            </w:r>
          </w:p>
        </w:tc>
        <w:tc>
          <w:tcPr>
            <w:tcW w:w="162" w:type="pct"/>
            <w:tcBorders>
              <w:tl2br w:val="nil"/>
              <w:tr2bl w:val="nil"/>
            </w:tcBorders>
            <w:shd w:val="clear" w:color="auto" w:fill="auto"/>
            <w:noWrap/>
            <w:vAlign w:val="center"/>
          </w:tcPr>
          <w:p w14:paraId="5CEDA02A">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47.08</w:t>
            </w:r>
          </w:p>
        </w:tc>
        <w:tc>
          <w:tcPr>
            <w:tcW w:w="162" w:type="pct"/>
            <w:tcBorders>
              <w:tl2br w:val="nil"/>
              <w:tr2bl w:val="nil"/>
            </w:tcBorders>
            <w:shd w:val="clear" w:color="auto" w:fill="auto"/>
            <w:noWrap/>
            <w:vAlign w:val="center"/>
          </w:tcPr>
          <w:p w14:paraId="019E45E9">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47.08</w:t>
            </w:r>
          </w:p>
        </w:tc>
        <w:tc>
          <w:tcPr>
            <w:tcW w:w="162" w:type="pct"/>
            <w:tcBorders>
              <w:tl2br w:val="nil"/>
              <w:tr2bl w:val="nil"/>
            </w:tcBorders>
            <w:shd w:val="clear" w:color="auto" w:fill="auto"/>
            <w:noWrap/>
            <w:vAlign w:val="center"/>
          </w:tcPr>
          <w:p w14:paraId="6EFE0C0F">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47.16</w:t>
            </w:r>
          </w:p>
        </w:tc>
        <w:tc>
          <w:tcPr>
            <w:tcW w:w="188" w:type="pct"/>
            <w:tcBorders>
              <w:tl2br w:val="nil"/>
              <w:tr2bl w:val="nil"/>
            </w:tcBorders>
            <w:shd w:val="clear" w:color="auto" w:fill="auto"/>
            <w:noWrap/>
            <w:vAlign w:val="center"/>
          </w:tcPr>
          <w:p w14:paraId="6DA2C27F">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47.10</w:t>
            </w:r>
          </w:p>
        </w:tc>
        <w:tc>
          <w:tcPr>
            <w:tcW w:w="243" w:type="pct"/>
            <w:tcBorders>
              <w:tl2br w:val="nil"/>
              <w:tr2bl w:val="nil"/>
            </w:tcBorders>
            <w:shd w:val="clear" w:color="auto" w:fill="auto"/>
            <w:vAlign w:val="center"/>
          </w:tcPr>
          <w:p w14:paraId="7CE5EF23">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1</w:t>
            </w:r>
          </w:p>
        </w:tc>
      </w:tr>
      <w:tr w14:paraId="65C26C2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3" w:hRule="atLeast"/>
        </w:trPr>
        <w:tc>
          <w:tcPr>
            <w:tcW w:w="121" w:type="pct"/>
            <w:tcBorders>
              <w:tl2br w:val="nil"/>
              <w:tr2bl w:val="nil"/>
            </w:tcBorders>
            <w:shd w:val="clear" w:color="auto" w:fill="auto"/>
            <w:vAlign w:val="center"/>
          </w:tcPr>
          <w:p w14:paraId="6AEFCE2F">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14</w:t>
            </w:r>
          </w:p>
        </w:tc>
        <w:tc>
          <w:tcPr>
            <w:tcW w:w="366" w:type="pct"/>
            <w:vMerge w:val="continue"/>
            <w:tcBorders>
              <w:tl2br w:val="nil"/>
              <w:tr2bl w:val="nil"/>
            </w:tcBorders>
            <w:shd w:val="clear" w:color="auto" w:fill="auto"/>
            <w:vAlign w:val="center"/>
          </w:tcPr>
          <w:p w14:paraId="317CF6DE">
            <w:pPr>
              <w:jc w:val="center"/>
              <w:rPr>
                <w:rFonts w:hint="default" w:ascii="Times New Roman" w:hAnsi="Times New Roman" w:eastAsia="宋体" w:cs="Times New Roman"/>
                <w:i w:val="0"/>
                <w:iCs w:val="0"/>
                <w:color w:val="auto"/>
                <w:sz w:val="18"/>
                <w:szCs w:val="18"/>
                <w:highlight w:val="none"/>
                <w:u w:val="none"/>
              </w:rPr>
            </w:pPr>
          </w:p>
        </w:tc>
        <w:tc>
          <w:tcPr>
            <w:tcW w:w="523" w:type="pct"/>
            <w:tcBorders>
              <w:tl2br w:val="nil"/>
              <w:tr2bl w:val="nil"/>
            </w:tcBorders>
            <w:shd w:val="clear" w:color="auto" w:fill="auto"/>
            <w:vAlign w:val="center"/>
          </w:tcPr>
          <w:p w14:paraId="124F9E18">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螺杆空气压缩机</w:t>
            </w:r>
          </w:p>
        </w:tc>
        <w:tc>
          <w:tcPr>
            <w:tcW w:w="407" w:type="pct"/>
            <w:tcBorders>
              <w:tl2br w:val="nil"/>
              <w:tr2bl w:val="nil"/>
            </w:tcBorders>
            <w:shd w:val="clear" w:color="auto" w:fill="auto"/>
            <w:vAlign w:val="center"/>
          </w:tcPr>
          <w:p w14:paraId="70DFFACD">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EV37A</w:t>
            </w:r>
          </w:p>
        </w:tc>
        <w:tc>
          <w:tcPr>
            <w:tcW w:w="268" w:type="pct"/>
            <w:tcBorders>
              <w:tl2br w:val="nil"/>
              <w:tr2bl w:val="nil"/>
            </w:tcBorders>
            <w:shd w:val="clear" w:color="auto" w:fill="auto"/>
            <w:vAlign w:val="center"/>
          </w:tcPr>
          <w:p w14:paraId="0AEC2595">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75</w:t>
            </w:r>
          </w:p>
        </w:tc>
        <w:tc>
          <w:tcPr>
            <w:tcW w:w="168" w:type="pct"/>
            <w:vMerge w:val="continue"/>
            <w:tcBorders>
              <w:tl2br w:val="nil"/>
              <w:tr2bl w:val="nil"/>
            </w:tcBorders>
            <w:shd w:val="clear" w:color="auto" w:fill="auto"/>
            <w:vAlign w:val="center"/>
          </w:tcPr>
          <w:p w14:paraId="18A4AAD5">
            <w:pPr>
              <w:jc w:val="center"/>
              <w:rPr>
                <w:rFonts w:hint="default" w:ascii="Times New Roman" w:hAnsi="Times New Roman" w:eastAsia="宋体" w:cs="Times New Roman"/>
                <w:i w:val="0"/>
                <w:iCs w:val="0"/>
                <w:color w:val="auto"/>
                <w:sz w:val="18"/>
                <w:szCs w:val="18"/>
                <w:highlight w:val="none"/>
                <w:u w:val="none"/>
              </w:rPr>
            </w:pPr>
          </w:p>
        </w:tc>
        <w:tc>
          <w:tcPr>
            <w:tcW w:w="195" w:type="pct"/>
            <w:tcBorders>
              <w:tl2br w:val="nil"/>
              <w:tr2bl w:val="nil"/>
            </w:tcBorders>
            <w:shd w:val="clear" w:color="auto" w:fill="auto"/>
            <w:vAlign w:val="center"/>
          </w:tcPr>
          <w:p w14:paraId="34C90ABE">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-9.09</w:t>
            </w:r>
          </w:p>
        </w:tc>
        <w:tc>
          <w:tcPr>
            <w:tcW w:w="173" w:type="pct"/>
            <w:tcBorders>
              <w:tl2br w:val="nil"/>
              <w:tr2bl w:val="nil"/>
            </w:tcBorders>
            <w:shd w:val="clear" w:color="auto" w:fill="auto"/>
            <w:vAlign w:val="center"/>
          </w:tcPr>
          <w:p w14:paraId="4560BE36">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15.82</w:t>
            </w:r>
          </w:p>
        </w:tc>
        <w:tc>
          <w:tcPr>
            <w:tcW w:w="131" w:type="pct"/>
            <w:tcBorders>
              <w:tl2br w:val="nil"/>
              <w:tr2bl w:val="nil"/>
            </w:tcBorders>
            <w:shd w:val="clear" w:color="auto" w:fill="auto"/>
            <w:vAlign w:val="center"/>
          </w:tcPr>
          <w:p w14:paraId="1D4AFF28">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45</w:t>
            </w:r>
          </w:p>
        </w:tc>
        <w:tc>
          <w:tcPr>
            <w:tcW w:w="166" w:type="pct"/>
            <w:tcBorders>
              <w:tl2br w:val="nil"/>
              <w:tr2bl w:val="nil"/>
            </w:tcBorders>
            <w:shd w:val="clear" w:color="auto" w:fill="auto"/>
            <w:noWrap/>
            <w:vAlign w:val="center"/>
          </w:tcPr>
          <w:p w14:paraId="402F534A">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49.96</w:t>
            </w:r>
          </w:p>
        </w:tc>
        <w:tc>
          <w:tcPr>
            <w:tcW w:w="166" w:type="pct"/>
            <w:tcBorders>
              <w:tl2br w:val="nil"/>
              <w:tr2bl w:val="nil"/>
            </w:tcBorders>
            <w:shd w:val="clear" w:color="auto" w:fill="auto"/>
            <w:noWrap/>
            <w:vAlign w:val="center"/>
          </w:tcPr>
          <w:p w14:paraId="18B6EEC9">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19.88</w:t>
            </w:r>
          </w:p>
        </w:tc>
        <w:tc>
          <w:tcPr>
            <w:tcW w:w="166" w:type="pct"/>
            <w:tcBorders>
              <w:tl2br w:val="nil"/>
              <w:tr2bl w:val="nil"/>
            </w:tcBorders>
            <w:shd w:val="clear" w:color="auto" w:fill="auto"/>
            <w:noWrap/>
            <w:vAlign w:val="center"/>
          </w:tcPr>
          <w:p w14:paraId="5B4EC32E">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2.36</w:t>
            </w:r>
          </w:p>
        </w:tc>
        <w:tc>
          <w:tcPr>
            <w:tcW w:w="166" w:type="pct"/>
            <w:tcBorders>
              <w:tl2br w:val="nil"/>
              <w:tr2bl w:val="nil"/>
            </w:tcBorders>
            <w:shd w:val="clear" w:color="auto" w:fill="auto"/>
            <w:noWrap/>
            <w:vAlign w:val="center"/>
          </w:tcPr>
          <w:p w14:paraId="3FEC8616">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5.96</w:t>
            </w:r>
          </w:p>
        </w:tc>
        <w:tc>
          <w:tcPr>
            <w:tcW w:w="166" w:type="pct"/>
            <w:tcBorders>
              <w:tl2br w:val="nil"/>
              <w:tr2bl w:val="nil"/>
            </w:tcBorders>
            <w:shd w:val="clear" w:color="auto" w:fill="auto"/>
            <w:noWrap/>
            <w:vAlign w:val="center"/>
          </w:tcPr>
          <w:p w14:paraId="78C02D5C">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68.08</w:t>
            </w:r>
          </w:p>
        </w:tc>
        <w:tc>
          <w:tcPr>
            <w:tcW w:w="166" w:type="pct"/>
            <w:tcBorders>
              <w:tl2br w:val="nil"/>
              <w:tr2bl w:val="nil"/>
            </w:tcBorders>
            <w:shd w:val="clear" w:color="auto" w:fill="auto"/>
            <w:noWrap/>
            <w:vAlign w:val="center"/>
          </w:tcPr>
          <w:p w14:paraId="57167563">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68.08</w:t>
            </w:r>
          </w:p>
        </w:tc>
        <w:tc>
          <w:tcPr>
            <w:tcW w:w="166" w:type="pct"/>
            <w:tcBorders>
              <w:tl2br w:val="nil"/>
              <w:tr2bl w:val="nil"/>
            </w:tcBorders>
            <w:shd w:val="clear" w:color="auto" w:fill="auto"/>
            <w:noWrap/>
            <w:vAlign w:val="center"/>
          </w:tcPr>
          <w:p w14:paraId="27885B1A">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68.37</w:t>
            </w:r>
          </w:p>
        </w:tc>
        <w:tc>
          <w:tcPr>
            <w:tcW w:w="168" w:type="pct"/>
            <w:tcBorders>
              <w:tl2br w:val="nil"/>
              <w:tr2bl w:val="nil"/>
            </w:tcBorders>
            <w:shd w:val="clear" w:color="auto" w:fill="auto"/>
            <w:noWrap/>
            <w:vAlign w:val="center"/>
          </w:tcPr>
          <w:p w14:paraId="26C47A16">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68.12</w:t>
            </w:r>
          </w:p>
        </w:tc>
        <w:tc>
          <w:tcPr>
            <w:tcW w:w="161" w:type="pct"/>
            <w:vMerge w:val="continue"/>
            <w:tcBorders>
              <w:tl2br w:val="nil"/>
              <w:tr2bl w:val="nil"/>
            </w:tcBorders>
            <w:shd w:val="clear" w:color="auto" w:fill="auto"/>
            <w:vAlign w:val="center"/>
          </w:tcPr>
          <w:p w14:paraId="0506C041">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p>
        </w:tc>
        <w:tc>
          <w:tcPr>
            <w:tcW w:w="227" w:type="pct"/>
            <w:tcBorders>
              <w:tl2br w:val="nil"/>
              <w:tr2bl w:val="nil"/>
            </w:tcBorders>
            <w:shd w:val="clear" w:color="auto" w:fill="auto"/>
            <w:vAlign w:val="center"/>
          </w:tcPr>
          <w:p w14:paraId="71D85F43">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21</w:t>
            </w:r>
          </w:p>
        </w:tc>
        <w:tc>
          <w:tcPr>
            <w:tcW w:w="162" w:type="pct"/>
            <w:tcBorders>
              <w:tl2br w:val="nil"/>
              <w:tr2bl w:val="nil"/>
            </w:tcBorders>
            <w:shd w:val="clear" w:color="auto" w:fill="auto"/>
            <w:noWrap/>
            <w:vAlign w:val="center"/>
          </w:tcPr>
          <w:p w14:paraId="779C0162">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47.08</w:t>
            </w:r>
          </w:p>
        </w:tc>
        <w:tc>
          <w:tcPr>
            <w:tcW w:w="162" w:type="pct"/>
            <w:tcBorders>
              <w:tl2br w:val="nil"/>
              <w:tr2bl w:val="nil"/>
            </w:tcBorders>
            <w:shd w:val="clear" w:color="auto" w:fill="auto"/>
            <w:noWrap/>
            <w:vAlign w:val="center"/>
          </w:tcPr>
          <w:p w14:paraId="2D700C40">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47.08</w:t>
            </w:r>
          </w:p>
        </w:tc>
        <w:tc>
          <w:tcPr>
            <w:tcW w:w="162" w:type="pct"/>
            <w:tcBorders>
              <w:tl2br w:val="nil"/>
              <w:tr2bl w:val="nil"/>
            </w:tcBorders>
            <w:shd w:val="clear" w:color="auto" w:fill="auto"/>
            <w:noWrap/>
            <w:vAlign w:val="center"/>
          </w:tcPr>
          <w:p w14:paraId="0571AA7E">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47.37</w:t>
            </w:r>
          </w:p>
        </w:tc>
        <w:tc>
          <w:tcPr>
            <w:tcW w:w="188" w:type="pct"/>
            <w:tcBorders>
              <w:tl2br w:val="nil"/>
              <w:tr2bl w:val="nil"/>
            </w:tcBorders>
            <w:shd w:val="clear" w:color="auto" w:fill="auto"/>
            <w:noWrap/>
            <w:vAlign w:val="center"/>
          </w:tcPr>
          <w:p w14:paraId="7394D6DB">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47.12</w:t>
            </w:r>
          </w:p>
        </w:tc>
        <w:tc>
          <w:tcPr>
            <w:tcW w:w="243" w:type="pct"/>
            <w:tcBorders>
              <w:tl2br w:val="nil"/>
              <w:tr2bl w:val="nil"/>
            </w:tcBorders>
            <w:shd w:val="clear" w:color="auto" w:fill="auto"/>
            <w:vAlign w:val="center"/>
          </w:tcPr>
          <w:p w14:paraId="6600DA45">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1</w:t>
            </w:r>
          </w:p>
        </w:tc>
      </w:tr>
      <w:tr w14:paraId="0D78155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3" w:hRule="atLeast"/>
        </w:trPr>
        <w:tc>
          <w:tcPr>
            <w:tcW w:w="121" w:type="pct"/>
            <w:tcBorders>
              <w:tl2br w:val="nil"/>
              <w:tr2bl w:val="nil"/>
            </w:tcBorders>
            <w:shd w:val="clear" w:color="auto" w:fill="auto"/>
            <w:vAlign w:val="center"/>
          </w:tcPr>
          <w:p w14:paraId="3030910C">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15</w:t>
            </w:r>
          </w:p>
        </w:tc>
        <w:tc>
          <w:tcPr>
            <w:tcW w:w="366" w:type="pct"/>
            <w:vMerge w:val="continue"/>
            <w:tcBorders>
              <w:tl2br w:val="nil"/>
              <w:tr2bl w:val="nil"/>
            </w:tcBorders>
            <w:shd w:val="clear" w:color="auto" w:fill="auto"/>
            <w:vAlign w:val="center"/>
          </w:tcPr>
          <w:p w14:paraId="49F9CAE1">
            <w:pPr>
              <w:jc w:val="center"/>
              <w:rPr>
                <w:rFonts w:hint="default" w:ascii="Times New Roman" w:hAnsi="Times New Roman" w:eastAsia="宋体" w:cs="Times New Roman"/>
                <w:i w:val="0"/>
                <w:iCs w:val="0"/>
                <w:color w:val="auto"/>
                <w:sz w:val="18"/>
                <w:szCs w:val="18"/>
                <w:highlight w:val="none"/>
                <w:u w:val="none"/>
              </w:rPr>
            </w:pPr>
          </w:p>
        </w:tc>
        <w:tc>
          <w:tcPr>
            <w:tcW w:w="523" w:type="pct"/>
            <w:tcBorders>
              <w:tl2br w:val="nil"/>
              <w:tr2bl w:val="nil"/>
            </w:tcBorders>
            <w:shd w:val="clear" w:color="auto" w:fill="auto"/>
            <w:vAlign w:val="center"/>
          </w:tcPr>
          <w:p w14:paraId="17F2B95F">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PSA变压吸附制氮机</w:t>
            </w:r>
          </w:p>
        </w:tc>
        <w:tc>
          <w:tcPr>
            <w:tcW w:w="407" w:type="pct"/>
            <w:tcBorders>
              <w:tl2br w:val="nil"/>
              <w:tr2bl w:val="nil"/>
            </w:tcBorders>
            <w:shd w:val="clear" w:color="auto" w:fill="auto"/>
            <w:vAlign w:val="center"/>
          </w:tcPr>
          <w:p w14:paraId="409EEB12">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40 Nm3/h</w:t>
            </w:r>
          </w:p>
        </w:tc>
        <w:tc>
          <w:tcPr>
            <w:tcW w:w="268" w:type="pct"/>
            <w:tcBorders>
              <w:tl2br w:val="nil"/>
              <w:tr2bl w:val="nil"/>
            </w:tcBorders>
            <w:shd w:val="clear" w:color="auto" w:fill="auto"/>
            <w:vAlign w:val="center"/>
          </w:tcPr>
          <w:p w14:paraId="3D3DCF63">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75</w:t>
            </w:r>
          </w:p>
        </w:tc>
        <w:tc>
          <w:tcPr>
            <w:tcW w:w="168" w:type="pct"/>
            <w:vMerge w:val="continue"/>
            <w:tcBorders>
              <w:tl2br w:val="nil"/>
              <w:tr2bl w:val="nil"/>
            </w:tcBorders>
            <w:shd w:val="clear" w:color="auto" w:fill="auto"/>
            <w:vAlign w:val="center"/>
          </w:tcPr>
          <w:p w14:paraId="4AA6D9C9">
            <w:pPr>
              <w:jc w:val="center"/>
              <w:rPr>
                <w:rFonts w:hint="default" w:ascii="Times New Roman" w:hAnsi="Times New Roman" w:eastAsia="宋体" w:cs="Times New Roman"/>
                <w:i w:val="0"/>
                <w:iCs w:val="0"/>
                <w:color w:val="auto"/>
                <w:sz w:val="18"/>
                <w:szCs w:val="18"/>
                <w:highlight w:val="none"/>
                <w:u w:val="none"/>
              </w:rPr>
            </w:pPr>
          </w:p>
        </w:tc>
        <w:tc>
          <w:tcPr>
            <w:tcW w:w="195" w:type="pct"/>
            <w:tcBorders>
              <w:tl2br w:val="nil"/>
              <w:tr2bl w:val="nil"/>
            </w:tcBorders>
            <w:shd w:val="clear" w:color="auto" w:fill="auto"/>
            <w:vAlign w:val="center"/>
          </w:tcPr>
          <w:p w14:paraId="5C443DC8">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-13.22</w:t>
            </w:r>
          </w:p>
        </w:tc>
        <w:tc>
          <w:tcPr>
            <w:tcW w:w="173" w:type="pct"/>
            <w:tcBorders>
              <w:tl2br w:val="nil"/>
              <w:tr2bl w:val="nil"/>
            </w:tcBorders>
            <w:shd w:val="clear" w:color="auto" w:fill="auto"/>
            <w:vAlign w:val="center"/>
          </w:tcPr>
          <w:p w14:paraId="73764CC5">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18.29</w:t>
            </w:r>
          </w:p>
        </w:tc>
        <w:tc>
          <w:tcPr>
            <w:tcW w:w="131" w:type="pct"/>
            <w:tcBorders>
              <w:tl2br w:val="nil"/>
              <w:tr2bl w:val="nil"/>
            </w:tcBorders>
            <w:shd w:val="clear" w:color="auto" w:fill="auto"/>
            <w:vAlign w:val="center"/>
          </w:tcPr>
          <w:p w14:paraId="13EE9F3D">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45</w:t>
            </w:r>
          </w:p>
        </w:tc>
        <w:tc>
          <w:tcPr>
            <w:tcW w:w="166" w:type="pct"/>
            <w:tcBorders>
              <w:tl2br w:val="nil"/>
              <w:tr2bl w:val="nil"/>
            </w:tcBorders>
            <w:shd w:val="clear" w:color="auto" w:fill="auto"/>
            <w:noWrap/>
            <w:vAlign w:val="center"/>
          </w:tcPr>
          <w:p w14:paraId="15E04804">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46.71</w:t>
            </w:r>
          </w:p>
        </w:tc>
        <w:tc>
          <w:tcPr>
            <w:tcW w:w="166" w:type="pct"/>
            <w:tcBorders>
              <w:tl2br w:val="nil"/>
              <w:tr2bl w:val="nil"/>
            </w:tcBorders>
            <w:shd w:val="clear" w:color="auto" w:fill="auto"/>
            <w:noWrap/>
            <w:vAlign w:val="center"/>
          </w:tcPr>
          <w:p w14:paraId="2772D443">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23.50</w:t>
            </w:r>
          </w:p>
        </w:tc>
        <w:tc>
          <w:tcPr>
            <w:tcW w:w="166" w:type="pct"/>
            <w:tcBorders>
              <w:tl2br w:val="nil"/>
              <w:tr2bl w:val="nil"/>
            </w:tcBorders>
            <w:shd w:val="clear" w:color="auto" w:fill="auto"/>
            <w:noWrap/>
            <w:vAlign w:val="center"/>
          </w:tcPr>
          <w:p w14:paraId="1BF2FA43">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5.54</w:t>
            </w:r>
          </w:p>
        </w:tc>
        <w:tc>
          <w:tcPr>
            <w:tcW w:w="166" w:type="pct"/>
            <w:tcBorders>
              <w:tl2br w:val="nil"/>
              <w:tr2bl w:val="nil"/>
            </w:tcBorders>
            <w:shd w:val="clear" w:color="auto" w:fill="auto"/>
            <w:noWrap/>
            <w:vAlign w:val="center"/>
          </w:tcPr>
          <w:p w14:paraId="63BF1622">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2.37</w:t>
            </w:r>
          </w:p>
        </w:tc>
        <w:tc>
          <w:tcPr>
            <w:tcW w:w="166" w:type="pct"/>
            <w:tcBorders>
              <w:tl2br w:val="nil"/>
              <w:tr2bl w:val="nil"/>
            </w:tcBorders>
            <w:shd w:val="clear" w:color="auto" w:fill="auto"/>
            <w:noWrap/>
            <w:vAlign w:val="center"/>
          </w:tcPr>
          <w:p w14:paraId="09589EAA">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68.08</w:t>
            </w:r>
          </w:p>
        </w:tc>
        <w:tc>
          <w:tcPr>
            <w:tcW w:w="166" w:type="pct"/>
            <w:tcBorders>
              <w:tl2br w:val="nil"/>
              <w:tr2bl w:val="nil"/>
            </w:tcBorders>
            <w:shd w:val="clear" w:color="auto" w:fill="auto"/>
            <w:noWrap/>
            <w:vAlign w:val="center"/>
          </w:tcPr>
          <w:p w14:paraId="5A6AC75F">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68.08</w:t>
            </w:r>
          </w:p>
        </w:tc>
        <w:tc>
          <w:tcPr>
            <w:tcW w:w="166" w:type="pct"/>
            <w:tcBorders>
              <w:tl2br w:val="nil"/>
              <w:tr2bl w:val="nil"/>
            </w:tcBorders>
            <w:shd w:val="clear" w:color="auto" w:fill="auto"/>
            <w:noWrap/>
            <w:vAlign w:val="center"/>
          </w:tcPr>
          <w:p w14:paraId="49A7B641">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68.13</w:t>
            </w:r>
          </w:p>
        </w:tc>
        <w:tc>
          <w:tcPr>
            <w:tcW w:w="168" w:type="pct"/>
            <w:tcBorders>
              <w:tl2br w:val="nil"/>
              <w:tr2bl w:val="nil"/>
            </w:tcBorders>
            <w:shd w:val="clear" w:color="auto" w:fill="auto"/>
            <w:noWrap/>
            <w:vAlign w:val="center"/>
          </w:tcPr>
          <w:p w14:paraId="3CFBF452">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68.37</w:t>
            </w:r>
          </w:p>
        </w:tc>
        <w:tc>
          <w:tcPr>
            <w:tcW w:w="161" w:type="pct"/>
            <w:vMerge w:val="continue"/>
            <w:tcBorders>
              <w:tl2br w:val="nil"/>
              <w:tr2bl w:val="nil"/>
            </w:tcBorders>
            <w:shd w:val="clear" w:color="auto" w:fill="auto"/>
            <w:vAlign w:val="center"/>
          </w:tcPr>
          <w:p w14:paraId="6C421F58">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p>
        </w:tc>
        <w:tc>
          <w:tcPr>
            <w:tcW w:w="227" w:type="pct"/>
            <w:tcBorders>
              <w:tl2br w:val="nil"/>
              <w:tr2bl w:val="nil"/>
            </w:tcBorders>
            <w:shd w:val="clear" w:color="auto" w:fill="auto"/>
            <w:vAlign w:val="center"/>
          </w:tcPr>
          <w:p w14:paraId="061C80D8">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21</w:t>
            </w:r>
          </w:p>
        </w:tc>
        <w:tc>
          <w:tcPr>
            <w:tcW w:w="162" w:type="pct"/>
            <w:tcBorders>
              <w:tl2br w:val="nil"/>
              <w:tr2bl w:val="nil"/>
            </w:tcBorders>
            <w:shd w:val="clear" w:color="auto" w:fill="auto"/>
            <w:noWrap/>
            <w:vAlign w:val="center"/>
          </w:tcPr>
          <w:p w14:paraId="77D17996">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47.08</w:t>
            </w:r>
          </w:p>
        </w:tc>
        <w:tc>
          <w:tcPr>
            <w:tcW w:w="162" w:type="pct"/>
            <w:tcBorders>
              <w:tl2br w:val="nil"/>
              <w:tr2bl w:val="nil"/>
            </w:tcBorders>
            <w:shd w:val="clear" w:color="auto" w:fill="auto"/>
            <w:noWrap/>
            <w:vAlign w:val="center"/>
          </w:tcPr>
          <w:p w14:paraId="23880A37">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47.08</w:t>
            </w:r>
          </w:p>
        </w:tc>
        <w:tc>
          <w:tcPr>
            <w:tcW w:w="162" w:type="pct"/>
            <w:tcBorders>
              <w:tl2br w:val="nil"/>
              <w:tr2bl w:val="nil"/>
            </w:tcBorders>
            <w:shd w:val="clear" w:color="auto" w:fill="auto"/>
            <w:noWrap/>
            <w:vAlign w:val="center"/>
          </w:tcPr>
          <w:p w14:paraId="19E30791">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47.13</w:t>
            </w:r>
          </w:p>
        </w:tc>
        <w:tc>
          <w:tcPr>
            <w:tcW w:w="188" w:type="pct"/>
            <w:tcBorders>
              <w:tl2br w:val="nil"/>
              <w:tr2bl w:val="nil"/>
            </w:tcBorders>
            <w:shd w:val="clear" w:color="auto" w:fill="auto"/>
            <w:noWrap/>
            <w:vAlign w:val="center"/>
          </w:tcPr>
          <w:p w14:paraId="0998CF1C">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47.37</w:t>
            </w:r>
          </w:p>
        </w:tc>
        <w:tc>
          <w:tcPr>
            <w:tcW w:w="243" w:type="pct"/>
            <w:tcBorders>
              <w:tl2br w:val="nil"/>
              <w:tr2bl w:val="nil"/>
            </w:tcBorders>
            <w:shd w:val="clear" w:color="auto" w:fill="auto"/>
            <w:vAlign w:val="center"/>
          </w:tcPr>
          <w:p w14:paraId="169E74E8">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1</w:t>
            </w:r>
          </w:p>
        </w:tc>
      </w:tr>
      <w:tr w14:paraId="4722872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3" w:hRule="atLeast"/>
        </w:trPr>
        <w:tc>
          <w:tcPr>
            <w:tcW w:w="121" w:type="pct"/>
            <w:tcBorders>
              <w:tl2br w:val="nil"/>
              <w:tr2bl w:val="nil"/>
            </w:tcBorders>
            <w:shd w:val="clear" w:color="auto" w:fill="auto"/>
            <w:vAlign w:val="center"/>
          </w:tcPr>
          <w:p w14:paraId="3D6701EC">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16</w:t>
            </w:r>
          </w:p>
        </w:tc>
        <w:tc>
          <w:tcPr>
            <w:tcW w:w="366" w:type="pct"/>
            <w:vMerge w:val="restart"/>
            <w:tcBorders>
              <w:tl2br w:val="nil"/>
              <w:tr2bl w:val="nil"/>
            </w:tcBorders>
            <w:shd w:val="clear" w:color="auto" w:fill="auto"/>
            <w:vAlign w:val="center"/>
          </w:tcPr>
          <w:p w14:paraId="5F26DACA">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扣电实验室</w:t>
            </w:r>
          </w:p>
        </w:tc>
        <w:tc>
          <w:tcPr>
            <w:tcW w:w="523" w:type="pct"/>
            <w:tcBorders>
              <w:tl2br w:val="nil"/>
              <w:tr2bl w:val="nil"/>
            </w:tcBorders>
            <w:shd w:val="clear" w:color="auto" w:fill="auto"/>
            <w:vAlign w:val="center"/>
          </w:tcPr>
          <w:p w14:paraId="7130F332">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平板涂覆机</w:t>
            </w:r>
          </w:p>
        </w:tc>
        <w:tc>
          <w:tcPr>
            <w:tcW w:w="407" w:type="pct"/>
            <w:tcBorders>
              <w:tl2br w:val="nil"/>
              <w:tr2bl w:val="nil"/>
            </w:tcBorders>
            <w:shd w:val="clear" w:color="auto" w:fill="auto"/>
            <w:vAlign w:val="center"/>
          </w:tcPr>
          <w:p w14:paraId="38385769">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MSK-AFA-SC200</w:t>
            </w:r>
          </w:p>
        </w:tc>
        <w:tc>
          <w:tcPr>
            <w:tcW w:w="268" w:type="pct"/>
            <w:tcBorders>
              <w:tl2br w:val="nil"/>
              <w:tr2bl w:val="nil"/>
            </w:tcBorders>
            <w:shd w:val="clear" w:color="auto" w:fill="auto"/>
            <w:vAlign w:val="center"/>
          </w:tcPr>
          <w:p w14:paraId="77F45DAD">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70</w:t>
            </w:r>
          </w:p>
        </w:tc>
        <w:tc>
          <w:tcPr>
            <w:tcW w:w="168" w:type="pct"/>
            <w:vMerge w:val="continue"/>
            <w:tcBorders>
              <w:tl2br w:val="nil"/>
              <w:tr2bl w:val="nil"/>
            </w:tcBorders>
            <w:shd w:val="clear" w:color="auto" w:fill="auto"/>
            <w:vAlign w:val="center"/>
          </w:tcPr>
          <w:p w14:paraId="321B6FB0">
            <w:pPr>
              <w:jc w:val="center"/>
              <w:rPr>
                <w:rFonts w:hint="default" w:ascii="Times New Roman" w:hAnsi="Times New Roman" w:eastAsia="宋体" w:cs="Times New Roman"/>
                <w:i w:val="0"/>
                <w:iCs w:val="0"/>
                <w:color w:val="auto"/>
                <w:sz w:val="18"/>
                <w:szCs w:val="18"/>
                <w:highlight w:val="none"/>
                <w:u w:val="none"/>
              </w:rPr>
            </w:pPr>
          </w:p>
        </w:tc>
        <w:tc>
          <w:tcPr>
            <w:tcW w:w="195" w:type="pct"/>
            <w:tcBorders>
              <w:tl2br w:val="nil"/>
              <w:tr2bl w:val="nil"/>
            </w:tcBorders>
            <w:shd w:val="clear" w:color="auto" w:fill="auto"/>
            <w:vAlign w:val="center"/>
          </w:tcPr>
          <w:p w14:paraId="4CD028F3">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-20.64</w:t>
            </w:r>
          </w:p>
        </w:tc>
        <w:tc>
          <w:tcPr>
            <w:tcW w:w="173" w:type="pct"/>
            <w:tcBorders>
              <w:tl2br w:val="nil"/>
              <w:tr2bl w:val="nil"/>
            </w:tcBorders>
            <w:shd w:val="clear" w:color="auto" w:fill="auto"/>
            <w:vAlign w:val="center"/>
          </w:tcPr>
          <w:p w14:paraId="68694F2B">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-3.13</w:t>
            </w:r>
          </w:p>
        </w:tc>
        <w:tc>
          <w:tcPr>
            <w:tcW w:w="131" w:type="pct"/>
            <w:tcBorders>
              <w:tl2br w:val="nil"/>
              <w:tr2bl w:val="nil"/>
            </w:tcBorders>
            <w:shd w:val="clear" w:color="auto" w:fill="auto"/>
            <w:vAlign w:val="center"/>
          </w:tcPr>
          <w:p w14:paraId="6A820880">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45</w:t>
            </w:r>
          </w:p>
        </w:tc>
        <w:tc>
          <w:tcPr>
            <w:tcW w:w="166" w:type="pct"/>
            <w:tcBorders>
              <w:tl2br w:val="nil"/>
              <w:tr2bl w:val="nil"/>
            </w:tcBorders>
            <w:shd w:val="clear" w:color="auto" w:fill="auto"/>
            <w:noWrap/>
            <w:vAlign w:val="center"/>
          </w:tcPr>
          <w:p w14:paraId="3169FC8F">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33.45</w:t>
            </w:r>
          </w:p>
        </w:tc>
        <w:tc>
          <w:tcPr>
            <w:tcW w:w="166" w:type="pct"/>
            <w:tcBorders>
              <w:tl2br w:val="nil"/>
              <w:tr2bl w:val="nil"/>
            </w:tcBorders>
            <w:shd w:val="clear" w:color="auto" w:fill="auto"/>
            <w:noWrap/>
            <w:vAlign w:val="center"/>
          </w:tcPr>
          <w:p w14:paraId="63781E39">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5.38</w:t>
            </w:r>
          </w:p>
        </w:tc>
        <w:tc>
          <w:tcPr>
            <w:tcW w:w="166" w:type="pct"/>
            <w:tcBorders>
              <w:tl2br w:val="nil"/>
              <w:tr2bl w:val="nil"/>
            </w:tcBorders>
            <w:shd w:val="clear" w:color="auto" w:fill="auto"/>
            <w:noWrap/>
            <w:vAlign w:val="center"/>
          </w:tcPr>
          <w:p w14:paraId="0DA6281F">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19.12</w:t>
            </w:r>
          </w:p>
        </w:tc>
        <w:tc>
          <w:tcPr>
            <w:tcW w:w="166" w:type="pct"/>
            <w:tcBorders>
              <w:tl2br w:val="nil"/>
              <w:tr2bl w:val="nil"/>
            </w:tcBorders>
            <w:shd w:val="clear" w:color="auto" w:fill="auto"/>
            <w:noWrap/>
            <w:vAlign w:val="center"/>
          </w:tcPr>
          <w:p w14:paraId="1BF6BA5C">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20.59</w:t>
            </w:r>
          </w:p>
        </w:tc>
        <w:tc>
          <w:tcPr>
            <w:tcW w:w="166" w:type="pct"/>
            <w:tcBorders>
              <w:tl2br w:val="nil"/>
              <w:tr2bl w:val="nil"/>
            </w:tcBorders>
            <w:shd w:val="clear" w:color="auto" w:fill="auto"/>
            <w:noWrap/>
            <w:vAlign w:val="center"/>
          </w:tcPr>
          <w:p w14:paraId="2A55049B">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63.08</w:t>
            </w:r>
          </w:p>
        </w:tc>
        <w:tc>
          <w:tcPr>
            <w:tcW w:w="166" w:type="pct"/>
            <w:tcBorders>
              <w:tl2br w:val="nil"/>
              <w:tr2bl w:val="nil"/>
            </w:tcBorders>
            <w:shd w:val="clear" w:color="auto" w:fill="auto"/>
            <w:noWrap/>
            <w:vAlign w:val="center"/>
          </w:tcPr>
          <w:p w14:paraId="6A0CC692">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63.13</w:t>
            </w:r>
          </w:p>
        </w:tc>
        <w:tc>
          <w:tcPr>
            <w:tcW w:w="166" w:type="pct"/>
            <w:tcBorders>
              <w:tl2br w:val="nil"/>
              <w:tr2bl w:val="nil"/>
            </w:tcBorders>
            <w:shd w:val="clear" w:color="auto" w:fill="auto"/>
            <w:noWrap/>
            <w:vAlign w:val="center"/>
          </w:tcPr>
          <w:p w14:paraId="0ECF261C">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63.08</w:t>
            </w:r>
          </w:p>
        </w:tc>
        <w:tc>
          <w:tcPr>
            <w:tcW w:w="168" w:type="pct"/>
            <w:tcBorders>
              <w:tl2br w:val="nil"/>
              <w:tr2bl w:val="nil"/>
            </w:tcBorders>
            <w:shd w:val="clear" w:color="auto" w:fill="auto"/>
            <w:noWrap/>
            <w:vAlign w:val="center"/>
          </w:tcPr>
          <w:p w14:paraId="7F6C8198">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63.08</w:t>
            </w:r>
          </w:p>
        </w:tc>
        <w:tc>
          <w:tcPr>
            <w:tcW w:w="161" w:type="pct"/>
            <w:vMerge w:val="continue"/>
            <w:tcBorders>
              <w:tl2br w:val="nil"/>
              <w:tr2bl w:val="nil"/>
            </w:tcBorders>
            <w:shd w:val="clear" w:color="auto" w:fill="auto"/>
            <w:vAlign w:val="center"/>
          </w:tcPr>
          <w:p w14:paraId="7B69B170">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p>
        </w:tc>
        <w:tc>
          <w:tcPr>
            <w:tcW w:w="227" w:type="pct"/>
            <w:tcBorders>
              <w:tl2br w:val="nil"/>
              <w:tr2bl w:val="nil"/>
            </w:tcBorders>
            <w:shd w:val="clear" w:color="auto" w:fill="auto"/>
            <w:vAlign w:val="center"/>
          </w:tcPr>
          <w:p w14:paraId="76B935F7">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21</w:t>
            </w:r>
          </w:p>
        </w:tc>
        <w:tc>
          <w:tcPr>
            <w:tcW w:w="162" w:type="pct"/>
            <w:tcBorders>
              <w:tl2br w:val="nil"/>
              <w:tr2bl w:val="nil"/>
            </w:tcBorders>
            <w:shd w:val="clear" w:color="auto" w:fill="auto"/>
            <w:noWrap/>
            <w:vAlign w:val="center"/>
          </w:tcPr>
          <w:p w14:paraId="4F8DD1DB">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42.08</w:t>
            </w:r>
          </w:p>
        </w:tc>
        <w:tc>
          <w:tcPr>
            <w:tcW w:w="162" w:type="pct"/>
            <w:tcBorders>
              <w:tl2br w:val="nil"/>
              <w:tr2bl w:val="nil"/>
            </w:tcBorders>
            <w:shd w:val="clear" w:color="auto" w:fill="auto"/>
            <w:noWrap/>
            <w:vAlign w:val="center"/>
          </w:tcPr>
          <w:p w14:paraId="08C3F0CE">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42.13</w:t>
            </w:r>
          </w:p>
        </w:tc>
        <w:tc>
          <w:tcPr>
            <w:tcW w:w="162" w:type="pct"/>
            <w:tcBorders>
              <w:tl2br w:val="nil"/>
              <w:tr2bl w:val="nil"/>
            </w:tcBorders>
            <w:shd w:val="clear" w:color="auto" w:fill="auto"/>
            <w:noWrap/>
            <w:vAlign w:val="center"/>
          </w:tcPr>
          <w:p w14:paraId="724E2A20">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42.08</w:t>
            </w:r>
          </w:p>
        </w:tc>
        <w:tc>
          <w:tcPr>
            <w:tcW w:w="188" w:type="pct"/>
            <w:tcBorders>
              <w:tl2br w:val="nil"/>
              <w:tr2bl w:val="nil"/>
            </w:tcBorders>
            <w:shd w:val="clear" w:color="auto" w:fill="auto"/>
            <w:noWrap/>
            <w:vAlign w:val="center"/>
          </w:tcPr>
          <w:p w14:paraId="06DCBD8A">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42.08</w:t>
            </w:r>
          </w:p>
        </w:tc>
        <w:tc>
          <w:tcPr>
            <w:tcW w:w="243" w:type="pct"/>
            <w:tcBorders>
              <w:tl2br w:val="nil"/>
              <w:tr2bl w:val="nil"/>
            </w:tcBorders>
            <w:shd w:val="clear" w:color="auto" w:fill="auto"/>
            <w:vAlign w:val="center"/>
          </w:tcPr>
          <w:p w14:paraId="329C985E">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1</w:t>
            </w:r>
          </w:p>
        </w:tc>
      </w:tr>
      <w:tr w14:paraId="7694A40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121" w:type="pct"/>
            <w:tcBorders>
              <w:tl2br w:val="nil"/>
              <w:tr2bl w:val="nil"/>
            </w:tcBorders>
            <w:shd w:val="clear" w:color="auto" w:fill="auto"/>
            <w:vAlign w:val="center"/>
          </w:tcPr>
          <w:p w14:paraId="55F36EA7">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17</w:t>
            </w:r>
          </w:p>
        </w:tc>
        <w:tc>
          <w:tcPr>
            <w:tcW w:w="366" w:type="pct"/>
            <w:vMerge w:val="continue"/>
            <w:tcBorders>
              <w:tl2br w:val="nil"/>
              <w:tr2bl w:val="nil"/>
            </w:tcBorders>
            <w:shd w:val="clear" w:color="auto" w:fill="auto"/>
            <w:vAlign w:val="center"/>
          </w:tcPr>
          <w:p w14:paraId="5231E670">
            <w:pPr>
              <w:jc w:val="center"/>
              <w:rPr>
                <w:rFonts w:hint="default" w:ascii="Times New Roman" w:hAnsi="Times New Roman" w:eastAsia="宋体" w:cs="Times New Roman"/>
                <w:i w:val="0"/>
                <w:iCs w:val="0"/>
                <w:color w:val="auto"/>
                <w:sz w:val="18"/>
                <w:szCs w:val="18"/>
                <w:highlight w:val="none"/>
                <w:u w:val="none"/>
              </w:rPr>
            </w:pPr>
          </w:p>
        </w:tc>
        <w:tc>
          <w:tcPr>
            <w:tcW w:w="523" w:type="pct"/>
            <w:tcBorders>
              <w:tl2br w:val="nil"/>
              <w:tr2bl w:val="nil"/>
            </w:tcBorders>
            <w:shd w:val="clear" w:color="auto" w:fill="auto"/>
            <w:vAlign w:val="center"/>
          </w:tcPr>
          <w:p w14:paraId="401D1A98">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电动对辊机（220V）</w:t>
            </w:r>
          </w:p>
        </w:tc>
        <w:tc>
          <w:tcPr>
            <w:tcW w:w="407" w:type="pct"/>
            <w:tcBorders>
              <w:tl2br w:val="nil"/>
              <w:tr2bl w:val="nil"/>
            </w:tcBorders>
            <w:shd w:val="clear" w:color="auto" w:fill="auto"/>
            <w:vAlign w:val="center"/>
          </w:tcPr>
          <w:p w14:paraId="63577BFF">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MSK-2150</w:t>
            </w:r>
          </w:p>
        </w:tc>
        <w:tc>
          <w:tcPr>
            <w:tcW w:w="268" w:type="pct"/>
            <w:tcBorders>
              <w:tl2br w:val="nil"/>
              <w:tr2bl w:val="nil"/>
            </w:tcBorders>
            <w:shd w:val="clear" w:color="auto" w:fill="auto"/>
            <w:vAlign w:val="center"/>
          </w:tcPr>
          <w:p w14:paraId="1BE55A85">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65</w:t>
            </w:r>
          </w:p>
        </w:tc>
        <w:tc>
          <w:tcPr>
            <w:tcW w:w="168" w:type="pct"/>
            <w:vMerge w:val="continue"/>
            <w:tcBorders>
              <w:tl2br w:val="nil"/>
              <w:tr2bl w:val="nil"/>
            </w:tcBorders>
            <w:shd w:val="clear" w:color="auto" w:fill="auto"/>
            <w:vAlign w:val="center"/>
          </w:tcPr>
          <w:p w14:paraId="652403B6">
            <w:pPr>
              <w:jc w:val="center"/>
              <w:rPr>
                <w:rFonts w:hint="default" w:ascii="Times New Roman" w:hAnsi="Times New Roman" w:eastAsia="宋体" w:cs="Times New Roman"/>
                <w:i w:val="0"/>
                <w:iCs w:val="0"/>
                <w:color w:val="auto"/>
                <w:sz w:val="18"/>
                <w:szCs w:val="18"/>
                <w:highlight w:val="none"/>
                <w:u w:val="none"/>
              </w:rPr>
            </w:pPr>
          </w:p>
        </w:tc>
        <w:tc>
          <w:tcPr>
            <w:tcW w:w="195" w:type="pct"/>
            <w:tcBorders>
              <w:tl2br w:val="nil"/>
              <w:tr2bl w:val="nil"/>
            </w:tcBorders>
            <w:shd w:val="clear" w:color="auto" w:fill="auto"/>
            <w:vAlign w:val="center"/>
          </w:tcPr>
          <w:p w14:paraId="397F8854">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-19.39</w:t>
            </w:r>
          </w:p>
        </w:tc>
        <w:tc>
          <w:tcPr>
            <w:tcW w:w="173" w:type="pct"/>
            <w:tcBorders>
              <w:tl2br w:val="nil"/>
              <w:tr2bl w:val="nil"/>
            </w:tcBorders>
            <w:shd w:val="clear" w:color="auto" w:fill="auto"/>
            <w:vAlign w:val="center"/>
          </w:tcPr>
          <w:p w14:paraId="73EC9213">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-5.22</w:t>
            </w:r>
          </w:p>
        </w:tc>
        <w:tc>
          <w:tcPr>
            <w:tcW w:w="131" w:type="pct"/>
            <w:tcBorders>
              <w:tl2br w:val="nil"/>
              <w:tr2bl w:val="nil"/>
            </w:tcBorders>
            <w:shd w:val="clear" w:color="auto" w:fill="auto"/>
            <w:vAlign w:val="center"/>
          </w:tcPr>
          <w:p w14:paraId="2946D316">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45</w:t>
            </w:r>
          </w:p>
        </w:tc>
        <w:tc>
          <w:tcPr>
            <w:tcW w:w="166" w:type="pct"/>
            <w:tcBorders>
              <w:tl2br w:val="nil"/>
              <w:tr2bl w:val="nil"/>
            </w:tcBorders>
            <w:shd w:val="clear" w:color="auto" w:fill="auto"/>
            <w:noWrap/>
            <w:vAlign w:val="center"/>
          </w:tcPr>
          <w:p w14:paraId="304F016B">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34.05</w:t>
            </w:r>
          </w:p>
        </w:tc>
        <w:tc>
          <w:tcPr>
            <w:tcW w:w="166" w:type="pct"/>
            <w:tcBorders>
              <w:tl2br w:val="nil"/>
              <w:tr2bl w:val="nil"/>
            </w:tcBorders>
            <w:shd w:val="clear" w:color="auto" w:fill="auto"/>
            <w:noWrap/>
            <w:vAlign w:val="center"/>
          </w:tcPr>
          <w:p w14:paraId="08E64699">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3.01</w:t>
            </w:r>
          </w:p>
        </w:tc>
        <w:tc>
          <w:tcPr>
            <w:tcW w:w="166" w:type="pct"/>
            <w:tcBorders>
              <w:tl2br w:val="nil"/>
              <w:tr2bl w:val="nil"/>
            </w:tcBorders>
            <w:shd w:val="clear" w:color="auto" w:fill="auto"/>
            <w:noWrap/>
            <w:vAlign w:val="center"/>
          </w:tcPr>
          <w:p w14:paraId="60B5C19D">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18.57</w:t>
            </w:r>
          </w:p>
        </w:tc>
        <w:tc>
          <w:tcPr>
            <w:tcW w:w="166" w:type="pct"/>
            <w:tcBorders>
              <w:tl2br w:val="nil"/>
              <w:tr2bl w:val="nil"/>
            </w:tcBorders>
            <w:shd w:val="clear" w:color="auto" w:fill="auto"/>
            <w:noWrap/>
            <w:vAlign w:val="center"/>
          </w:tcPr>
          <w:p w14:paraId="2BC0FA38">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22.96</w:t>
            </w:r>
          </w:p>
        </w:tc>
        <w:tc>
          <w:tcPr>
            <w:tcW w:w="166" w:type="pct"/>
            <w:tcBorders>
              <w:tl2br w:val="nil"/>
              <w:tr2bl w:val="nil"/>
            </w:tcBorders>
            <w:shd w:val="clear" w:color="auto" w:fill="auto"/>
            <w:noWrap/>
            <w:vAlign w:val="center"/>
          </w:tcPr>
          <w:p w14:paraId="22DFD0B2">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58.08</w:t>
            </w:r>
          </w:p>
        </w:tc>
        <w:tc>
          <w:tcPr>
            <w:tcW w:w="166" w:type="pct"/>
            <w:tcBorders>
              <w:tl2br w:val="nil"/>
              <w:tr2bl w:val="nil"/>
            </w:tcBorders>
            <w:shd w:val="clear" w:color="auto" w:fill="auto"/>
            <w:noWrap/>
            <w:vAlign w:val="center"/>
          </w:tcPr>
          <w:p w14:paraId="4D936280">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58.26</w:t>
            </w:r>
          </w:p>
        </w:tc>
        <w:tc>
          <w:tcPr>
            <w:tcW w:w="166" w:type="pct"/>
            <w:tcBorders>
              <w:tl2br w:val="nil"/>
              <w:tr2bl w:val="nil"/>
            </w:tcBorders>
            <w:shd w:val="clear" w:color="auto" w:fill="auto"/>
            <w:noWrap/>
            <w:vAlign w:val="center"/>
          </w:tcPr>
          <w:p w14:paraId="6D1BF83A">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58.08</w:t>
            </w:r>
          </w:p>
        </w:tc>
        <w:tc>
          <w:tcPr>
            <w:tcW w:w="168" w:type="pct"/>
            <w:tcBorders>
              <w:tl2br w:val="nil"/>
              <w:tr2bl w:val="nil"/>
            </w:tcBorders>
            <w:shd w:val="clear" w:color="auto" w:fill="auto"/>
            <w:noWrap/>
            <w:vAlign w:val="center"/>
          </w:tcPr>
          <w:p w14:paraId="74347511">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58.08</w:t>
            </w:r>
          </w:p>
        </w:tc>
        <w:tc>
          <w:tcPr>
            <w:tcW w:w="161" w:type="pct"/>
            <w:vMerge w:val="continue"/>
            <w:tcBorders>
              <w:tl2br w:val="nil"/>
              <w:tr2bl w:val="nil"/>
            </w:tcBorders>
            <w:shd w:val="clear" w:color="auto" w:fill="auto"/>
            <w:vAlign w:val="center"/>
          </w:tcPr>
          <w:p w14:paraId="6972D1F5">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p>
        </w:tc>
        <w:tc>
          <w:tcPr>
            <w:tcW w:w="227" w:type="pct"/>
            <w:tcBorders>
              <w:tl2br w:val="nil"/>
              <w:tr2bl w:val="nil"/>
            </w:tcBorders>
            <w:shd w:val="clear" w:color="auto" w:fill="auto"/>
            <w:vAlign w:val="center"/>
          </w:tcPr>
          <w:p w14:paraId="0F13C3B7">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21</w:t>
            </w:r>
          </w:p>
        </w:tc>
        <w:tc>
          <w:tcPr>
            <w:tcW w:w="162" w:type="pct"/>
            <w:tcBorders>
              <w:tl2br w:val="nil"/>
              <w:tr2bl w:val="nil"/>
            </w:tcBorders>
            <w:shd w:val="clear" w:color="auto" w:fill="auto"/>
            <w:noWrap/>
            <w:vAlign w:val="center"/>
          </w:tcPr>
          <w:p w14:paraId="5FE4E035">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37.08</w:t>
            </w:r>
          </w:p>
        </w:tc>
        <w:tc>
          <w:tcPr>
            <w:tcW w:w="162" w:type="pct"/>
            <w:tcBorders>
              <w:tl2br w:val="nil"/>
              <w:tr2bl w:val="nil"/>
            </w:tcBorders>
            <w:shd w:val="clear" w:color="auto" w:fill="auto"/>
            <w:noWrap/>
            <w:vAlign w:val="center"/>
          </w:tcPr>
          <w:p w14:paraId="56456F25">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37.26</w:t>
            </w:r>
          </w:p>
        </w:tc>
        <w:tc>
          <w:tcPr>
            <w:tcW w:w="162" w:type="pct"/>
            <w:tcBorders>
              <w:tl2br w:val="nil"/>
              <w:tr2bl w:val="nil"/>
            </w:tcBorders>
            <w:shd w:val="clear" w:color="auto" w:fill="auto"/>
            <w:noWrap/>
            <w:vAlign w:val="center"/>
          </w:tcPr>
          <w:p w14:paraId="03B1362D">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37.08</w:t>
            </w:r>
          </w:p>
        </w:tc>
        <w:tc>
          <w:tcPr>
            <w:tcW w:w="188" w:type="pct"/>
            <w:tcBorders>
              <w:tl2br w:val="nil"/>
              <w:tr2bl w:val="nil"/>
            </w:tcBorders>
            <w:shd w:val="clear" w:color="auto" w:fill="auto"/>
            <w:noWrap/>
            <w:vAlign w:val="center"/>
          </w:tcPr>
          <w:p w14:paraId="47032681">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37.08</w:t>
            </w:r>
          </w:p>
        </w:tc>
        <w:tc>
          <w:tcPr>
            <w:tcW w:w="243" w:type="pct"/>
            <w:tcBorders>
              <w:tl2br w:val="nil"/>
              <w:tr2bl w:val="nil"/>
            </w:tcBorders>
            <w:shd w:val="clear" w:color="auto" w:fill="auto"/>
            <w:vAlign w:val="center"/>
          </w:tcPr>
          <w:p w14:paraId="5E8CDEC6">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1</w:t>
            </w:r>
          </w:p>
        </w:tc>
      </w:tr>
      <w:tr w14:paraId="5ACF999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3" w:hRule="atLeast"/>
        </w:trPr>
        <w:tc>
          <w:tcPr>
            <w:tcW w:w="121" w:type="pct"/>
            <w:tcBorders>
              <w:tl2br w:val="nil"/>
              <w:tr2bl w:val="nil"/>
            </w:tcBorders>
            <w:shd w:val="clear" w:color="auto" w:fill="auto"/>
            <w:vAlign w:val="center"/>
          </w:tcPr>
          <w:p w14:paraId="2B224844">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18</w:t>
            </w:r>
          </w:p>
        </w:tc>
        <w:tc>
          <w:tcPr>
            <w:tcW w:w="366" w:type="pct"/>
            <w:vMerge w:val="continue"/>
            <w:tcBorders>
              <w:tl2br w:val="nil"/>
              <w:tr2bl w:val="nil"/>
            </w:tcBorders>
            <w:shd w:val="clear" w:color="auto" w:fill="auto"/>
            <w:vAlign w:val="center"/>
          </w:tcPr>
          <w:p w14:paraId="793B2D75">
            <w:pPr>
              <w:jc w:val="center"/>
              <w:rPr>
                <w:rFonts w:hint="default" w:ascii="Times New Roman" w:hAnsi="Times New Roman" w:eastAsia="宋体" w:cs="Times New Roman"/>
                <w:i w:val="0"/>
                <w:iCs w:val="0"/>
                <w:color w:val="auto"/>
                <w:sz w:val="18"/>
                <w:szCs w:val="18"/>
                <w:highlight w:val="none"/>
                <w:u w:val="none"/>
              </w:rPr>
            </w:pPr>
          </w:p>
        </w:tc>
        <w:tc>
          <w:tcPr>
            <w:tcW w:w="523" w:type="pct"/>
            <w:tcBorders>
              <w:tl2br w:val="nil"/>
              <w:tr2bl w:val="nil"/>
            </w:tcBorders>
            <w:shd w:val="clear" w:color="auto" w:fill="auto"/>
            <w:vAlign w:val="center"/>
          </w:tcPr>
          <w:p w14:paraId="34CE0D5B">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真空干燥箱</w:t>
            </w:r>
          </w:p>
        </w:tc>
        <w:tc>
          <w:tcPr>
            <w:tcW w:w="407" w:type="pct"/>
            <w:tcBorders>
              <w:tl2br w:val="nil"/>
              <w:tr2bl w:val="nil"/>
            </w:tcBorders>
            <w:shd w:val="clear" w:color="auto" w:fill="auto"/>
            <w:vAlign w:val="center"/>
          </w:tcPr>
          <w:p w14:paraId="7588A1E5">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DZF-6020</w:t>
            </w:r>
          </w:p>
        </w:tc>
        <w:tc>
          <w:tcPr>
            <w:tcW w:w="268" w:type="pct"/>
            <w:tcBorders>
              <w:tl2br w:val="nil"/>
              <w:tr2bl w:val="nil"/>
            </w:tcBorders>
            <w:shd w:val="clear" w:color="auto" w:fill="auto"/>
            <w:vAlign w:val="center"/>
          </w:tcPr>
          <w:p w14:paraId="145B15D0">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70</w:t>
            </w:r>
          </w:p>
        </w:tc>
        <w:tc>
          <w:tcPr>
            <w:tcW w:w="168" w:type="pct"/>
            <w:vMerge w:val="continue"/>
            <w:tcBorders>
              <w:tl2br w:val="nil"/>
              <w:tr2bl w:val="nil"/>
            </w:tcBorders>
            <w:shd w:val="clear" w:color="auto" w:fill="auto"/>
            <w:vAlign w:val="center"/>
          </w:tcPr>
          <w:p w14:paraId="675BE1B7">
            <w:pPr>
              <w:jc w:val="center"/>
              <w:rPr>
                <w:rFonts w:hint="default" w:ascii="Times New Roman" w:hAnsi="Times New Roman" w:eastAsia="宋体" w:cs="Times New Roman"/>
                <w:i w:val="0"/>
                <w:iCs w:val="0"/>
                <w:color w:val="auto"/>
                <w:sz w:val="18"/>
                <w:szCs w:val="18"/>
                <w:highlight w:val="none"/>
                <w:u w:val="none"/>
              </w:rPr>
            </w:pPr>
          </w:p>
        </w:tc>
        <w:tc>
          <w:tcPr>
            <w:tcW w:w="195" w:type="pct"/>
            <w:tcBorders>
              <w:tl2br w:val="nil"/>
              <w:tr2bl w:val="nil"/>
            </w:tcBorders>
            <w:shd w:val="clear" w:color="auto" w:fill="auto"/>
            <w:vAlign w:val="center"/>
          </w:tcPr>
          <w:p w14:paraId="0BF4C71B">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-22.52</w:t>
            </w:r>
          </w:p>
        </w:tc>
        <w:tc>
          <w:tcPr>
            <w:tcW w:w="173" w:type="pct"/>
            <w:tcBorders>
              <w:tl2br w:val="nil"/>
              <w:tr2bl w:val="nil"/>
            </w:tcBorders>
            <w:shd w:val="clear" w:color="auto" w:fill="auto"/>
            <w:vAlign w:val="center"/>
          </w:tcPr>
          <w:p w14:paraId="1D7E51B1">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-3.7</w:t>
            </w:r>
          </w:p>
        </w:tc>
        <w:tc>
          <w:tcPr>
            <w:tcW w:w="131" w:type="pct"/>
            <w:tcBorders>
              <w:tl2br w:val="nil"/>
              <w:tr2bl w:val="nil"/>
            </w:tcBorders>
            <w:shd w:val="clear" w:color="auto" w:fill="auto"/>
            <w:vAlign w:val="center"/>
          </w:tcPr>
          <w:p w14:paraId="020B4AEC">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45</w:t>
            </w:r>
          </w:p>
        </w:tc>
        <w:tc>
          <w:tcPr>
            <w:tcW w:w="166" w:type="pct"/>
            <w:tcBorders>
              <w:tl2br w:val="nil"/>
              <w:tr2bl w:val="nil"/>
            </w:tcBorders>
            <w:shd w:val="clear" w:color="auto" w:fill="auto"/>
            <w:noWrap/>
            <w:vAlign w:val="center"/>
          </w:tcPr>
          <w:p w14:paraId="498AD416">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31.49</w:t>
            </w:r>
          </w:p>
        </w:tc>
        <w:tc>
          <w:tcPr>
            <w:tcW w:w="166" w:type="pct"/>
            <w:tcBorders>
              <w:tl2br w:val="nil"/>
              <w:tr2bl w:val="nil"/>
            </w:tcBorders>
            <w:shd w:val="clear" w:color="auto" w:fill="auto"/>
            <w:noWrap/>
            <w:vAlign w:val="center"/>
          </w:tcPr>
          <w:p w14:paraId="087A98E6">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5.41</w:t>
            </w:r>
          </w:p>
        </w:tc>
        <w:tc>
          <w:tcPr>
            <w:tcW w:w="166" w:type="pct"/>
            <w:tcBorders>
              <w:tl2br w:val="nil"/>
              <w:tr2bl w:val="nil"/>
            </w:tcBorders>
            <w:shd w:val="clear" w:color="auto" w:fill="auto"/>
            <w:noWrap/>
            <w:vAlign w:val="center"/>
          </w:tcPr>
          <w:p w14:paraId="6ED8F43C">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21.09</w:t>
            </w:r>
          </w:p>
        </w:tc>
        <w:tc>
          <w:tcPr>
            <w:tcW w:w="166" w:type="pct"/>
            <w:tcBorders>
              <w:tl2br w:val="nil"/>
              <w:tr2bl w:val="nil"/>
            </w:tcBorders>
            <w:shd w:val="clear" w:color="auto" w:fill="auto"/>
            <w:noWrap/>
            <w:vAlign w:val="center"/>
          </w:tcPr>
          <w:p w14:paraId="4F6E0AE9">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20.57</w:t>
            </w:r>
          </w:p>
        </w:tc>
        <w:tc>
          <w:tcPr>
            <w:tcW w:w="166" w:type="pct"/>
            <w:tcBorders>
              <w:tl2br w:val="nil"/>
              <w:tr2bl w:val="nil"/>
            </w:tcBorders>
            <w:shd w:val="clear" w:color="auto" w:fill="auto"/>
            <w:noWrap/>
            <w:vAlign w:val="center"/>
          </w:tcPr>
          <w:p w14:paraId="5AD9F510">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63.08</w:t>
            </w:r>
          </w:p>
        </w:tc>
        <w:tc>
          <w:tcPr>
            <w:tcW w:w="166" w:type="pct"/>
            <w:tcBorders>
              <w:tl2br w:val="nil"/>
              <w:tr2bl w:val="nil"/>
            </w:tcBorders>
            <w:shd w:val="clear" w:color="auto" w:fill="auto"/>
            <w:noWrap/>
            <w:vAlign w:val="center"/>
          </w:tcPr>
          <w:p w14:paraId="4A451715">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63.13</w:t>
            </w:r>
          </w:p>
        </w:tc>
        <w:tc>
          <w:tcPr>
            <w:tcW w:w="166" w:type="pct"/>
            <w:tcBorders>
              <w:tl2br w:val="nil"/>
              <w:tr2bl w:val="nil"/>
            </w:tcBorders>
            <w:shd w:val="clear" w:color="auto" w:fill="auto"/>
            <w:noWrap/>
            <w:vAlign w:val="center"/>
          </w:tcPr>
          <w:p w14:paraId="25D20A9F">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63.08</w:t>
            </w:r>
          </w:p>
        </w:tc>
        <w:tc>
          <w:tcPr>
            <w:tcW w:w="168" w:type="pct"/>
            <w:tcBorders>
              <w:tl2br w:val="nil"/>
              <w:tr2bl w:val="nil"/>
            </w:tcBorders>
            <w:shd w:val="clear" w:color="auto" w:fill="auto"/>
            <w:noWrap/>
            <w:vAlign w:val="center"/>
          </w:tcPr>
          <w:p w14:paraId="1EDCD13A">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63.08</w:t>
            </w:r>
          </w:p>
        </w:tc>
        <w:tc>
          <w:tcPr>
            <w:tcW w:w="161" w:type="pct"/>
            <w:vMerge w:val="continue"/>
            <w:tcBorders>
              <w:tl2br w:val="nil"/>
              <w:tr2bl w:val="nil"/>
            </w:tcBorders>
            <w:shd w:val="clear" w:color="auto" w:fill="auto"/>
            <w:vAlign w:val="center"/>
          </w:tcPr>
          <w:p w14:paraId="6CB749EA">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p>
        </w:tc>
        <w:tc>
          <w:tcPr>
            <w:tcW w:w="227" w:type="pct"/>
            <w:tcBorders>
              <w:tl2br w:val="nil"/>
              <w:tr2bl w:val="nil"/>
            </w:tcBorders>
            <w:shd w:val="clear" w:color="auto" w:fill="auto"/>
            <w:vAlign w:val="center"/>
          </w:tcPr>
          <w:p w14:paraId="616CD2CA">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21</w:t>
            </w:r>
          </w:p>
        </w:tc>
        <w:tc>
          <w:tcPr>
            <w:tcW w:w="162" w:type="pct"/>
            <w:tcBorders>
              <w:tl2br w:val="nil"/>
              <w:tr2bl w:val="nil"/>
            </w:tcBorders>
            <w:shd w:val="clear" w:color="auto" w:fill="auto"/>
            <w:noWrap/>
            <w:vAlign w:val="center"/>
          </w:tcPr>
          <w:p w14:paraId="2BE232DB">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42.08</w:t>
            </w:r>
          </w:p>
        </w:tc>
        <w:tc>
          <w:tcPr>
            <w:tcW w:w="162" w:type="pct"/>
            <w:tcBorders>
              <w:tl2br w:val="nil"/>
              <w:tr2bl w:val="nil"/>
            </w:tcBorders>
            <w:shd w:val="clear" w:color="auto" w:fill="auto"/>
            <w:noWrap/>
            <w:vAlign w:val="center"/>
          </w:tcPr>
          <w:p w14:paraId="09283FF1">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42.13</w:t>
            </w:r>
          </w:p>
        </w:tc>
        <w:tc>
          <w:tcPr>
            <w:tcW w:w="162" w:type="pct"/>
            <w:tcBorders>
              <w:tl2br w:val="nil"/>
              <w:tr2bl w:val="nil"/>
            </w:tcBorders>
            <w:shd w:val="clear" w:color="auto" w:fill="auto"/>
            <w:noWrap/>
            <w:vAlign w:val="center"/>
          </w:tcPr>
          <w:p w14:paraId="15EA5839">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42.08</w:t>
            </w:r>
          </w:p>
        </w:tc>
        <w:tc>
          <w:tcPr>
            <w:tcW w:w="188" w:type="pct"/>
            <w:tcBorders>
              <w:tl2br w:val="nil"/>
              <w:tr2bl w:val="nil"/>
            </w:tcBorders>
            <w:shd w:val="clear" w:color="auto" w:fill="auto"/>
            <w:noWrap/>
            <w:vAlign w:val="center"/>
          </w:tcPr>
          <w:p w14:paraId="6761D232">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42.08</w:t>
            </w:r>
          </w:p>
        </w:tc>
        <w:tc>
          <w:tcPr>
            <w:tcW w:w="243" w:type="pct"/>
            <w:tcBorders>
              <w:tl2br w:val="nil"/>
              <w:tr2bl w:val="nil"/>
            </w:tcBorders>
            <w:shd w:val="clear" w:color="auto" w:fill="auto"/>
            <w:vAlign w:val="center"/>
          </w:tcPr>
          <w:p w14:paraId="099012A8">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1</w:t>
            </w:r>
          </w:p>
        </w:tc>
      </w:tr>
      <w:tr w14:paraId="37D5490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121" w:type="pct"/>
            <w:tcBorders>
              <w:tl2br w:val="nil"/>
              <w:tr2bl w:val="nil"/>
            </w:tcBorders>
            <w:shd w:val="clear" w:color="auto" w:fill="auto"/>
            <w:vAlign w:val="center"/>
          </w:tcPr>
          <w:p w14:paraId="5D1A1304">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19</w:t>
            </w:r>
          </w:p>
        </w:tc>
        <w:tc>
          <w:tcPr>
            <w:tcW w:w="366" w:type="pct"/>
            <w:vMerge w:val="continue"/>
            <w:tcBorders>
              <w:tl2br w:val="nil"/>
              <w:tr2bl w:val="nil"/>
            </w:tcBorders>
            <w:shd w:val="clear" w:color="auto" w:fill="auto"/>
            <w:vAlign w:val="center"/>
          </w:tcPr>
          <w:p w14:paraId="36D12557">
            <w:pPr>
              <w:jc w:val="center"/>
              <w:rPr>
                <w:rFonts w:hint="default" w:ascii="Times New Roman" w:hAnsi="Times New Roman" w:eastAsia="宋体" w:cs="Times New Roman"/>
                <w:i w:val="0"/>
                <w:iCs w:val="0"/>
                <w:color w:val="auto"/>
                <w:sz w:val="18"/>
                <w:szCs w:val="18"/>
                <w:highlight w:val="none"/>
                <w:u w:val="none"/>
              </w:rPr>
            </w:pPr>
          </w:p>
        </w:tc>
        <w:tc>
          <w:tcPr>
            <w:tcW w:w="523" w:type="pct"/>
            <w:tcBorders>
              <w:tl2br w:val="nil"/>
              <w:tr2bl w:val="nil"/>
            </w:tcBorders>
            <w:shd w:val="clear" w:color="auto" w:fill="auto"/>
            <w:vAlign w:val="center"/>
          </w:tcPr>
          <w:p w14:paraId="174B9D35">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鼓风干燥箱</w:t>
            </w:r>
          </w:p>
        </w:tc>
        <w:tc>
          <w:tcPr>
            <w:tcW w:w="407" w:type="pct"/>
            <w:tcBorders>
              <w:tl2br w:val="nil"/>
              <w:tr2bl w:val="nil"/>
            </w:tcBorders>
            <w:shd w:val="clear" w:color="auto" w:fill="auto"/>
            <w:vAlign w:val="center"/>
          </w:tcPr>
          <w:p w14:paraId="5FF2E593">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DHG-9240A</w:t>
            </w:r>
          </w:p>
        </w:tc>
        <w:tc>
          <w:tcPr>
            <w:tcW w:w="268" w:type="pct"/>
            <w:tcBorders>
              <w:tl2br w:val="nil"/>
              <w:tr2bl w:val="nil"/>
            </w:tcBorders>
            <w:shd w:val="clear" w:color="auto" w:fill="auto"/>
            <w:vAlign w:val="center"/>
          </w:tcPr>
          <w:p w14:paraId="620EC1A0">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70</w:t>
            </w:r>
          </w:p>
        </w:tc>
        <w:tc>
          <w:tcPr>
            <w:tcW w:w="168" w:type="pct"/>
            <w:vMerge w:val="continue"/>
            <w:tcBorders>
              <w:tl2br w:val="nil"/>
              <w:tr2bl w:val="nil"/>
            </w:tcBorders>
            <w:shd w:val="clear" w:color="auto" w:fill="auto"/>
            <w:vAlign w:val="center"/>
          </w:tcPr>
          <w:p w14:paraId="508EA653">
            <w:pPr>
              <w:jc w:val="center"/>
              <w:rPr>
                <w:rFonts w:hint="default" w:ascii="Times New Roman" w:hAnsi="Times New Roman" w:eastAsia="宋体" w:cs="Times New Roman"/>
                <w:i w:val="0"/>
                <w:iCs w:val="0"/>
                <w:color w:val="auto"/>
                <w:sz w:val="18"/>
                <w:szCs w:val="18"/>
                <w:highlight w:val="none"/>
                <w:u w:val="none"/>
              </w:rPr>
            </w:pPr>
          </w:p>
        </w:tc>
        <w:tc>
          <w:tcPr>
            <w:tcW w:w="195" w:type="pct"/>
            <w:tcBorders>
              <w:tl2br w:val="nil"/>
              <w:tr2bl w:val="nil"/>
            </w:tcBorders>
            <w:shd w:val="clear" w:color="auto" w:fill="auto"/>
            <w:vAlign w:val="center"/>
          </w:tcPr>
          <w:p w14:paraId="2D237680">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-21.77</w:t>
            </w:r>
          </w:p>
        </w:tc>
        <w:tc>
          <w:tcPr>
            <w:tcW w:w="173" w:type="pct"/>
            <w:tcBorders>
              <w:tl2br w:val="nil"/>
              <w:tr2bl w:val="nil"/>
            </w:tcBorders>
            <w:shd w:val="clear" w:color="auto" w:fill="auto"/>
            <w:vAlign w:val="center"/>
          </w:tcPr>
          <w:p w14:paraId="00B0CF60">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-6.05</w:t>
            </w:r>
          </w:p>
        </w:tc>
        <w:tc>
          <w:tcPr>
            <w:tcW w:w="131" w:type="pct"/>
            <w:tcBorders>
              <w:tl2br w:val="nil"/>
              <w:tr2bl w:val="nil"/>
            </w:tcBorders>
            <w:shd w:val="clear" w:color="auto" w:fill="auto"/>
            <w:vAlign w:val="center"/>
          </w:tcPr>
          <w:p w14:paraId="455FBB9C">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45</w:t>
            </w:r>
          </w:p>
        </w:tc>
        <w:tc>
          <w:tcPr>
            <w:tcW w:w="166" w:type="pct"/>
            <w:tcBorders>
              <w:tl2br w:val="nil"/>
              <w:tr2bl w:val="nil"/>
            </w:tcBorders>
            <w:shd w:val="clear" w:color="auto" w:fill="auto"/>
            <w:noWrap/>
            <w:vAlign w:val="center"/>
          </w:tcPr>
          <w:p w14:paraId="1CB86AEB">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31.53</w:t>
            </w:r>
          </w:p>
        </w:tc>
        <w:tc>
          <w:tcPr>
            <w:tcW w:w="166" w:type="pct"/>
            <w:tcBorders>
              <w:tl2br w:val="nil"/>
              <w:tr2bl w:val="nil"/>
            </w:tcBorders>
            <w:shd w:val="clear" w:color="auto" w:fill="auto"/>
            <w:noWrap/>
            <w:vAlign w:val="center"/>
          </w:tcPr>
          <w:p w14:paraId="03381682">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2.95</w:t>
            </w:r>
          </w:p>
        </w:tc>
        <w:tc>
          <w:tcPr>
            <w:tcW w:w="166" w:type="pct"/>
            <w:tcBorders>
              <w:tl2br w:val="nil"/>
              <w:tr2bl w:val="nil"/>
            </w:tcBorders>
            <w:shd w:val="clear" w:color="auto" w:fill="auto"/>
            <w:noWrap/>
            <w:vAlign w:val="center"/>
          </w:tcPr>
          <w:p w14:paraId="48A0E398">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21.09</w:t>
            </w:r>
          </w:p>
        </w:tc>
        <w:tc>
          <w:tcPr>
            <w:tcW w:w="166" w:type="pct"/>
            <w:tcBorders>
              <w:tl2br w:val="nil"/>
              <w:tr2bl w:val="nil"/>
            </w:tcBorders>
            <w:shd w:val="clear" w:color="auto" w:fill="auto"/>
            <w:noWrap/>
            <w:vAlign w:val="center"/>
          </w:tcPr>
          <w:p w14:paraId="63439D6B">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23.04</w:t>
            </w:r>
          </w:p>
        </w:tc>
        <w:tc>
          <w:tcPr>
            <w:tcW w:w="166" w:type="pct"/>
            <w:tcBorders>
              <w:tl2br w:val="nil"/>
              <w:tr2bl w:val="nil"/>
            </w:tcBorders>
            <w:shd w:val="clear" w:color="auto" w:fill="auto"/>
            <w:noWrap/>
            <w:vAlign w:val="center"/>
          </w:tcPr>
          <w:p w14:paraId="0F002E8D">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63.08</w:t>
            </w:r>
          </w:p>
        </w:tc>
        <w:tc>
          <w:tcPr>
            <w:tcW w:w="166" w:type="pct"/>
            <w:tcBorders>
              <w:tl2br w:val="nil"/>
              <w:tr2bl w:val="nil"/>
            </w:tcBorders>
            <w:shd w:val="clear" w:color="auto" w:fill="auto"/>
            <w:noWrap/>
            <w:vAlign w:val="center"/>
          </w:tcPr>
          <w:p w14:paraId="4AD14AE8">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63.27</w:t>
            </w:r>
          </w:p>
        </w:tc>
        <w:tc>
          <w:tcPr>
            <w:tcW w:w="166" w:type="pct"/>
            <w:tcBorders>
              <w:tl2br w:val="nil"/>
              <w:tr2bl w:val="nil"/>
            </w:tcBorders>
            <w:shd w:val="clear" w:color="auto" w:fill="auto"/>
            <w:noWrap/>
            <w:vAlign w:val="center"/>
          </w:tcPr>
          <w:p w14:paraId="7433B30B">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63.08</w:t>
            </w:r>
          </w:p>
        </w:tc>
        <w:tc>
          <w:tcPr>
            <w:tcW w:w="168" w:type="pct"/>
            <w:tcBorders>
              <w:tl2br w:val="nil"/>
              <w:tr2bl w:val="nil"/>
            </w:tcBorders>
            <w:shd w:val="clear" w:color="auto" w:fill="auto"/>
            <w:noWrap/>
            <w:vAlign w:val="center"/>
          </w:tcPr>
          <w:p w14:paraId="5EC0CDF1">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63.08</w:t>
            </w:r>
          </w:p>
        </w:tc>
        <w:tc>
          <w:tcPr>
            <w:tcW w:w="161" w:type="pct"/>
            <w:vMerge w:val="continue"/>
            <w:tcBorders>
              <w:tl2br w:val="nil"/>
              <w:tr2bl w:val="nil"/>
            </w:tcBorders>
            <w:shd w:val="clear" w:color="auto" w:fill="auto"/>
            <w:vAlign w:val="center"/>
          </w:tcPr>
          <w:p w14:paraId="33037BC6">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p>
        </w:tc>
        <w:tc>
          <w:tcPr>
            <w:tcW w:w="227" w:type="pct"/>
            <w:tcBorders>
              <w:tl2br w:val="nil"/>
              <w:tr2bl w:val="nil"/>
            </w:tcBorders>
            <w:shd w:val="clear" w:color="auto" w:fill="auto"/>
            <w:vAlign w:val="center"/>
          </w:tcPr>
          <w:p w14:paraId="7D4609A5">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21</w:t>
            </w:r>
          </w:p>
        </w:tc>
        <w:tc>
          <w:tcPr>
            <w:tcW w:w="162" w:type="pct"/>
            <w:tcBorders>
              <w:tl2br w:val="nil"/>
              <w:tr2bl w:val="nil"/>
            </w:tcBorders>
            <w:shd w:val="clear" w:color="auto" w:fill="auto"/>
            <w:noWrap/>
            <w:vAlign w:val="center"/>
          </w:tcPr>
          <w:p w14:paraId="07617230">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42.08</w:t>
            </w:r>
          </w:p>
        </w:tc>
        <w:tc>
          <w:tcPr>
            <w:tcW w:w="162" w:type="pct"/>
            <w:tcBorders>
              <w:tl2br w:val="nil"/>
              <w:tr2bl w:val="nil"/>
            </w:tcBorders>
            <w:shd w:val="clear" w:color="auto" w:fill="auto"/>
            <w:noWrap/>
            <w:vAlign w:val="center"/>
          </w:tcPr>
          <w:p w14:paraId="6A2A46B5">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42.27</w:t>
            </w:r>
          </w:p>
        </w:tc>
        <w:tc>
          <w:tcPr>
            <w:tcW w:w="162" w:type="pct"/>
            <w:tcBorders>
              <w:tl2br w:val="nil"/>
              <w:tr2bl w:val="nil"/>
            </w:tcBorders>
            <w:shd w:val="clear" w:color="auto" w:fill="auto"/>
            <w:noWrap/>
            <w:vAlign w:val="center"/>
          </w:tcPr>
          <w:p w14:paraId="0DD77406">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42.08</w:t>
            </w:r>
          </w:p>
        </w:tc>
        <w:tc>
          <w:tcPr>
            <w:tcW w:w="188" w:type="pct"/>
            <w:tcBorders>
              <w:tl2br w:val="nil"/>
              <w:tr2bl w:val="nil"/>
            </w:tcBorders>
            <w:shd w:val="clear" w:color="auto" w:fill="auto"/>
            <w:noWrap/>
            <w:vAlign w:val="center"/>
          </w:tcPr>
          <w:p w14:paraId="4A1F5109">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42.08</w:t>
            </w:r>
          </w:p>
        </w:tc>
        <w:tc>
          <w:tcPr>
            <w:tcW w:w="243" w:type="pct"/>
            <w:tcBorders>
              <w:tl2br w:val="nil"/>
              <w:tr2bl w:val="nil"/>
            </w:tcBorders>
            <w:shd w:val="clear" w:color="auto" w:fill="auto"/>
            <w:vAlign w:val="center"/>
          </w:tcPr>
          <w:p w14:paraId="53378AF9">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1</w:t>
            </w:r>
          </w:p>
        </w:tc>
      </w:tr>
      <w:tr w14:paraId="3501ED0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121" w:type="pct"/>
            <w:tcBorders>
              <w:tl2br w:val="nil"/>
              <w:tr2bl w:val="nil"/>
            </w:tcBorders>
            <w:shd w:val="clear" w:color="auto" w:fill="auto"/>
            <w:vAlign w:val="center"/>
          </w:tcPr>
          <w:p w14:paraId="531CFBB6">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20</w:t>
            </w:r>
          </w:p>
        </w:tc>
        <w:tc>
          <w:tcPr>
            <w:tcW w:w="366" w:type="pct"/>
            <w:vMerge w:val="continue"/>
            <w:tcBorders>
              <w:tl2br w:val="nil"/>
              <w:tr2bl w:val="nil"/>
            </w:tcBorders>
            <w:shd w:val="clear" w:color="auto" w:fill="auto"/>
            <w:vAlign w:val="center"/>
          </w:tcPr>
          <w:p w14:paraId="63EC4645">
            <w:pPr>
              <w:jc w:val="center"/>
              <w:rPr>
                <w:rFonts w:hint="default" w:ascii="Times New Roman" w:hAnsi="Times New Roman" w:eastAsia="宋体" w:cs="Times New Roman"/>
                <w:i w:val="0"/>
                <w:iCs w:val="0"/>
                <w:color w:val="auto"/>
                <w:sz w:val="18"/>
                <w:szCs w:val="18"/>
                <w:highlight w:val="none"/>
                <w:u w:val="none"/>
              </w:rPr>
            </w:pPr>
          </w:p>
        </w:tc>
        <w:tc>
          <w:tcPr>
            <w:tcW w:w="523" w:type="pct"/>
            <w:tcBorders>
              <w:tl2br w:val="nil"/>
              <w:tr2bl w:val="nil"/>
            </w:tcBorders>
            <w:shd w:val="clear" w:color="auto" w:fill="auto"/>
            <w:vAlign w:val="center"/>
          </w:tcPr>
          <w:p w14:paraId="463B10DF">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离心机</w:t>
            </w:r>
          </w:p>
        </w:tc>
        <w:tc>
          <w:tcPr>
            <w:tcW w:w="407" w:type="pct"/>
            <w:tcBorders>
              <w:tl2br w:val="nil"/>
              <w:tr2bl w:val="nil"/>
            </w:tcBorders>
            <w:shd w:val="clear" w:color="auto" w:fill="auto"/>
            <w:vAlign w:val="center"/>
          </w:tcPr>
          <w:p w14:paraId="6A9BF9A6">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MSK-PCE-V2300</w:t>
            </w:r>
          </w:p>
        </w:tc>
        <w:tc>
          <w:tcPr>
            <w:tcW w:w="268" w:type="pct"/>
            <w:tcBorders>
              <w:tl2br w:val="nil"/>
              <w:tr2bl w:val="nil"/>
            </w:tcBorders>
            <w:shd w:val="clear" w:color="auto" w:fill="auto"/>
            <w:vAlign w:val="center"/>
          </w:tcPr>
          <w:p w14:paraId="003E76CF">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70</w:t>
            </w:r>
          </w:p>
        </w:tc>
        <w:tc>
          <w:tcPr>
            <w:tcW w:w="168" w:type="pct"/>
            <w:vMerge w:val="continue"/>
            <w:tcBorders>
              <w:tl2br w:val="nil"/>
              <w:tr2bl w:val="nil"/>
            </w:tcBorders>
            <w:shd w:val="clear" w:color="auto" w:fill="auto"/>
            <w:vAlign w:val="center"/>
          </w:tcPr>
          <w:p w14:paraId="24F41DB7">
            <w:pPr>
              <w:jc w:val="center"/>
              <w:rPr>
                <w:rFonts w:hint="default" w:ascii="Times New Roman" w:hAnsi="Times New Roman" w:eastAsia="宋体" w:cs="Times New Roman"/>
                <w:i w:val="0"/>
                <w:iCs w:val="0"/>
                <w:color w:val="auto"/>
                <w:sz w:val="18"/>
                <w:szCs w:val="18"/>
                <w:highlight w:val="none"/>
                <w:u w:val="none"/>
              </w:rPr>
            </w:pPr>
          </w:p>
        </w:tc>
        <w:tc>
          <w:tcPr>
            <w:tcW w:w="195" w:type="pct"/>
            <w:tcBorders>
              <w:tl2br w:val="nil"/>
              <w:tr2bl w:val="nil"/>
            </w:tcBorders>
            <w:shd w:val="clear" w:color="auto" w:fill="auto"/>
            <w:vAlign w:val="center"/>
          </w:tcPr>
          <w:p w14:paraId="448A83C3">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-21.53</w:t>
            </w:r>
          </w:p>
        </w:tc>
        <w:tc>
          <w:tcPr>
            <w:tcW w:w="173" w:type="pct"/>
            <w:tcBorders>
              <w:tl2br w:val="nil"/>
              <w:tr2bl w:val="nil"/>
            </w:tcBorders>
            <w:shd w:val="clear" w:color="auto" w:fill="auto"/>
            <w:vAlign w:val="center"/>
          </w:tcPr>
          <w:p w14:paraId="3E3C0958">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-3.38</w:t>
            </w:r>
          </w:p>
        </w:tc>
        <w:tc>
          <w:tcPr>
            <w:tcW w:w="131" w:type="pct"/>
            <w:tcBorders>
              <w:tl2br w:val="nil"/>
              <w:tr2bl w:val="nil"/>
            </w:tcBorders>
            <w:shd w:val="clear" w:color="auto" w:fill="auto"/>
            <w:vAlign w:val="center"/>
          </w:tcPr>
          <w:p w14:paraId="42A2456F">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45</w:t>
            </w:r>
          </w:p>
        </w:tc>
        <w:tc>
          <w:tcPr>
            <w:tcW w:w="166" w:type="pct"/>
            <w:tcBorders>
              <w:tl2br w:val="nil"/>
              <w:tr2bl w:val="nil"/>
            </w:tcBorders>
            <w:shd w:val="clear" w:color="auto" w:fill="auto"/>
            <w:noWrap/>
            <w:vAlign w:val="center"/>
          </w:tcPr>
          <w:p w14:paraId="102F02DB">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32.53</w:t>
            </w:r>
          </w:p>
        </w:tc>
        <w:tc>
          <w:tcPr>
            <w:tcW w:w="166" w:type="pct"/>
            <w:tcBorders>
              <w:tl2br w:val="nil"/>
              <w:tr2bl w:val="nil"/>
            </w:tcBorders>
            <w:shd w:val="clear" w:color="auto" w:fill="auto"/>
            <w:noWrap/>
            <w:vAlign w:val="center"/>
          </w:tcPr>
          <w:p w14:paraId="25F896B5">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5.41</w:t>
            </w:r>
          </w:p>
        </w:tc>
        <w:tc>
          <w:tcPr>
            <w:tcW w:w="166" w:type="pct"/>
            <w:tcBorders>
              <w:tl2br w:val="nil"/>
              <w:tr2bl w:val="nil"/>
            </w:tcBorders>
            <w:shd w:val="clear" w:color="auto" w:fill="auto"/>
            <w:noWrap/>
            <w:vAlign w:val="center"/>
          </w:tcPr>
          <w:p w14:paraId="4A37F525">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20.05</w:t>
            </w:r>
          </w:p>
        </w:tc>
        <w:tc>
          <w:tcPr>
            <w:tcW w:w="166" w:type="pct"/>
            <w:tcBorders>
              <w:tl2br w:val="nil"/>
              <w:tr2bl w:val="nil"/>
            </w:tcBorders>
            <w:shd w:val="clear" w:color="auto" w:fill="auto"/>
            <w:noWrap/>
            <w:vAlign w:val="center"/>
          </w:tcPr>
          <w:p w14:paraId="1FFBE00D">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20.56</w:t>
            </w:r>
          </w:p>
        </w:tc>
        <w:tc>
          <w:tcPr>
            <w:tcW w:w="166" w:type="pct"/>
            <w:tcBorders>
              <w:tl2br w:val="nil"/>
              <w:tr2bl w:val="nil"/>
            </w:tcBorders>
            <w:shd w:val="clear" w:color="auto" w:fill="auto"/>
            <w:noWrap/>
            <w:vAlign w:val="center"/>
          </w:tcPr>
          <w:p w14:paraId="4CBDD59F">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63.08</w:t>
            </w:r>
          </w:p>
        </w:tc>
        <w:tc>
          <w:tcPr>
            <w:tcW w:w="166" w:type="pct"/>
            <w:tcBorders>
              <w:tl2br w:val="nil"/>
              <w:tr2bl w:val="nil"/>
            </w:tcBorders>
            <w:shd w:val="clear" w:color="auto" w:fill="auto"/>
            <w:noWrap/>
            <w:vAlign w:val="center"/>
          </w:tcPr>
          <w:p w14:paraId="50A2FBFB">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63.13</w:t>
            </w:r>
          </w:p>
        </w:tc>
        <w:tc>
          <w:tcPr>
            <w:tcW w:w="166" w:type="pct"/>
            <w:tcBorders>
              <w:tl2br w:val="nil"/>
              <w:tr2bl w:val="nil"/>
            </w:tcBorders>
            <w:shd w:val="clear" w:color="auto" w:fill="auto"/>
            <w:noWrap/>
            <w:vAlign w:val="center"/>
          </w:tcPr>
          <w:p w14:paraId="1E2BE160">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63.08</w:t>
            </w:r>
          </w:p>
        </w:tc>
        <w:tc>
          <w:tcPr>
            <w:tcW w:w="168" w:type="pct"/>
            <w:tcBorders>
              <w:tl2br w:val="nil"/>
              <w:tr2bl w:val="nil"/>
            </w:tcBorders>
            <w:shd w:val="clear" w:color="auto" w:fill="auto"/>
            <w:noWrap/>
            <w:vAlign w:val="center"/>
          </w:tcPr>
          <w:p w14:paraId="64A31EC7">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63.08</w:t>
            </w:r>
          </w:p>
        </w:tc>
        <w:tc>
          <w:tcPr>
            <w:tcW w:w="161" w:type="pct"/>
            <w:vMerge w:val="continue"/>
            <w:tcBorders>
              <w:tl2br w:val="nil"/>
              <w:tr2bl w:val="nil"/>
            </w:tcBorders>
            <w:shd w:val="clear" w:color="auto" w:fill="auto"/>
            <w:vAlign w:val="center"/>
          </w:tcPr>
          <w:p w14:paraId="17ED85B0">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p>
        </w:tc>
        <w:tc>
          <w:tcPr>
            <w:tcW w:w="227" w:type="pct"/>
            <w:tcBorders>
              <w:tl2br w:val="nil"/>
              <w:tr2bl w:val="nil"/>
            </w:tcBorders>
            <w:shd w:val="clear" w:color="auto" w:fill="auto"/>
            <w:vAlign w:val="center"/>
          </w:tcPr>
          <w:p w14:paraId="0F7C3B20">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21</w:t>
            </w:r>
          </w:p>
        </w:tc>
        <w:tc>
          <w:tcPr>
            <w:tcW w:w="162" w:type="pct"/>
            <w:tcBorders>
              <w:tl2br w:val="nil"/>
              <w:tr2bl w:val="nil"/>
            </w:tcBorders>
            <w:shd w:val="clear" w:color="auto" w:fill="auto"/>
            <w:noWrap/>
            <w:vAlign w:val="center"/>
          </w:tcPr>
          <w:p w14:paraId="3FD7DC51">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42.08</w:t>
            </w:r>
          </w:p>
        </w:tc>
        <w:tc>
          <w:tcPr>
            <w:tcW w:w="162" w:type="pct"/>
            <w:tcBorders>
              <w:tl2br w:val="nil"/>
              <w:tr2bl w:val="nil"/>
            </w:tcBorders>
            <w:shd w:val="clear" w:color="auto" w:fill="auto"/>
            <w:noWrap/>
            <w:vAlign w:val="center"/>
          </w:tcPr>
          <w:p w14:paraId="5DE7B251">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42.13</w:t>
            </w:r>
          </w:p>
        </w:tc>
        <w:tc>
          <w:tcPr>
            <w:tcW w:w="162" w:type="pct"/>
            <w:tcBorders>
              <w:tl2br w:val="nil"/>
              <w:tr2bl w:val="nil"/>
            </w:tcBorders>
            <w:shd w:val="clear" w:color="auto" w:fill="auto"/>
            <w:noWrap/>
            <w:vAlign w:val="center"/>
          </w:tcPr>
          <w:p w14:paraId="2A5EBD57">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42.08</w:t>
            </w:r>
          </w:p>
        </w:tc>
        <w:tc>
          <w:tcPr>
            <w:tcW w:w="188" w:type="pct"/>
            <w:tcBorders>
              <w:tl2br w:val="nil"/>
              <w:tr2bl w:val="nil"/>
            </w:tcBorders>
            <w:shd w:val="clear" w:color="auto" w:fill="auto"/>
            <w:noWrap/>
            <w:vAlign w:val="center"/>
          </w:tcPr>
          <w:p w14:paraId="2A640AF7">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42.08</w:t>
            </w:r>
          </w:p>
        </w:tc>
        <w:tc>
          <w:tcPr>
            <w:tcW w:w="243" w:type="pct"/>
            <w:tcBorders>
              <w:tl2br w:val="nil"/>
              <w:tr2bl w:val="nil"/>
            </w:tcBorders>
            <w:shd w:val="clear" w:color="auto" w:fill="auto"/>
            <w:vAlign w:val="center"/>
          </w:tcPr>
          <w:p w14:paraId="78D20DC6">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1</w:t>
            </w:r>
          </w:p>
        </w:tc>
      </w:tr>
      <w:tr w14:paraId="3E45C77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121" w:type="pct"/>
            <w:tcBorders>
              <w:tl2br w:val="nil"/>
              <w:tr2bl w:val="nil"/>
            </w:tcBorders>
            <w:shd w:val="clear" w:color="auto" w:fill="auto"/>
            <w:vAlign w:val="center"/>
          </w:tcPr>
          <w:p w14:paraId="3F3E92CA">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21</w:t>
            </w:r>
          </w:p>
        </w:tc>
        <w:tc>
          <w:tcPr>
            <w:tcW w:w="366" w:type="pct"/>
            <w:tcBorders>
              <w:tl2br w:val="nil"/>
              <w:tr2bl w:val="nil"/>
            </w:tcBorders>
            <w:shd w:val="clear" w:color="auto" w:fill="auto"/>
            <w:vAlign w:val="center"/>
          </w:tcPr>
          <w:p w14:paraId="33A34947">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楼顶（室外）</w:t>
            </w:r>
          </w:p>
        </w:tc>
        <w:tc>
          <w:tcPr>
            <w:tcW w:w="523" w:type="pct"/>
            <w:tcBorders>
              <w:tl2br w:val="nil"/>
              <w:tr2bl w:val="nil"/>
            </w:tcBorders>
            <w:shd w:val="clear" w:color="auto" w:fill="auto"/>
            <w:vAlign w:val="center"/>
          </w:tcPr>
          <w:p w14:paraId="10A8F6E9">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风机</w:t>
            </w:r>
          </w:p>
        </w:tc>
        <w:tc>
          <w:tcPr>
            <w:tcW w:w="407" w:type="pct"/>
            <w:tcBorders>
              <w:tl2br w:val="nil"/>
              <w:tr2bl w:val="nil"/>
            </w:tcBorders>
            <w:shd w:val="clear" w:color="auto" w:fill="auto"/>
            <w:vAlign w:val="center"/>
          </w:tcPr>
          <w:p w14:paraId="55C65ACC">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2000 m3/h</w:t>
            </w:r>
          </w:p>
        </w:tc>
        <w:tc>
          <w:tcPr>
            <w:tcW w:w="268" w:type="pct"/>
            <w:tcBorders>
              <w:tl2br w:val="nil"/>
              <w:tr2bl w:val="nil"/>
            </w:tcBorders>
            <w:shd w:val="clear" w:color="auto" w:fill="auto"/>
            <w:vAlign w:val="center"/>
          </w:tcPr>
          <w:p w14:paraId="0A6191A3">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75</w:t>
            </w:r>
          </w:p>
        </w:tc>
        <w:tc>
          <w:tcPr>
            <w:tcW w:w="168" w:type="pct"/>
            <w:vMerge w:val="continue"/>
            <w:tcBorders>
              <w:tl2br w:val="nil"/>
              <w:tr2bl w:val="nil"/>
            </w:tcBorders>
            <w:shd w:val="clear" w:color="auto" w:fill="auto"/>
            <w:vAlign w:val="center"/>
          </w:tcPr>
          <w:p w14:paraId="284FE960">
            <w:pPr>
              <w:jc w:val="center"/>
              <w:rPr>
                <w:rFonts w:hint="default" w:ascii="Times New Roman" w:hAnsi="Times New Roman" w:eastAsia="宋体" w:cs="Times New Roman"/>
                <w:i w:val="0"/>
                <w:iCs w:val="0"/>
                <w:color w:val="auto"/>
                <w:sz w:val="18"/>
                <w:szCs w:val="18"/>
                <w:highlight w:val="none"/>
                <w:u w:val="none"/>
              </w:rPr>
            </w:pPr>
          </w:p>
        </w:tc>
        <w:tc>
          <w:tcPr>
            <w:tcW w:w="195" w:type="pct"/>
            <w:tcBorders>
              <w:tl2br w:val="nil"/>
              <w:tr2bl w:val="nil"/>
            </w:tcBorders>
            <w:shd w:val="clear" w:color="auto" w:fill="auto"/>
            <w:vAlign w:val="center"/>
          </w:tcPr>
          <w:p w14:paraId="49092DC1">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-7.65</w:t>
            </w:r>
          </w:p>
        </w:tc>
        <w:tc>
          <w:tcPr>
            <w:tcW w:w="173" w:type="pct"/>
            <w:tcBorders>
              <w:tl2br w:val="nil"/>
              <w:tr2bl w:val="nil"/>
            </w:tcBorders>
            <w:shd w:val="clear" w:color="auto" w:fill="auto"/>
            <w:vAlign w:val="center"/>
          </w:tcPr>
          <w:p w14:paraId="4323DD09">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13.63</w:t>
            </w:r>
          </w:p>
        </w:tc>
        <w:tc>
          <w:tcPr>
            <w:tcW w:w="131" w:type="pct"/>
            <w:tcBorders>
              <w:tl2br w:val="nil"/>
              <w:tr2bl w:val="nil"/>
            </w:tcBorders>
            <w:shd w:val="clear" w:color="auto" w:fill="auto"/>
            <w:vAlign w:val="center"/>
          </w:tcPr>
          <w:p w14:paraId="075F8239">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50</w:t>
            </w:r>
          </w:p>
        </w:tc>
        <w:tc>
          <w:tcPr>
            <w:tcW w:w="1336" w:type="pct"/>
            <w:gridSpan w:val="8"/>
            <w:tcBorders>
              <w:tl2br w:val="nil"/>
              <w:tr2bl w:val="nil"/>
            </w:tcBorders>
            <w:shd w:val="clear" w:color="auto" w:fill="auto"/>
            <w:vAlign w:val="center"/>
          </w:tcPr>
          <w:p w14:paraId="4F6939E4">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w:t>
            </w:r>
          </w:p>
        </w:tc>
        <w:tc>
          <w:tcPr>
            <w:tcW w:w="161" w:type="pct"/>
            <w:vMerge w:val="continue"/>
            <w:tcBorders>
              <w:tl2br w:val="nil"/>
              <w:tr2bl w:val="nil"/>
            </w:tcBorders>
            <w:shd w:val="clear" w:color="auto" w:fill="auto"/>
            <w:vAlign w:val="center"/>
          </w:tcPr>
          <w:p w14:paraId="2AB2AB56">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p>
        </w:tc>
        <w:tc>
          <w:tcPr>
            <w:tcW w:w="1145" w:type="pct"/>
            <w:gridSpan w:val="6"/>
            <w:tcBorders>
              <w:tl2br w:val="nil"/>
              <w:tr2bl w:val="nil"/>
            </w:tcBorders>
            <w:shd w:val="clear" w:color="auto" w:fill="auto"/>
            <w:vAlign w:val="center"/>
          </w:tcPr>
          <w:p w14:paraId="4B82F217">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w:t>
            </w:r>
          </w:p>
        </w:tc>
      </w:tr>
    </w:tbl>
    <w:p w14:paraId="15737C33">
      <w:pPr>
        <w:pStyle w:val="20"/>
        <w:keepNext w:val="0"/>
        <w:keepLines w:val="0"/>
        <w:pageBreakBefore w:val="0"/>
        <w:widowControl/>
        <w:kinsoku/>
        <w:wordWrap/>
        <w:overflowPunct/>
        <w:topLinePunct w:val="0"/>
        <w:autoSpaceDE/>
        <w:autoSpaceDN/>
        <w:bidi w:val="0"/>
        <w:adjustRightInd/>
        <w:snapToGrid/>
        <w:spacing w:before="0" w:beforeAutospacing="0" w:after="0" w:afterAutospacing="0"/>
        <w:jc w:val="left"/>
        <w:textAlignment w:val="auto"/>
        <w:outlineLvl w:val="9"/>
        <w:rPr>
          <w:rFonts w:hint="default" w:ascii="Times New Roman" w:hAnsi="Times New Roman" w:eastAsia="宋体" w:cs="Times New Roman"/>
          <w:snapToGrid w:val="0"/>
          <w:color w:val="auto"/>
          <w:sz w:val="18"/>
          <w:szCs w:val="18"/>
          <w:highlight w:val="none"/>
          <w:lang w:val="en-US" w:eastAsia="zh-CN"/>
        </w:rPr>
      </w:pPr>
      <w:r>
        <w:rPr>
          <w:rFonts w:hint="default" w:ascii="Times New Roman" w:hAnsi="Times New Roman" w:eastAsia="宋体" w:cs="Times New Roman"/>
          <w:snapToGrid w:val="0"/>
          <w:color w:val="auto"/>
          <w:sz w:val="18"/>
          <w:szCs w:val="18"/>
          <w:highlight w:val="none"/>
          <w:lang w:val="en-US" w:eastAsia="zh-CN"/>
        </w:rPr>
        <w:t>备注：表中坐标以厂界东南角为坐标原点，正东向为X轴正方向，正北向为Y轴正方向。</w:t>
      </w:r>
    </w:p>
    <w:p w14:paraId="255B5A8D">
      <w:pPr>
        <w:pStyle w:val="20"/>
        <w:jc w:val="both"/>
        <w:outlineLvl w:val="9"/>
        <w:rPr>
          <w:rFonts w:ascii="Times New Roman" w:hAnsi="Times New Roman" w:eastAsia="黑体"/>
          <w:snapToGrid w:val="0"/>
          <w:color w:val="auto"/>
          <w:sz w:val="30"/>
          <w:szCs w:val="30"/>
          <w:highlight w:val="none"/>
        </w:rPr>
      </w:pPr>
    </w:p>
    <w:p w14:paraId="54720A3C">
      <w:pPr>
        <w:pStyle w:val="20"/>
        <w:jc w:val="center"/>
        <w:outlineLvl w:val="0"/>
        <w:rPr>
          <w:rFonts w:ascii="Times New Roman" w:hAnsi="Times New Roman" w:eastAsia="黑体" w:cs="Times New Roman"/>
          <w:snapToGrid w:val="0"/>
          <w:color w:val="auto"/>
          <w:sz w:val="30"/>
          <w:szCs w:val="30"/>
          <w:highlight w:val="none"/>
        </w:rPr>
        <w:sectPr>
          <w:pgSz w:w="23811" w:h="16838" w:orient="landscape"/>
          <w:pgMar w:top="1531" w:right="1701" w:bottom="1531" w:left="1701" w:header="851" w:footer="851" w:gutter="0"/>
          <w:pgBorders>
            <w:top w:val="none" w:sz="0" w:space="0"/>
            <w:left w:val="none" w:sz="0" w:space="0"/>
            <w:bottom w:val="none" w:sz="0" w:space="0"/>
            <w:right w:val="none" w:sz="0" w:space="0"/>
          </w:pgBorders>
          <w:cols w:space="720" w:num="1"/>
          <w:docGrid w:linePitch="312" w:charSpace="0"/>
        </w:sectPr>
      </w:pPr>
    </w:p>
    <w:tbl>
      <w:tblPr>
        <w:tblStyle w:val="2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7847"/>
      </w:tblGrid>
      <w:tr w14:paraId="5C65C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p w14:paraId="0B3F1C64">
            <w:pPr>
              <w:adjustRightInd w:val="0"/>
              <w:snapToGrid w:val="0"/>
              <w:jc w:val="center"/>
              <w:rPr>
                <w:bCs/>
                <w:color w:val="auto"/>
                <w:szCs w:val="21"/>
                <w:highlight w:val="none"/>
              </w:rPr>
            </w:pPr>
            <w:r>
              <w:rPr>
                <w:bCs/>
                <w:color w:val="auto"/>
                <w:szCs w:val="21"/>
                <w:highlight w:val="none"/>
              </w:rPr>
              <w:t>运营</w:t>
            </w:r>
          </w:p>
          <w:p w14:paraId="36417434">
            <w:pPr>
              <w:adjustRightInd w:val="0"/>
              <w:snapToGrid w:val="0"/>
              <w:jc w:val="center"/>
              <w:rPr>
                <w:bCs/>
                <w:color w:val="auto"/>
                <w:szCs w:val="21"/>
                <w:highlight w:val="none"/>
              </w:rPr>
            </w:pPr>
            <w:r>
              <w:rPr>
                <w:bCs/>
                <w:color w:val="auto"/>
                <w:szCs w:val="21"/>
                <w:highlight w:val="none"/>
              </w:rPr>
              <w:t>期环</w:t>
            </w:r>
          </w:p>
          <w:p w14:paraId="623ABC14">
            <w:pPr>
              <w:adjustRightInd w:val="0"/>
              <w:snapToGrid w:val="0"/>
              <w:jc w:val="center"/>
              <w:rPr>
                <w:bCs/>
                <w:color w:val="auto"/>
                <w:szCs w:val="21"/>
                <w:highlight w:val="none"/>
              </w:rPr>
            </w:pPr>
            <w:r>
              <w:rPr>
                <w:bCs/>
                <w:color w:val="auto"/>
                <w:szCs w:val="21"/>
                <w:highlight w:val="none"/>
              </w:rPr>
              <w:t>境影</w:t>
            </w:r>
          </w:p>
          <w:p w14:paraId="4AA75F3A">
            <w:pPr>
              <w:adjustRightInd w:val="0"/>
              <w:snapToGrid w:val="0"/>
              <w:jc w:val="center"/>
              <w:rPr>
                <w:bCs/>
                <w:color w:val="auto"/>
                <w:szCs w:val="21"/>
                <w:highlight w:val="none"/>
              </w:rPr>
            </w:pPr>
            <w:r>
              <w:rPr>
                <w:bCs/>
                <w:color w:val="auto"/>
                <w:szCs w:val="21"/>
                <w:highlight w:val="none"/>
              </w:rPr>
              <w:t>响和</w:t>
            </w:r>
          </w:p>
          <w:p w14:paraId="64C064B2">
            <w:pPr>
              <w:adjustRightInd w:val="0"/>
              <w:snapToGrid w:val="0"/>
              <w:jc w:val="center"/>
              <w:rPr>
                <w:bCs/>
                <w:color w:val="auto"/>
                <w:szCs w:val="21"/>
                <w:highlight w:val="none"/>
              </w:rPr>
            </w:pPr>
            <w:r>
              <w:rPr>
                <w:bCs/>
                <w:color w:val="auto"/>
                <w:szCs w:val="21"/>
                <w:highlight w:val="none"/>
              </w:rPr>
              <w:t>保护</w:t>
            </w:r>
          </w:p>
          <w:p w14:paraId="508A901F">
            <w:pPr>
              <w:adjustRightInd w:val="0"/>
              <w:snapToGrid w:val="0"/>
              <w:spacing w:line="360" w:lineRule="auto"/>
              <w:jc w:val="center"/>
              <w:rPr>
                <w:b/>
                <w:color w:val="auto"/>
                <w:kern w:val="0"/>
                <w:sz w:val="28"/>
                <w:szCs w:val="28"/>
                <w:highlight w:val="none"/>
              </w:rPr>
            </w:pPr>
            <w:r>
              <w:rPr>
                <w:bCs/>
                <w:color w:val="auto"/>
                <w:szCs w:val="21"/>
                <w:highlight w:val="none"/>
              </w:rPr>
              <w:t>措施</w:t>
            </w:r>
          </w:p>
        </w:tc>
        <w:tc>
          <w:tcPr>
            <w:tcW w:w="7847" w:type="dxa"/>
          </w:tcPr>
          <w:p w14:paraId="4F8B0886">
            <w:pPr>
              <w:numPr>
                <w:ilvl w:val="0"/>
                <w:numId w:val="12"/>
              </w:numPr>
              <w:spacing w:line="360" w:lineRule="auto"/>
              <w:rPr>
                <w:b/>
                <w:bCs/>
                <w:color w:val="auto"/>
                <w:highlight w:val="none"/>
              </w:rPr>
            </w:pPr>
            <w:r>
              <w:rPr>
                <w:rFonts w:hint="default"/>
                <w:b/>
                <w:bCs/>
                <w:color w:val="auto"/>
                <w:highlight w:val="none"/>
              </w:rPr>
              <w:t>基础数据</w:t>
            </w:r>
          </w:p>
          <w:p w14:paraId="409FD1FE">
            <w:pPr>
              <w:widowControl w:val="0"/>
              <w:numPr>
                <w:ilvl w:val="0"/>
                <w:numId w:val="0"/>
              </w:numPr>
              <w:spacing w:line="360" w:lineRule="auto"/>
              <w:ind w:firstLine="420" w:firstLineChars="200"/>
              <w:jc w:val="both"/>
              <w:rPr>
                <w:rFonts w:hint="default" w:ascii="Times New Roman" w:hAnsi="Times New Roman" w:eastAsia="宋体" w:cs="Times New Roman"/>
                <w:b w:val="0"/>
                <w:bCs w:val="0"/>
                <w:color w:val="auto"/>
                <w:highlight w:val="none"/>
                <w:lang w:val="en-US" w:eastAsia="zh-CN"/>
              </w:rPr>
            </w:pPr>
            <w:r>
              <w:rPr>
                <w:rFonts w:hint="default" w:ascii="Times New Roman" w:hAnsi="Times New Roman" w:eastAsia="宋体" w:cs="Times New Roman"/>
                <w:b w:val="0"/>
                <w:bCs w:val="0"/>
                <w:color w:val="auto"/>
                <w:highlight w:val="none"/>
                <w:lang w:val="en-US" w:eastAsia="zh-CN"/>
              </w:rPr>
              <w:t>进行噪声预测的参数设置见表4-1</w:t>
            </w:r>
            <w:r>
              <w:rPr>
                <w:rFonts w:hint="eastAsia" w:cs="Times New Roman"/>
                <w:b w:val="0"/>
                <w:bCs w:val="0"/>
                <w:color w:val="auto"/>
                <w:highlight w:val="none"/>
                <w:lang w:val="en-US" w:eastAsia="zh-CN"/>
              </w:rPr>
              <w:t>3</w:t>
            </w:r>
            <w:r>
              <w:rPr>
                <w:rFonts w:hint="default" w:ascii="Times New Roman" w:hAnsi="Times New Roman" w:eastAsia="宋体" w:cs="Times New Roman"/>
                <w:b w:val="0"/>
                <w:bCs w:val="0"/>
                <w:color w:val="auto"/>
                <w:highlight w:val="none"/>
                <w:lang w:val="en-US" w:eastAsia="zh-CN"/>
              </w:rPr>
              <w:t>。</w:t>
            </w:r>
          </w:p>
          <w:p w14:paraId="70B3E6E6">
            <w:pPr>
              <w:numPr>
                <w:ilvl w:val="0"/>
                <w:numId w:val="8"/>
              </w:numPr>
              <w:spacing w:line="360" w:lineRule="auto"/>
              <w:jc w:val="center"/>
              <w:rPr>
                <w:rFonts w:hint="default" w:ascii="Times New Roman" w:hAnsi="Times New Roman" w:eastAsia="黑体" w:cs="Times New Roman"/>
                <w:b w:val="0"/>
                <w:bCs w:val="0"/>
                <w:color w:val="auto"/>
                <w:spacing w:val="-10"/>
                <w:szCs w:val="21"/>
                <w:highlight w:val="none"/>
              </w:rPr>
            </w:pPr>
            <w:r>
              <w:rPr>
                <w:rFonts w:hint="default" w:ascii="Times New Roman" w:hAnsi="Times New Roman" w:eastAsia="黑体" w:cs="Times New Roman"/>
                <w:b w:val="0"/>
                <w:bCs w:val="0"/>
                <w:color w:val="auto"/>
                <w:spacing w:val="-10"/>
                <w:szCs w:val="21"/>
                <w:highlight w:val="none"/>
                <w:lang w:val="en-US" w:eastAsia="zh-CN"/>
              </w:rPr>
              <w:t xml:space="preserve"> 项目噪声环境影响预测基础数据表</w:t>
            </w:r>
          </w:p>
          <w:tbl>
            <w:tblPr>
              <w:tblStyle w:val="25"/>
              <w:tblW w:w="4998"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899"/>
              <w:gridCol w:w="1899"/>
              <w:gridCol w:w="1899"/>
              <w:gridCol w:w="1901"/>
            </w:tblGrid>
            <w:tr w14:paraId="507F42E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249" w:type="pct"/>
                  <w:tcBorders>
                    <w:tl2br w:val="nil"/>
                    <w:tr2bl w:val="nil"/>
                  </w:tcBorders>
                  <w:noWrap w:val="0"/>
                  <w:vAlign w:val="center"/>
                </w:tcPr>
                <w:p w14:paraId="632BC2F0">
                  <w:pPr>
                    <w:keepNext w:val="0"/>
                    <w:keepLines w:val="0"/>
                    <w:suppressLineNumbers w:val="0"/>
                    <w:spacing w:before="0" w:beforeAutospacing="0" w:after="0" w:afterAutospacing="0" w:line="240" w:lineRule="auto"/>
                    <w:ind w:left="0" w:right="0"/>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序号</w:t>
                  </w:r>
                </w:p>
              </w:tc>
              <w:tc>
                <w:tcPr>
                  <w:tcW w:w="1249" w:type="pct"/>
                  <w:tcBorders>
                    <w:tl2br w:val="nil"/>
                    <w:tr2bl w:val="nil"/>
                  </w:tcBorders>
                  <w:noWrap w:val="0"/>
                  <w:vAlign w:val="center"/>
                </w:tcPr>
                <w:p w14:paraId="72E75806">
                  <w:pPr>
                    <w:keepNext w:val="0"/>
                    <w:keepLines w:val="0"/>
                    <w:suppressLineNumbers w:val="0"/>
                    <w:spacing w:before="0" w:beforeAutospacing="0" w:after="0" w:afterAutospacing="0" w:line="240" w:lineRule="auto"/>
                    <w:ind w:left="0" w:right="0"/>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名称</w:t>
                  </w:r>
                </w:p>
              </w:tc>
              <w:tc>
                <w:tcPr>
                  <w:tcW w:w="1249" w:type="pct"/>
                  <w:tcBorders>
                    <w:tl2br w:val="nil"/>
                    <w:tr2bl w:val="nil"/>
                  </w:tcBorders>
                  <w:noWrap w:val="0"/>
                  <w:vAlign w:val="center"/>
                </w:tcPr>
                <w:p w14:paraId="44EF4F4D">
                  <w:pPr>
                    <w:keepNext w:val="0"/>
                    <w:keepLines w:val="0"/>
                    <w:suppressLineNumbers w:val="0"/>
                    <w:spacing w:before="0" w:beforeAutospacing="0" w:after="0" w:afterAutospacing="0" w:line="240" w:lineRule="auto"/>
                    <w:ind w:left="0" w:right="0"/>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单位</w:t>
                  </w:r>
                </w:p>
              </w:tc>
              <w:tc>
                <w:tcPr>
                  <w:tcW w:w="1250" w:type="pct"/>
                  <w:tcBorders>
                    <w:tl2br w:val="nil"/>
                    <w:tr2bl w:val="nil"/>
                  </w:tcBorders>
                  <w:noWrap w:val="0"/>
                  <w:vAlign w:val="center"/>
                </w:tcPr>
                <w:p w14:paraId="048120EF">
                  <w:pPr>
                    <w:keepNext w:val="0"/>
                    <w:keepLines w:val="0"/>
                    <w:suppressLineNumbers w:val="0"/>
                    <w:spacing w:before="0" w:beforeAutospacing="0" w:after="0" w:afterAutospacing="0" w:line="240" w:lineRule="auto"/>
                    <w:ind w:left="0" w:right="0"/>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数据</w:t>
                  </w:r>
                </w:p>
              </w:tc>
            </w:tr>
            <w:tr w14:paraId="3F83E8D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249" w:type="pct"/>
                  <w:tcBorders>
                    <w:tl2br w:val="nil"/>
                    <w:tr2bl w:val="nil"/>
                  </w:tcBorders>
                  <w:noWrap w:val="0"/>
                  <w:vAlign w:val="center"/>
                </w:tcPr>
                <w:p w14:paraId="68B8BD7B">
                  <w:pPr>
                    <w:keepNext w:val="0"/>
                    <w:keepLines w:val="0"/>
                    <w:suppressLineNumbers w:val="0"/>
                    <w:spacing w:before="0" w:beforeAutospacing="0" w:after="0" w:afterAutospacing="0" w:line="240" w:lineRule="auto"/>
                    <w:ind w:left="0" w:right="0"/>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1</w:t>
                  </w:r>
                </w:p>
              </w:tc>
              <w:tc>
                <w:tcPr>
                  <w:tcW w:w="1249" w:type="pct"/>
                  <w:tcBorders>
                    <w:tl2br w:val="nil"/>
                    <w:tr2bl w:val="nil"/>
                  </w:tcBorders>
                  <w:noWrap w:val="0"/>
                  <w:vAlign w:val="center"/>
                </w:tcPr>
                <w:p w14:paraId="51053FA4">
                  <w:pPr>
                    <w:keepNext w:val="0"/>
                    <w:keepLines w:val="0"/>
                    <w:suppressLineNumbers w:val="0"/>
                    <w:spacing w:before="0" w:beforeAutospacing="0" w:after="0" w:afterAutospacing="0" w:line="240" w:lineRule="auto"/>
                    <w:ind w:left="0" w:right="0"/>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年平均风速</w:t>
                  </w:r>
                </w:p>
              </w:tc>
              <w:tc>
                <w:tcPr>
                  <w:tcW w:w="1249" w:type="pct"/>
                  <w:tcBorders>
                    <w:tl2br w:val="nil"/>
                    <w:tr2bl w:val="nil"/>
                  </w:tcBorders>
                  <w:noWrap w:val="0"/>
                  <w:vAlign w:val="center"/>
                </w:tcPr>
                <w:p w14:paraId="123F9E6A">
                  <w:pPr>
                    <w:keepNext w:val="0"/>
                    <w:keepLines w:val="0"/>
                    <w:suppressLineNumbers w:val="0"/>
                    <w:spacing w:before="0" w:beforeAutospacing="0" w:after="0" w:afterAutospacing="0" w:line="240" w:lineRule="auto"/>
                    <w:ind w:left="0" w:right="0"/>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m/s</w:t>
                  </w:r>
                </w:p>
              </w:tc>
              <w:tc>
                <w:tcPr>
                  <w:tcW w:w="1250" w:type="pct"/>
                  <w:tcBorders>
                    <w:tl2br w:val="nil"/>
                    <w:tr2bl w:val="nil"/>
                  </w:tcBorders>
                  <w:noWrap w:val="0"/>
                  <w:vAlign w:val="center"/>
                </w:tcPr>
                <w:p w14:paraId="1BB5285F">
                  <w:pPr>
                    <w:keepNext w:val="0"/>
                    <w:keepLines w:val="0"/>
                    <w:suppressLineNumbers w:val="0"/>
                    <w:spacing w:before="0" w:beforeAutospacing="0" w:after="0" w:afterAutospacing="0" w:line="240" w:lineRule="auto"/>
                    <w:ind w:left="0" w:right="0"/>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lang w:val="en-US" w:eastAsia="zh-CN"/>
                    </w:rPr>
                    <w:t>2.0</w:t>
                  </w:r>
                </w:p>
              </w:tc>
            </w:tr>
            <w:tr w14:paraId="2385BC3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249" w:type="pct"/>
                  <w:tcBorders>
                    <w:tl2br w:val="nil"/>
                    <w:tr2bl w:val="nil"/>
                  </w:tcBorders>
                  <w:noWrap w:val="0"/>
                  <w:vAlign w:val="center"/>
                </w:tcPr>
                <w:p w14:paraId="59CFC556">
                  <w:pPr>
                    <w:keepNext w:val="0"/>
                    <w:keepLines w:val="0"/>
                    <w:suppressLineNumbers w:val="0"/>
                    <w:spacing w:before="0" w:beforeAutospacing="0" w:after="0" w:afterAutospacing="0" w:line="240" w:lineRule="auto"/>
                    <w:ind w:left="0" w:right="0"/>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2</w:t>
                  </w:r>
                </w:p>
              </w:tc>
              <w:tc>
                <w:tcPr>
                  <w:tcW w:w="1249" w:type="pct"/>
                  <w:tcBorders>
                    <w:tl2br w:val="nil"/>
                    <w:tr2bl w:val="nil"/>
                  </w:tcBorders>
                  <w:noWrap w:val="0"/>
                  <w:vAlign w:val="center"/>
                </w:tcPr>
                <w:p w14:paraId="221A0982">
                  <w:pPr>
                    <w:keepNext w:val="0"/>
                    <w:keepLines w:val="0"/>
                    <w:suppressLineNumbers w:val="0"/>
                    <w:spacing w:before="0" w:beforeAutospacing="0" w:after="0" w:afterAutospacing="0" w:line="240" w:lineRule="auto"/>
                    <w:ind w:left="0" w:right="0"/>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主导风向</w:t>
                  </w:r>
                </w:p>
              </w:tc>
              <w:tc>
                <w:tcPr>
                  <w:tcW w:w="1249" w:type="pct"/>
                  <w:tcBorders>
                    <w:tl2br w:val="nil"/>
                    <w:tr2bl w:val="nil"/>
                  </w:tcBorders>
                  <w:noWrap w:val="0"/>
                  <w:vAlign w:val="center"/>
                </w:tcPr>
                <w:p w14:paraId="19400CE7">
                  <w:pPr>
                    <w:keepNext w:val="0"/>
                    <w:keepLines w:val="0"/>
                    <w:suppressLineNumbers w:val="0"/>
                    <w:spacing w:before="0" w:beforeAutospacing="0" w:after="0" w:afterAutospacing="0" w:line="240" w:lineRule="auto"/>
                    <w:ind w:left="0" w:right="0"/>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w:t>
                  </w:r>
                </w:p>
              </w:tc>
              <w:tc>
                <w:tcPr>
                  <w:tcW w:w="1250" w:type="pct"/>
                  <w:tcBorders>
                    <w:tl2br w:val="nil"/>
                    <w:tr2bl w:val="nil"/>
                  </w:tcBorders>
                  <w:noWrap w:val="0"/>
                  <w:vAlign w:val="center"/>
                </w:tcPr>
                <w:p w14:paraId="4BF88D52">
                  <w:pPr>
                    <w:keepNext w:val="0"/>
                    <w:keepLines w:val="0"/>
                    <w:suppressLineNumbers w:val="0"/>
                    <w:spacing w:before="0" w:beforeAutospacing="0" w:after="0" w:afterAutospacing="0" w:line="240" w:lineRule="auto"/>
                    <w:ind w:left="0" w:right="0"/>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E</w:t>
                  </w:r>
                  <w:r>
                    <w:rPr>
                      <w:rFonts w:hint="default" w:ascii="Times New Roman" w:hAnsi="Times New Roman" w:cs="Times New Roman"/>
                      <w:color w:val="auto"/>
                      <w:sz w:val="18"/>
                      <w:szCs w:val="18"/>
                      <w:highlight w:val="none"/>
                      <w:lang w:val="en-US" w:eastAsia="zh-CN"/>
                    </w:rPr>
                    <w:t>NE</w:t>
                  </w:r>
                  <w:r>
                    <w:rPr>
                      <w:rFonts w:hint="default" w:ascii="Times New Roman" w:hAnsi="Times New Roman" w:cs="Times New Roman"/>
                      <w:color w:val="auto"/>
                      <w:sz w:val="18"/>
                      <w:szCs w:val="18"/>
                      <w:highlight w:val="none"/>
                    </w:rPr>
                    <w:t>（</w:t>
                  </w:r>
                  <w:r>
                    <w:rPr>
                      <w:rFonts w:hint="default" w:ascii="Times New Roman" w:hAnsi="Times New Roman" w:cs="Times New Roman"/>
                      <w:color w:val="auto"/>
                      <w:sz w:val="18"/>
                      <w:szCs w:val="18"/>
                      <w:highlight w:val="none"/>
                      <w:lang w:val="en-US" w:eastAsia="zh-CN"/>
                    </w:rPr>
                    <w:t>9.0</w:t>
                  </w:r>
                  <w:r>
                    <w:rPr>
                      <w:rFonts w:hint="default" w:ascii="Times New Roman" w:hAnsi="Times New Roman" w:cs="Times New Roman"/>
                      <w:color w:val="auto"/>
                      <w:sz w:val="18"/>
                      <w:szCs w:val="18"/>
                      <w:highlight w:val="none"/>
                    </w:rPr>
                    <w:t>%）</w:t>
                  </w:r>
                </w:p>
              </w:tc>
            </w:tr>
            <w:tr w14:paraId="09F1CDA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249" w:type="pct"/>
                  <w:tcBorders>
                    <w:tl2br w:val="nil"/>
                    <w:tr2bl w:val="nil"/>
                  </w:tcBorders>
                  <w:noWrap w:val="0"/>
                  <w:vAlign w:val="center"/>
                </w:tcPr>
                <w:p w14:paraId="2F532D86">
                  <w:pPr>
                    <w:keepNext w:val="0"/>
                    <w:keepLines w:val="0"/>
                    <w:suppressLineNumbers w:val="0"/>
                    <w:spacing w:before="0" w:beforeAutospacing="0" w:after="0" w:afterAutospacing="0" w:line="240" w:lineRule="auto"/>
                    <w:ind w:left="0" w:right="0"/>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3</w:t>
                  </w:r>
                </w:p>
              </w:tc>
              <w:tc>
                <w:tcPr>
                  <w:tcW w:w="1249" w:type="pct"/>
                  <w:tcBorders>
                    <w:tl2br w:val="nil"/>
                    <w:tr2bl w:val="nil"/>
                  </w:tcBorders>
                  <w:noWrap w:val="0"/>
                  <w:vAlign w:val="center"/>
                </w:tcPr>
                <w:p w14:paraId="2F0D2B0A">
                  <w:pPr>
                    <w:keepNext w:val="0"/>
                    <w:keepLines w:val="0"/>
                    <w:suppressLineNumbers w:val="0"/>
                    <w:spacing w:before="0" w:beforeAutospacing="0" w:after="0" w:afterAutospacing="0" w:line="240" w:lineRule="auto"/>
                    <w:ind w:left="0" w:right="0"/>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年平均气温</w:t>
                  </w:r>
                </w:p>
              </w:tc>
              <w:tc>
                <w:tcPr>
                  <w:tcW w:w="1249" w:type="pct"/>
                  <w:tcBorders>
                    <w:tl2br w:val="nil"/>
                    <w:tr2bl w:val="nil"/>
                  </w:tcBorders>
                  <w:noWrap w:val="0"/>
                  <w:vAlign w:val="center"/>
                </w:tcPr>
                <w:p w14:paraId="489464D7">
                  <w:pPr>
                    <w:keepNext w:val="0"/>
                    <w:keepLines w:val="0"/>
                    <w:suppressLineNumbers w:val="0"/>
                    <w:spacing w:before="0" w:beforeAutospacing="0" w:after="0" w:afterAutospacing="0" w:line="240" w:lineRule="auto"/>
                    <w:ind w:left="0" w:right="0"/>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w:t>
                  </w:r>
                </w:p>
              </w:tc>
              <w:tc>
                <w:tcPr>
                  <w:tcW w:w="1250" w:type="pct"/>
                  <w:tcBorders>
                    <w:tl2br w:val="nil"/>
                    <w:tr2bl w:val="nil"/>
                  </w:tcBorders>
                  <w:noWrap w:val="0"/>
                  <w:vAlign w:val="center"/>
                </w:tcPr>
                <w:p w14:paraId="44E3985A">
                  <w:pPr>
                    <w:keepNext w:val="0"/>
                    <w:keepLines w:val="0"/>
                    <w:suppressLineNumbers w:val="0"/>
                    <w:spacing w:before="0" w:beforeAutospacing="0" w:after="0" w:afterAutospacing="0" w:line="240" w:lineRule="auto"/>
                    <w:ind w:left="0" w:right="0"/>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lang w:val="en-US" w:eastAsia="zh-CN"/>
                    </w:rPr>
                    <w:t>16.7</w:t>
                  </w:r>
                </w:p>
              </w:tc>
            </w:tr>
            <w:tr w14:paraId="7B2ECEF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249" w:type="pct"/>
                  <w:tcBorders>
                    <w:tl2br w:val="nil"/>
                    <w:tr2bl w:val="nil"/>
                  </w:tcBorders>
                  <w:noWrap w:val="0"/>
                  <w:vAlign w:val="center"/>
                </w:tcPr>
                <w:p w14:paraId="077D2308">
                  <w:pPr>
                    <w:keepNext w:val="0"/>
                    <w:keepLines w:val="0"/>
                    <w:suppressLineNumbers w:val="0"/>
                    <w:spacing w:before="0" w:beforeAutospacing="0" w:after="0" w:afterAutospacing="0" w:line="240" w:lineRule="auto"/>
                    <w:ind w:left="0" w:right="0"/>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4</w:t>
                  </w:r>
                </w:p>
              </w:tc>
              <w:tc>
                <w:tcPr>
                  <w:tcW w:w="1249" w:type="pct"/>
                  <w:tcBorders>
                    <w:tl2br w:val="nil"/>
                    <w:tr2bl w:val="nil"/>
                  </w:tcBorders>
                  <w:noWrap w:val="0"/>
                  <w:vAlign w:val="center"/>
                </w:tcPr>
                <w:p w14:paraId="6ABE6C40">
                  <w:pPr>
                    <w:keepNext w:val="0"/>
                    <w:keepLines w:val="0"/>
                    <w:suppressLineNumbers w:val="0"/>
                    <w:spacing w:before="0" w:beforeAutospacing="0" w:after="0" w:afterAutospacing="0" w:line="240" w:lineRule="auto"/>
                    <w:ind w:left="0" w:right="0"/>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年平均相对湿度</w:t>
                  </w:r>
                </w:p>
              </w:tc>
              <w:tc>
                <w:tcPr>
                  <w:tcW w:w="1249" w:type="pct"/>
                  <w:tcBorders>
                    <w:tl2br w:val="nil"/>
                    <w:tr2bl w:val="nil"/>
                  </w:tcBorders>
                  <w:noWrap w:val="0"/>
                  <w:vAlign w:val="center"/>
                </w:tcPr>
                <w:p w14:paraId="6800DEFB">
                  <w:pPr>
                    <w:keepNext w:val="0"/>
                    <w:keepLines w:val="0"/>
                    <w:suppressLineNumbers w:val="0"/>
                    <w:spacing w:before="0" w:beforeAutospacing="0" w:after="0" w:afterAutospacing="0" w:line="240" w:lineRule="auto"/>
                    <w:ind w:left="0" w:right="0"/>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w:t>
                  </w:r>
                </w:p>
              </w:tc>
              <w:tc>
                <w:tcPr>
                  <w:tcW w:w="1250" w:type="pct"/>
                  <w:tcBorders>
                    <w:tl2br w:val="nil"/>
                    <w:tr2bl w:val="nil"/>
                  </w:tcBorders>
                  <w:noWrap w:val="0"/>
                  <w:vAlign w:val="center"/>
                </w:tcPr>
                <w:p w14:paraId="7C759E39">
                  <w:pPr>
                    <w:keepNext w:val="0"/>
                    <w:keepLines w:val="0"/>
                    <w:suppressLineNumbers w:val="0"/>
                    <w:spacing w:before="0" w:beforeAutospacing="0" w:after="0" w:afterAutospacing="0" w:line="240" w:lineRule="auto"/>
                    <w:ind w:left="0" w:right="0"/>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lang w:val="en-US" w:eastAsia="zh-CN"/>
                    </w:rPr>
                    <w:t>75.2</w:t>
                  </w:r>
                </w:p>
              </w:tc>
            </w:tr>
            <w:tr w14:paraId="23B5A06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249" w:type="pct"/>
                  <w:tcBorders>
                    <w:tl2br w:val="nil"/>
                    <w:tr2bl w:val="nil"/>
                  </w:tcBorders>
                  <w:noWrap w:val="0"/>
                  <w:vAlign w:val="center"/>
                </w:tcPr>
                <w:p w14:paraId="069DD8C6">
                  <w:pPr>
                    <w:keepNext w:val="0"/>
                    <w:keepLines w:val="0"/>
                    <w:suppressLineNumbers w:val="0"/>
                    <w:spacing w:before="0" w:beforeAutospacing="0" w:after="0" w:afterAutospacing="0" w:line="240" w:lineRule="auto"/>
                    <w:ind w:left="0" w:right="0"/>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5</w:t>
                  </w:r>
                </w:p>
              </w:tc>
              <w:tc>
                <w:tcPr>
                  <w:tcW w:w="1249" w:type="pct"/>
                  <w:tcBorders>
                    <w:tl2br w:val="nil"/>
                    <w:tr2bl w:val="nil"/>
                  </w:tcBorders>
                  <w:noWrap w:val="0"/>
                  <w:vAlign w:val="center"/>
                </w:tcPr>
                <w:p w14:paraId="4C7E5917">
                  <w:pPr>
                    <w:keepNext w:val="0"/>
                    <w:keepLines w:val="0"/>
                    <w:suppressLineNumbers w:val="0"/>
                    <w:spacing w:before="0" w:beforeAutospacing="0" w:after="0" w:afterAutospacing="0" w:line="240" w:lineRule="auto"/>
                    <w:ind w:left="0" w:right="0"/>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大气压强</w:t>
                  </w:r>
                </w:p>
              </w:tc>
              <w:tc>
                <w:tcPr>
                  <w:tcW w:w="1249" w:type="pct"/>
                  <w:tcBorders>
                    <w:tl2br w:val="nil"/>
                    <w:tr2bl w:val="nil"/>
                  </w:tcBorders>
                  <w:noWrap w:val="0"/>
                  <w:vAlign w:val="center"/>
                </w:tcPr>
                <w:p w14:paraId="3A387B06">
                  <w:pPr>
                    <w:keepNext w:val="0"/>
                    <w:keepLines w:val="0"/>
                    <w:suppressLineNumbers w:val="0"/>
                    <w:spacing w:before="0" w:beforeAutospacing="0" w:after="0" w:afterAutospacing="0" w:line="240" w:lineRule="auto"/>
                    <w:ind w:left="0" w:right="0"/>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atm</w:t>
                  </w:r>
                </w:p>
              </w:tc>
              <w:tc>
                <w:tcPr>
                  <w:tcW w:w="1250" w:type="pct"/>
                  <w:tcBorders>
                    <w:tl2br w:val="nil"/>
                    <w:tr2bl w:val="nil"/>
                  </w:tcBorders>
                  <w:noWrap w:val="0"/>
                  <w:vAlign w:val="center"/>
                </w:tcPr>
                <w:p w14:paraId="2D128126">
                  <w:pPr>
                    <w:keepNext w:val="0"/>
                    <w:keepLines w:val="0"/>
                    <w:suppressLineNumbers w:val="0"/>
                    <w:spacing w:before="0" w:beforeAutospacing="0" w:after="0" w:afterAutospacing="0" w:line="240" w:lineRule="auto"/>
                    <w:ind w:left="0" w:right="0"/>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1</w:t>
                  </w:r>
                </w:p>
              </w:tc>
            </w:tr>
          </w:tbl>
          <w:p w14:paraId="6BB2E141">
            <w:pPr>
              <w:keepNext w:val="0"/>
              <w:keepLines w:val="0"/>
              <w:suppressLineNumbers w:val="0"/>
              <w:spacing w:before="0" w:beforeAutospacing="0" w:after="0" w:afterAutospacing="0" w:line="360" w:lineRule="auto"/>
              <w:ind w:left="0" w:right="0" w:firstLine="420" w:firstLineChars="200"/>
              <w:rPr>
                <w:b/>
                <w:bCs/>
                <w:color w:val="auto"/>
                <w:highlight w:val="none"/>
              </w:rPr>
            </w:pPr>
            <w:r>
              <w:rPr>
                <w:rFonts w:hint="default" w:eastAsia="宋体"/>
                <w:color w:val="auto"/>
                <w:sz w:val="21"/>
                <w:szCs w:val="21"/>
                <w:highlight w:val="none"/>
              </w:rPr>
              <w:t>声源和预测点间的地形、高差、障碍物、树林、灌木等的分布情况以及地面覆盖情况（如草地、水面、水泥地面、土质地面等）根据现场踏勘、项目总平图等，并结合卫星图片地理信息数据确定，数据精度为10m。</w:t>
            </w:r>
          </w:p>
          <w:p w14:paraId="797EBFED">
            <w:pPr>
              <w:numPr>
                <w:ilvl w:val="0"/>
                <w:numId w:val="12"/>
              </w:numPr>
              <w:spacing w:line="360" w:lineRule="auto"/>
              <w:rPr>
                <w:b/>
                <w:bCs/>
                <w:color w:val="auto"/>
                <w:highlight w:val="none"/>
              </w:rPr>
            </w:pPr>
            <w:r>
              <w:rPr>
                <w:rFonts w:hint="default"/>
                <w:b/>
                <w:bCs/>
                <w:color w:val="auto"/>
                <w:highlight w:val="none"/>
              </w:rPr>
              <w:t>预测结果</w:t>
            </w:r>
          </w:p>
          <w:p w14:paraId="65D9CD11">
            <w:pPr>
              <w:widowControl w:val="0"/>
              <w:numPr>
                <w:ilvl w:val="0"/>
                <w:numId w:val="0"/>
              </w:numPr>
              <w:spacing w:line="360" w:lineRule="auto"/>
              <w:ind w:firstLine="420" w:firstLineChars="200"/>
              <w:jc w:val="both"/>
              <w:rPr>
                <w:b/>
                <w:bCs/>
                <w:color w:val="auto"/>
                <w:highlight w:val="none"/>
              </w:rPr>
            </w:pPr>
            <w:r>
              <w:rPr>
                <w:rFonts w:hint="eastAsia" w:cs="Times New Roman"/>
                <w:b w:val="0"/>
                <w:bCs w:val="0"/>
                <w:color w:val="auto"/>
                <w:highlight w:val="none"/>
                <w:lang w:val="en-US" w:eastAsia="zh-CN"/>
              </w:rPr>
              <w:t>根据建设项目内容及《环境影响评价技术导则 声环境》（HJ 2.4-2021）的要求，本项目采用的为《环境影响评价技术导则 声环境》（HJ 2.4-2021）附录A（规范性附录）户外声传播的衰减和附录B（规范性附录）中“B.1 工业噪声计算预测模型”。</w:t>
            </w:r>
            <w:r>
              <w:rPr>
                <w:rFonts w:hint="default" w:cs="Times New Roman"/>
                <w:b w:val="0"/>
                <w:bCs w:val="0"/>
                <w:color w:val="auto"/>
                <w:highlight w:val="none"/>
                <w:lang w:val="en-US" w:eastAsia="zh-CN"/>
              </w:rPr>
              <w:t>厂界噪声预测结果及达标分析情况见表4-1</w:t>
            </w:r>
            <w:r>
              <w:rPr>
                <w:rFonts w:hint="eastAsia" w:cs="Times New Roman"/>
                <w:b w:val="0"/>
                <w:bCs w:val="0"/>
                <w:color w:val="auto"/>
                <w:highlight w:val="none"/>
                <w:lang w:val="en-US" w:eastAsia="zh-CN"/>
              </w:rPr>
              <w:t>4</w:t>
            </w:r>
            <w:r>
              <w:rPr>
                <w:rFonts w:hint="default" w:cs="Times New Roman"/>
                <w:b w:val="0"/>
                <w:bCs w:val="0"/>
                <w:color w:val="auto"/>
                <w:highlight w:val="none"/>
                <w:lang w:val="en-US" w:eastAsia="zh-CN"/>
              </w:rPr>
              <w:t>。</w:t>
            </w:r>
          </w:p>
          <w:p w14:paraId="77A12C0E">
            <w:pPr>
              <w:numPr>
                <w:ilvl w:val="0"/>
                <w:numId w:val="8"/>
              </w:numPr>
              <w:spacing w:line="360" w:lineRule="auto"/>
              <w:jc w:val="center"/>
              <w:rPr>
                <w:rFonts w:hint="default" w:ascii="Times New Roman" w:hAnsi="Times New Roman" w:eastAsia="黑体" w:cs="Times New Roman"/>
                <w:b w:val="0"/>
                <w:bCs w:val="0"/>
                <w:color w:val="auto"/>
                <w:spacing w:val="-10"/>
                <w:szCs w:val="21"/>
                <w:highlight w:val="none"/>
              </w:rPr>
            </w:pPr>
            <w:r>
              <w:rPr>
                <w:rFonts w:hint="default" w:ascii="Times New Roman" w:hAnsi="Times New Roman" w:eastAsia="黑体" w:cs="Times New Roman"/>
                <w:b w:val="0"/>
                <w:bCs w:val="0"/>
                <w:color w:val="auto"/>
                <w:spacing w:val="-10"/>
                <w:szCs w:val="21"/>
                <w:highlight w:val="none"/>
                <w:lang w:val="en-US" w:eastAsia="zh-CN"/>
              </w:rPr>
              <w:t xml:space="preserve"> 厂界噪声估测结果与达标分析一览表</w:t>
            </w:r>
          </w:p>
          <w:tbl>
            <w:tblPr>
              <w:tblStyle w:val="24"/>
              <w:tblW w:w="7631" w:type="dxa"/>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Layout w:type="fixed"/>
              <w:tblCellMar>
                <w:top w:w="0" w:type="dxa"/>
                <w:left w:w="108" w:type="dxa"/>
                <w:bottom w:w="0" w:type="dxa"/>
                <w:right w:w="108" w:type="dxa"/>
              </w:tblCellMar>
            </w:tblPr>
            <w:tblGrid>
              <w:gridCol w:w="1067"/>
              <w:gridCol w:w="715"/>
              <w:gridCol w:w="715"/>
              <w:gridCol w:w="717"/>
              <w:gridCol w:w="347"/>
              <w:gridCol w:w="648"/>
              <w:gridCol w:w="577"/>
              <w:gridCol w:w="721"/>
              <w:gridCol w:w="654"/>
              <w:gridCol w:w="813"/>
              <w:gridCol w:w="657"/>
            </w:tblGrid>
            <w:tr w14:paraId="7AFD8C1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12" w:hRule="atLeast"/>
                <w:jc w:val="center"/>
              </w:trPr>
              <w:tc>
                <w:tcPr>
                  <w:tcW w:w="1067" w:type="dxa"/>
                  <w:vMerge w:val="restart"/>
                  <w:tcBorders>
                    <w:tl2br w:val="nil"/>
                    <w:tr2bl w:val="nil"/>
                  </w:tcBorders>
                  <w:shd w:val="clear" w:color="auto" w:fill="auto"/>
                  <w:vAlign w:val="center"/>
                </w:tcPr>
                <w:p w14:paraId="45F2727D">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预测方位</w:t>
                  </w:r>
                </w:p>
              </w:tc>
              <w:tc>
                <w:tcPr>
                  <w:tcW w:w="2147" w:type="dxa"/>
                  <w:gridSpan w:val="3"/>
                  <w:tcBorders>
                    <w:tl2br w:val="nil"/>
                    <w:tr2bl w:val="nil"/>
                  </w:tcBorders>
                  <w:shd w:val="clear" w:color="auto" w:fill="auto"/>
                  <w:vAlign w:val="center"/>
                </w:tcPr>
                <w:p w14:paraId="2A57D8F8">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最大值点空间相对位置/m</w:t>
                  </w:r>
                </w:p>
              </w:tc>
              <w:tc>
                <w:tcPr>
                  <w:tcW w:w="347" w:type="dxa"/>
                  <w:vMerge w:val="restart"/>
                  <w:tcBorders>
                    <w:tl2br w:val="nil"/>
                    <w:tr2bl w:val="nil"/>
                  </w:tcBorders>
                  <w:shd w:val="clear" w:color="auto" w:fill="auto"/>
                  <w:vAlign w:val="center"/>
                </w:tcPr>
                <w:p w14:paraId="6D4C5741">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时段</w:t>
                  </w:r>
                </w:p>
              </w:tc>
              <w:tc>
                <w:tcPr>
                  <w:tcW w:w="648" w:type="dxa"/>
                  <w:tcBorders>
                    <w:tl2br w:val="nil"/>
                    <w:tr2bl w:val="nil"/>
                  </w:tcBorders>
                  <w:shd w:val="clear" w:color="auto" w:fill="auto"/>
                  <w:vAlign w:val="center"/>
                </w:tcPr>
                <w:p w14:paraId="117CE1C5">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贡献值</w:t>
                  </w:r>
                </w:p>
              </w:tc>
              <w:tc>
                <w:tcPr>
                  <w:tcW w:w="577" w:type="dxa"/>
                  <w:tcBorders>
                    <w:tl2br w:val="nil"/>
                    <w:tr2bl w:val="nil"/>
                  </w:tcBorders>
                  <w:shd w:val="clear" w:color="auto" w:fill="auto"/>
                  <w:vAlign w:val="center"/>
                </w:tcPr>
                <w:p w14:paraId="4FA135A0">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背景值</w:t>
                  </w:r>
                </w:p>
              </w:tc>
              <w:tc>
                <w:tcPr>
                  <w:tcW w:w="721" w:type="dxa"/>
                  <w:tcBorders>
                    <w:tl2br w:val="nil"/>
                    <w:tr2bl w:val="nil"/>
                  </w:tcBorders>
                  <w:shd w:val="clear" w:color="auto" w:fill="auto"/>
                  <w:vAlign w:val="center"/>
                </w:tcPr>
                <w:p w14:paraId="233C9AED">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叠加值</w:t>
                  </w:r>
                </w:p>
              </w:tc>
              <w:tc>
                <w:tcPr>
                  <w:tcW w:w="654" w:type="dxa"/>
                  <w:vMerge w:val="restart"/>
                  <w:tcBorders>
                    <w:tl2br w:val="nil"/>
                    <w:tr2bl w:val="nil"/>
                  </w:tcBorders>
                  <w:shd w:val="clear" w:color="auto" w:fill="auto"/>
                  <w:vAlign w:val="center"/>
                </w:tcPr>
                <w:p w14:paraId="737E03A6">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声环境功能区</w:t>
                  </w:r>
                </w:p>
              </w:tc>
              <w:tc>
                <w:tcPr>
                  <w:tcW w:w="813" w:type="dxa"/>
                  <w:vMerge w:val="restart"/>
                  <w:tcBorders>
                    <w:tl2br w:val="nil"/>
                    <w:tr2bl w:val="nil"/>
                  </w:tcBorders>
                  <w:shd w:val="clear" w:color="auto" w:fill="auto"/>
                  <w:vAlign w:val="center"/>
                </w:tcPr>
                <w:p w14:paraId="0F8162D6">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噪声排放标准限值/dB(A)</w:t>
                  </w:r>
                </w:p>
              </w:tc>
              <w:tc>
                <w:tcPr>
                  <w:tcW w:w="657" w:type="dxa"/>
                  <w:vMerge w:val="restart"/>
                  <w:tcBorders>
                    <w:tl2br w:val="nil"/>
                    <w:tr2bl w:val="nil"/>
                  </w:tcBorders>
                  <w:shd w:val="clear" w:color="auto" w:fill="auto"/>
                  <w:vAlign w:val="center"/>
                </w:tcPr>
                <w:p w14:paraId="1BD1F0AF">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达标情况</w:t>
                  </w:r>
                </w:p>
              </w:tc>
            </w:tr>
            <w:tr w14:paraId="3E95089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12" w:hRule="atLeast"/>
                <w:jc w:val="center"/>
              </w:trPr>
              <w:tc>
                <w:tcPr>
                  <w:tcW w:w="1067" w:type="dxa"/>
                  <w:vMerge w:val="continue"/>
                  <w:tcBorders>
                    <w:tl2br w:val="nil"/>
                    <w:tr2bl w:val="nil"/>
                  </w:tcBorders>
                  <w:shd w:val="clear" w:color="auto" w:fill="auto"/>
                  <w:vAlign w:val="center"/>
                </w:tcPr>
                <w:p w14:paraId="5F57E502">
                  <w:pPr>
                    <w:jc w:val="center"/>
                    <w:rPr>
                      <w:rFonts w:hint="default" w:ascii="Times New Roman" w:hAnsi="Times New Roman" w:eastAsia="宋体" w:cs="Times New Roman"/>
                      <w:i w:val="0"/>
                      <w:iCs w:val="0"/>
                      <w:color w:val="auto"/>
                      <w:sz w:val="18"/>
                      <w:szCs w:val="18"/>
                      <w:highlight w:val="none"/>
                      <w:u w:val="none"/>
                    </w:rPr>
                  </w:pPr>
                </w:p>
              </w:tc>
              <w:tc>
                <w:tcPr>
                  <w:tcW w:w="715" w:type="dxa"/>
                  <w:tcBorders>
                    <w:tl2br w:val="nil"/>
                    <w:tr2bl w:val="nil"/>
                  </w:tcBorders>
                  <w:shd w:val="clear" w:color="auto" w:fill="auto"/>
                  <w:vAlign w:val="center"/>
                </w:tcPr>
                <w:p w14:paraId="1AD35436">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X</w:t>
                  </w:r>
                </w:p>
              </w:tc>
              <w:tc>
                <w:tcPr>
                  <w:tcW w:w="715" w:type="dxa"/>
                  <w:tcBorders>
                    <w:tl2br w:val="nil"/>
                    <w:tr2bl w:val="nil"/>
                  </w:tcBorders>
                  <w:shd w:val="clear" w:color="auto" w:fill="auto"/>
                  <w:vAlign w:val="center"/>
                </w:tcPr>
                <w:p w14:paraId="20AA2126">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Y</w:t>
                  </w:r>
                </w:p>
              </w:tc>
              <w:tc>
                <w:tcPr>
                  <w:tcW w:w="717" w:type="dxa"/>
                  <w:tcBorders>
                    <w:tl2br w:val="nil"/>
                    <w:tr2bl w:val="nil"/>
                  </w:tcBorders>
                  <w:shd w:val="clear" w:color="auto" w:fill="auto"/>
                  <w:vAlign w:val="center"/>
                </w:tcPr>
                <w:p w14:paraId="034EA8EA">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Z</w:t>
                  </w:r>
                </w:p>
              </w:tc>
              <w:tc>
                <w:tcPr>
                  <w:tcW w:w="347" w:type="dxa"/>
                  <w:vMerge w:val="continue"/>
                  <w:tcBorders>
                    <w:tl2br w:val="nil"/>
                    <w:tr2bl w:val="nil"/>
                  </w:tcBorders>
                  <w:shd w:val="clear" w:color="auto" w:fill="auto"/>
                  <w:vAlign w:val="center"/>
                </w:tcPr>
                <w:p w14:paraId="338DAA1A">
                  <w:pPr>
                    <w:jc w:val="center"/>
                    <w:rPr>
                      <w:rFonts w:hint="default" w:ascii="Times New Roman" w:hAnsi="Times New Roman" w:eastAsia="宋体" w:cs="Times New Roman"/>
                      <w:i w:val="0"/>
                      <w:iCs w:val="0"/>
                      <w:color w:val="auto"/>
                      <w:sz w:val="18"/>
                      <w:szCs w:val="18"/>
                      <w:highlight w:val="none"/>
                      <w:u w:val="none"/>
                    </w:rPr>
                  </w:pPr>
                </w:p>
              </w:tc>
              <w:tc>
                <w:tcPr>
                  <w:tcW w:w="1946" w:type="dxa"/>
                  <w:gridSpan w:val="3"/>
                  <w:tcBorders>
                    <w:tl2br w:val="nil"/>
                    <w:tr2bl w:val="nil"/>
                  </w:tcBorders>
                  <w:shd w:val="clear" w:color="auto" w:fill="auto"/>
                  <w:vAlign w:val="center"/>
                </w:tcPr>
                <w:p w14:paraId="5A68C7A2">
                  <w:pPr>
                    <w:jc w:val="center"/>
                    <w:rPr>
                      <w:rFonts w:hint="default" w:ascii="Times New Roman" w:hAnsi="Times New Roman" w:eastAsia="宋体" w:cs="Times New Roman"/>
                      <w:i w:val="0"/>
                      <w:iCs w:val="0"/>
                      <w:color w:val="auto"/>
                      <w:sz w:val="18"/>
                      <w:szCs w:val="18"/>
                      <w:highlight w:val="none"/>
                      <w:u w:val="none"/>
                      <w:lang w:val="en-US" w:eastAsia="zh-CN"/>
                    </w:rPr>
                  </w:pPr>
                  <w:r>
                    <w:rPr>
                      <w:rFonts w:hint="default" w:ascii="Times New Roman" w:hAnsi="Times New Roman" w:eastAsia="宋体" w:cs="Times New Roman"/>
                      <w:i w:val="0"/>
                      <w:iCs w:val="0"/>
                      <w:color w:val="auto"/>
                      <w:sz w:val="18"/>
                      <w:szCs w:val="18"/>
                      <w:highlight w:val="none"/>
                      <w:u w:val="none"/>
                      <w:lang w:val="en-US" w:eastAsia="zh-CN"/>
                    </w:rPr>
                    <w:t>dB(A)</w:t>
                  </w:r>
                </w:p>
              </w:tc>
              <w:tc>
                <w:tcPr>
                  <w:tcW w:w="654" w:type="dxa"/>
                  <w:vMerge w:val="continue"/>
                  <w:tcBorders>
                    <w:tl2br w:val="nil"/>
                    <w:tr2bl w:val="nil"/>
                  </w:tcBorders>
                  <w:shd w:val="clear" w:color="auto" w:fill="auto"/>
                  <w:vAlign w:val="center"/>
                </w:tcPr>
                <w:p w14:paraId="557D1F69">
                  <w:pPr>
                    <w:jc w:val="center"/>
                    <w:rPr>
                      <w:rFonts w:hint="default" w:ascii="Times New Roman" w:hAnsi="Times New Roman" w:eastAsia="宋体" w:cs="Times New Roman"/>
                      <w:i w:val="0"/>
                      <w:iCs w:val="0"/>
                      <w:color w:val="auto"/>
                      <w:sz w:val="18"/>
                      <w:szCs w:val="18"/>
                      <w:highlight w:val="none"/>
                      <w:u w:val="none"/>
                    </w:rPr>
                  </w:pPr>
                </w:p>
              </w:tc>
              <w:tc>
                <w:tcPr>
                  <w:tcW w:w="813" w:type="dxa"/>
                  <w:vMerge w:val="continue"/>
                  <w:tcBorders>
                    <w:tl2br w:val="nil"/>
                    <w:tr2bl w:val="nil"/>
                  </w:tcBorders>
                  <w:shd w:val="clear" w:color="auto" w:fill="auto"/>
                  <w:vAlign w:val="center"/>
                </w:tcPr>
                <w:p w14:paraId="1F742C31">
                  <w:pPr>
                    <w:jc w:val="center"/>
                    <w:rPr>
                      <w:rFonts w:hint="default" w:ascii="Times New Roman" w:hAnsi="Times New Roman" w:eastAsia="宋体" w:cs="Times New Roman"/>
                      <w:i w:val="0"/>
                      <w:iCs w:val="0"/>
                      <w:color w:val="auto"/>
                      <w:sz w:val="18"/>
                      <w:szCs w:val="18"/>
                      <w:highlight w:val="none"/>
                      <w:u w:val="none"/>
                    </w:rPr>
                  </w:pPr>
                </w:p>
              </w:tc>
              <w:tc>
                <w:tcPr>
                  <w:tcW w:w="657" w:type="dxa"/>
                  <w:vMerge w:val="continue"/>
                  <w:tcBorders>
                    <w:tl2br w:val="nil"/>
                    <w:tr2bl w:val="nil"/>
                  </w:tcBorders>
                  <w:shd w:val="clear" w:color="auto" w:fill="auto"/>
                  <w:vAlign w:val="center"/>
                </w:tcPr>
                <w:p w14:paraId="51E07D5B">
                  <w:pPr>
                    <w:jc w:val="center"/>
                    <w:rPr>
                      <w:rFonts w:hint="default" w:ascii="Times New Roman" w:hAnsi="Times New Roman" w:eastAsia="宋体" w:cs="Times New Roman"/>
                      <w:i w:val="0"/>
                      <w:iCs w:val="0"/>
                      <w:color w:val="auto"/>
                      <w:sz w:val="18"/>
                      <w:szCs w:val="18"/>
                      <w:highlight w:val="none"/>
                      <w:u w:val="none"/>
                    </w:rPr>
                  </w:pPr>
                </w:p>
              </w:tc>
            </w:tr>
            <w:tr w14:paraId="1CF1428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12" w:hRule="atLeast"/>
                <w:jc w:val="center"/>
              </w:trPr>
              <w:tc>
                <w:tcPr>
                  <w:tcW w:w="1067" w:type="dxa"/>
                  <w:tcBorders>
                    <w:tl2br w:val="nil"/>
                    <w:tr2bl w:val="nil"/>
                  </w:tcBorders>
                  <w:shd w:val="clear" w:color="auto" w:fill="auto"/>
                  <w:vAlign w:val="center"/>
                </w:tcPr>
                <w:p w14:paraId="5E7B05CE">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东侧</w:t>
                  </w:r>
                </w:p>
              </w:tc>
              <w:tc>
                <w:tcPr>
                  <w:tcW w:w="715" w:type="dxa"/>
                  <w:tcBorders>
                    <w:tl2br w:val="nil"/>
                    <w:tr2bl w:val="nil"/>
                  </w:tcBorders>
                  <w:shd w:val="clear" w:color="auto" w:fill="auto"/>
                  <w:vAlign w:val="center"/>
                </w:tcPr>
                <w:p w14:paraId="728767B2">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38.29</w:t>
                  </w:r>
                </w:p>
              </w:tc>
              <w:tc>
                <w:tcPr>
                  <w:tcW w:w="715" w:type="dxa"/>
                  <w:tcBorders>
                    <w:tl2br w:val="nil"/>
                    <w:tr2bl w:val="nil"/>
                  </w:tcBorders>
                  <w:shd w:val="clear" w:color="auto" w:fill="auto"/>
                  <w:vAlign w:val="center"/>
                </w:tcPr>
                <w:p w14:paraId="58549F20">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10.88</w:t>
                  </w:r>
                </w:p>
              </w:tc>
              <w:tc>
                <w:tcPr>
                  <w:tcW w:w="717" w:type="dxa"/>
                  <w:tcBorders>
                    <w:tl2br w:val="nil"/>
                    <w:tr2bl w:val="nil"/>
                  </w:tcBorders>
                  <w:shd w:val="clear" w:color="auto" w:fill="auto"/>
                  <w:vAlign w:val="center"/>
                </w:tcPr>
                <w:p w14:paraId="3B29FBCB">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1.2</w:t>
                  </w:r>
                </w:p>
              </w:tc>
              <w:tc>
                <w:tcPr>
                  <w:tcW w:w="347" w:type="dxa"/>
                  <w:vMerge w:val="restart"/>
                  <w:tcBorders>
                    <w:tl2br w:val="nil"/>
                    <w:tr2bl w:val="nil"/>
                  </w:tcBorders>
                  <w:shd w:val="clear" w:color="auto" w:fill="auto"/>
                  <w:vAlign w:val="center"/>
                </w:tcPr>
                <w:p w14:paraId="0DCFC064">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昼间</w:t>
                  </w:r>
                </w:p>
                <w:p w14:paraId="3609B7DF">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p>
              </w:tc>
              <w:tc>
                <w:tcPr>
                  <w:tcW w:w="648" w:type="dxa"/>
                  <w:tcBorders>
                    <w:tl2br w:val="nil"/>
                    <w:tr2bl w:val="nil"/>
                  </w:tcBorders>
                  <w:shd w:val="clear" w:color="auto" w:fill="auto"/>
                  <w:vAlign w:val="center"/>
                </w:tcPr>
                <w:p w14:paraId="2900C76A">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62.51</w:t>
                  </w:r>
                </w:p>
              </w:tc>
              <w:tc>
                <w:tcPr>
                  <w:tcW w:w="577" w:type="dxa"/>
                  <w:vMerge w:val="restart"/>
                  <w:tcBorders>
                    <w:tl2br w:val="nil"/>
                    <w:tr2bl w:val="nil"/>
                  </w:tcBorders>
                  <w:shd w:val="clear" w:color="auto" w:fill="auto"/>
                  <w:vAlign w:val="center"/>
                </w:tcPr>
                <w:p w14:paraId="0A48F4AA">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w:t>
                  </w:r>
                </w:p>
              </w:tc>
              <w:tc>
                <w:tcPr>
                  <w:tcW w:w="721" w:type="dxa"/>
                  <w:vMerge w:val="restart"/>
                  <w:tcBorders>
                    <w:tl2br w:val="nil"/>
                    <w:tr2bl w:val="nil"/>
                  </w:tcBorders>
                  <w:shd w:val="clear" w:color="auto" w:fill="auto"/>
                  <w:vAlign w:val="center"/>
                </w:tcPr>
                <w:p w14:paraId="2687FC7E">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w:t>
                  </w:r>
                </w:p>
              </w:tc>
              <w:tc>
                <w:tcPr>
                  <w:tcW w:w="654" w:type="dxa"/>
                  <w:tcBorders>
                    <w:tl2br w:val="nil"/>
                    <w:tr2bl w:val="nil"/>
                  </w:tcBorders>
                  <w:shd w:val="clear" w:color="auto" w:fill="auto"/>
                  <w:vAlign w:val="center"/>
                </w:tcPr>
                <w:p w14:paraId="7344AD6F">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4a</w:t>
                  </w:r>
                </w:p>
              </w:tc>
              <w:tc>
                <w:tcPr>
                  <w:tcW w:w="813" w:type="dxa"/>
                  <w:tcBorders>
                    <w:tl2br w:val="nil"/>
                    <w:tr2bl w:val="nil"/>
                  </w:tcBorders>
                  <w:shd w:val="clear" w:color="auto" w:fill="auto"/>
                  <w:vAlign w:val="center"/>
                </w:tcPr>
                <w:p w14:paraId="0FEBDB01">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70</w:t>
                  </w:r>
                </w:p>
              </w:tc>
              <w:tc>
                <w:tcPr>
                  <w:tcW w:w="657" w:type="dxa"/>
                  <w:tcBorders>
                    <w:tl2br w:val="nil"/>
                    <w:tr2bl w:val="nil"/>
                  </w:tcBorders>
                  <w:shd w:val="clear" w:color="auto" w:fill="auto"/>
                  <w:vAlign w:val="center"/>
                </w:tcPr>
                <w:p w14:paraId="4CFEEA7A">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达标</w:t>
                  </w:r>
                </w:p>
              </w:tc>
            </w:tr>
            <w:tr w14:paraId="1969B3C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12" w:hRule="atLeast"/>
                <w:jc w:val="center"/>
              </w:trPr>
              <w:tc>
                <w:tcPr>
                  <w:tcW w:w="1067" w:type="dxa"/>
                  <w:tcBorders>
                    <w:tl2br w:val="nil"/>
                    <w:tr2bl w:val="nil"/>
                  </w:tcBorders>
                  <w:shd w:val="clear" w:color="auto" w:fill="auto"/>
                  <w:vAlign w:val="center"/>
                </w:tcPr>
                <w:p w14:paraId="7B505E87">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南侧</w:t>
                  </w:r>
                </w:p>
              </w:tc>
              <w:tc>
                <w:tcPr>
                  <w:tcW w:w="715" w:type="dxa"/>
                  <w:tcBorders>
                    <w:tl2br w:val="nil"/>
                    <w:tr2bl w:val="nil"/>
                  </w:tcBorders>
                  <w:shd w:val="clear" w:color="auto" w:fill="auto"/>
                  <w:vAlign w:val="center"/>
                </w:tcPr>
                <w:p w14:paraId="55C91B78">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24.43</w:t>
                  </w:r>
                </w:p>
              </w:tc>
              <w:tc>
                <w:tcPr>
                  <w:tcW w:w="715" w:type="dxa"/>
                  <w:tcBorders>
                    <w:tl2br w:val="nil"/>
                    <w:tr2bl w:val="nil"/>
                  </w:tcBorders>
                  <w:shd w:val="clear" w:color="auto" w:fill="auto"/>
                  <w:vAlign w:val="center"/>
                </w:tcPr>
                <w:p w14:paraId="3422D9AA">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2.85</w:t>
                  </w:r>
                </w:p>
              </w:tc>
              <w:tc>
                <w:tcPr>
                  <w:tcW w:w="717" w:type="dxa"/>
                  <w:tcBorders>
                    <w:tl2br w:val="nil"/>
                    <w:tr2bl w:val="nil"/>
                  </w:tcBorders>
                  <w:shd w:val="clear" w:color="auto" w:fill="auto"/>
                  <w:vAlign w:val="center"/>
                </w:tcPr>
                <w:p w14:paraId="645D8088">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1.2</w:t>
                  </w:r>
                </w:p>
              </w:tc>
              <w:tc>
                <w:tcPr>
                  <w:tcW w:w="347" w:type="dxa"/>
                  <w:vMerge w:val="continue"/>
                  <w:tcBorders>
                    <w:tl2br w:val="nil"/>
                    <w:tr2bl w:val="nil"/>
                  </w:tcBorders>
                  <w:shd w:val="clear" w:color="auto" w:fill="auto"/>
                  <w:vAlign w:val="center"/>
                </w:tcPr>
                <w:p w14:paraId="269EEDEB">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p>
              </w:tc>
              <w:tc>
                <w:tcPr>
                  <w:tcW w:w="648" w:type="dxa"/>
                  <w:tcBorders>
                    <w:tl2br w:val="nil"/>
                    <w:tr2bl w:val="nil"/>
                  </w:tcBorders>
                  <w:shd w:val="clear" w:color="auto" w:fill="auto"/>
                  <w:vAlign w:val="center"/>
                </w:tcPr>
                <w:p w14:paraId="77CCC55C">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62.</w:t>
                  </w:r>
                  <w:r>
                    <w:rPr>
                      <w:rFonts w:hint="default" w:cs="Times New Roman"/>
                      <w:i w:val="0"/>
                      <w:iCs w:val="0"/>
                      <w:color w:val="auto"/>
                      <w:kern w:val="0"/>
                      <w:sz w:val="18"/>
                      <w:szCs w:val="18"/>
                      <w:highlight w:val="none"/>
                      <w:u w:val="none"/>
                      <w:lang w:val="en-US" w:eastAsia="zh-CN" w:bidi="ar"/>
                    </w:rPr>
                    <w:t>86</w:t>
                  </w:r>
                </w:p>
              </w:tc>
              <w:tc>
                <w:tcPr>
                  <w:tcW w:w="577" w:type="dxa"/>
                  <w:vMerge w:val="continue"/>
                  <w:tcBorders>
                    <w:tl2br w:val="nil"/>
                    <w:tr2bl w:val="nil"/>
                  </w:tcBorders>
                  <w:shd w:val="clear" w:color="auto" w:fill="auto"/>
                  <w:vAlign w:val="center"/>
                </w:tcPr>
                <w:p w14:paraId="66ECD29E">
                  <w:pPr>
                    <w:jc w:val="center"/>
                    <w:rPr>
                      <w:rFonts w:hint="default" w:ascii="Times New Roman" w:hAnsi="Times New Roman" w:eastAsia="宋体" w:cs="Times New Roman"/>
                      <w:i w:val="0"/>
                      <w:iCs w:val="0"/>
                      <w:color w:val="auto"/>
                      <w:sz w:val="18"/>
                      <w:szCs w:val="18"/>
                      <w:highlight w:val="none"/>
                      <w:u w:val="none"/>
                    </w:rPr>
                  </w:pPr>
                </w:p>
              </w:tc>
              <w:tc>
                <w:tcPr>
                  <w:tcW w:w="721" w:type="dxa"/>
                  <w:vMerge w:val="continue"/>
                  <w:tcBorders>
                    <w:tl2br w:val="nil"/>
                    <w:tr2bl w:val="nil"/>
                  </w:tcBorders>
                  <w:shd w:val="clear" w:color="auto" w:fill="auto"/>
                  <w:vAlign w:val="center"/>
                </w:tcPr>
                <w:p w14:paraId="4C18DF95">
                  <w:pPr>
                    <w:jc w:val="center"/>
                    <w:rPr>
                      <w:rFonts w:hint="default" w:ascii="Times New Roman" w:hAnsi="Times New Roman" w:eastAsia="宋体" w:cs="Times New Roman"/>
                      <w:i w:val="0"/>
                      <w:iCs w:val="0"/>
                      <w:color w:val="auto"/>
                      <w:sz w:val="18"/>
                      <w:szCs w:val="18"/>
                      <w:highlight w:val="none"/>
                      <w:u w:val="none"/>
                    </w:rPr>
                  </w:pPr>
                </w:p>
              </w:tc>
              <w:tc>
                <w:tcPr>
                  <w:tcW w:w="654" w:type="dxa"/>
                  <w:tcBorders>
                    <w:tl2br w:val="nil"/>
                    <w:tr2bl w:val="nil"/>
                  </w:tcBorders>
                  <w:shd w:val="clear" w:color="auto" w:fill="auto"/>
                  <w:vAlign w:val="center"/>
                </w:tcPr>
                <w:p w14:paraId="0D137DD6">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3</w:t>
                  </w:r>
                </w:p>
              </w:tc>
              <w:tc>
                <w:tcPr>
                  <w:tcW w:w="813" w:type="dxa"/>
                  <w:tcBorders>
                    <w:tl2br w:val="nil"/>
                    <w:tr2bl w:val="nil"/>
                  </w:tcBorders>
                  <w:shd w:val="clear" w:color="auto" w:fill="auto"/>
                  <w:vAlign w:val="center"/>
                </w:tcPr>
                <w:p w14:paraId="1F017625">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65</w:t>
                  </w:r>
                </w:p>
              </w:tc>
              <w:tc>
                <w:tcPr>
                  <w:tcW w:w="657" w:type="dxa"/>
                  <w:tcBorders>
                    <w:tl2br w:val="nil"/>
                    <w:tr2bl w:val="nil"/>
                  </w:tcBorders>
                  <w:shd w:val="clear" w:color="auto" w:fill="auto"/>
                  <w:vAlign w:val="center"/>
                </w:tcPr>
                <w:p w14:paraId="2056FFB0">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达标</w:t>
                  </w:r>
                </w:p>
              </w:tc>
            </w:tr>
            <w:tr w14:paraId="3C8020E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12" w:hRule="atLeast"/>
                <w:jc w:val="center"/>
              </w:trPr>
              <w:tc>
                <w:tcPr>
                  <w:tcW w:w="1067" w:type="dxa"/>
                  <w:tcBorders>
                    <w:tl2br w:val="nil"/>
                    <w:tr2bl w:val="nil"/>
                  </w:tcBorders>
                  <w:shd w:val="clear" w:color="auto" w:fill="auto"/>
                  <w:vAlign w:val="center"/>
                </w:tcPr>
                <w:p w14:paraId="66E98855">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西侧</w:t>
                  </w:r>
                </w:p>
              </w:tc>
              <w:tc>
                <w:tcPr>
                  <w:tcW w:w="715" w:type="dxa"/>
                  <w:tcBorders>
                    <w:tl2br w:val="nil"/>
                    <w:tr2bl w:val="nil"/>
                  </w:tcBorders>
                  <w:shd w:val="clear" w:color="auto" w:fill="auto"/>
                  <w:vAlign w:val="center"/>
                </w:tcPr>
                <w:p w14:paraId="4C77D7B7">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-1.15</w:t>
                  </w:r>
                </w:p>
              </w:tc>
              <w:tc>
                <w:tcPr>
                  <w:tcW w:w="715" w:type="dxa"/>
                  <w:tcBorders>
                    <w:tl2br w:val="nil"/>
                    <w:tr2bl w:val="nil"/>
                  </w:tcBorders>
                  <w:shd w:val="clear" w:color="auto" w:fill="auto"/>
                  <w:vAlign w:val="center"/>
                </w:tcPr>
                <w:p w14:paraId="41C31D61">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-1.37</w:t>
                  </w:r>
                </w:p>
              </w:tc>
              <w:tc>
                <w:tcPr>
                  <w:tcW w:w="717" w:type="dxa"/>
                  <w:tcBorders>
                    <w:tl2br w:val="nil"/>
                    <w:tr2bl w:val="nil"/>
                  </w:tcBorders>
                  <w:shd w:val="clear" w:color="auto" w:fill="auto"/>
                  <w:vAlign w:val="center"/>
                </w:tcPr>
                <w:p w14:paraId="2F57EFAE">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1.2</w:t>
                  </w:r>
                </w:p>
              </w:tc>
              <w:tc>
                <w:tcPr>
                  <w:tcW w:w="347" w:type="dxa"/>
                  <w:vMerge w:val="continue"/>
                  <w:tcBorders>
                    <w:tl2br w:val="nil"/>
                    <w:tr2bl w:val="nil"/>
                  </w:tcBorders>
                  <w:shd w:val="clear" w:color="auto" w:fill="auto"/>
                  <w:vAlign w:val="center"/>
                </w:tcPr>
                <w:p w14:paraId="55B8501B">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p>
              </w:tc>
              <w:tc>
                <w:tcPr>
                  <w:tcW w:w="648" w:type="dxa"/>
                  <w:tcBorders>
                    <w:tl2br w:val="nil"/>
                    <w:tr2bl w:val="nil"/>
                  </w:tcBorders>
                  <w:shd w:val="clear" w:color="auto" w:fill="auto"/>
                  <w:vAlign w:val="center"/>
                </w:tcPr>
                <w:p w14:paraId="16F4F9F1">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lang w:val="en-US"/>
                    </w:rPr>
                  </w:pPr>
                  <w:r>
                    <w:rPr>
                      <w:rFonts w:hint="default" w:cs="Times New Roman"/>
                      <w:i w:val="0"/>
                      <w:iCs w:val="0"/>
                      <w:color w:val="auto"/>
                      <w:kern w:val="0"/>
                      <w:sz w:val="18"/>
                      <w:szCs w:val="18"/>
                      <w:highlight w:val="none"/>
                      <w:u w:val="none"/>
                      <w:lang w:val="en-US" w:eastAsia="zh-CN" w:bidi="ar"/>
                    </w:rPr>
                    <w:t>62.56</w:t>
                  </w:r>
                </w:p>
              </w:tc>
              <w:tc>
                <w:tcPr>
                  <w:tcW w:w="577" w:type="dxa"/>
                  <w:vMerge w:val="continue"/>
                  <w:tcBorders>
                    <w:tl2br w:val="nil"/>
                    <w:tr2bl w:val="nil"/>
                  </w:tcBorders>
                  <w:shd w:val="clear" w:color="auto" w:fill="auto"/>
                  <w:vAlign w:val="center"/>
                </w:tcPr>
                <w:p w14:paraId="57EB4996">
                  <w:pPr>
                    <w:jc w:val="center"/>
                    <w:rPr>
                      <w:rFonts w:hint="default" w:ascii="Times New Roman" w:hAnsi="Times New Roman" w:eastAsia="宋体" w:cs="Times New Roman"/>
                      <w:i w:val="0"/>
                      <w:iCs w:val="0"/>
                      <w:color w:val="auto"/>
                      <w:sz w:val="18"/>
                      <w:szCs w:val="18"/>
                      <w:highlight w:val="none"/>
                      <w:u w:val="none"/>
                    </w:rPr>
                  </w:pPr>
                </w:p>
              </w:tc>
              <w:tc>
                <w:tcPr>
                  <w:tcW w:w="721" w:type="dxa"/>
                  <w:vMerge w:val="continue"/>
                  <w:tcBorders>
                    <w:tl2br w:val="nil"/>
                    <w:tr2bl w:val="nil"/>
                  </w:tcBorders>
                  <w:shd w:val="clear" w:color="auto" w:fill="auto"/>
                  <w:vAlign w:val="center"/>
                </w:tcPr>
                <w:p w14:paraId="0C80EAC6">
                  <w:pPr>
                    <w:jc w:val="center"/>
                    <w:rPr>
                      <w:rFonts w:hint="default" w:ascii="Times New Roman" w:hAnsi="Times New Roman" w:eastAsia="宋体" w:cs="Times New Roman"/>
                      <w:i w:val="0"/>
                      <w:iCs w:val="0"/>
                      <w:color w:val="auto"/>
                      <w:sz w:val="18"/>
                      <w:szCs w:val="18"/>
                      <w:highlight w:val="none"/>
                      <w:u w:val="none"/>
                    </w:rPr>
                  </w:pPr>
                </w:p>
              </w:tc>
              <w:tc>
                <w:tcPr>
                  <w:tcW w:w="654" w:type="dxa"/>
                  <w:tcBorders>
                    <w:tl2br w:val="nil"/>
                    <w:tr2bl w:val="nil"/>
                  </w:tcBorders>
                  <w:shd w:val="clear" w:color="auto" w:fill="auto"/>
                  <w:vAlign w:val="center"/>
                </w:tcPr>
                <w:p w14:paraId="4300F079">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3</w:t>
                  </w:r>
                </w:p>
              </w:tc>
              <w:tc>
                <w:tcPr>
                  <w:tcW w:w="813" w:type="dxa"/>
                  <w:tcBorders>
                    <w:tl2br w:val="nil"/>
                    <w:tr2bl w:val="nil"/>
                  </w:tcBorders>
                  <w:shd w:val="clear" w:color="auto" w:fill="auto"/>
                  <w:vAlign w:val="center"/>
                </w:tcPr>
                <w:p w14:paraId="688CF5AF">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65</w:t>
                  </w:r>
                </w:p>
              </w:tc>
              <w:tc>
                <w:tcPr>
                  <w:tcW w:w="657" w:type="dxa"/>
                  <w:tcBorders>
                    <w:tl2br w:val="nil"/>
                    <w:tr2bl w:val="nil"/>
                  </w:tcBorders>
                  <w:shd w:val="clear" w:color="auto" w:fill="auto"/>
                  <w:vAlign w:val="center"/>
                </w:tcPr>
                <w:p w14:paraId="2BE4FCD8">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达标</w:t>
                  </w:r>
                </w:p>
              </w:tc>
            </w:tr>
            <w:tr w14:paraId="7564A91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12" w:hRule="atLeast"/>
                <w:jc w:val="center"/>
              </w:trPr>
              <w:tc>
                <w:tcPr>
                  <w:tcW w:w="1067" w:type="dxa"/>
                  <w:tcBorders>
                    <w:tl2br w:val="nil"/>
                    <w:tr2bl w:val="nil"/>
                  </w:tcBorders>
                  <w:shd w:val="clear" w:color="auto" w:fill="auto"/>
                  <w:vAlign w:val="center"/>
                </w:tcPr>
                <w:p w14:paraId="7876D16D">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北侧</w:t>
                  </w:r>
                </w:p>
              </w:tc>
              <w:tc>
                <w:tcPr>
                  <w:tcW w:w="715" w:type="dxa"/>
                  <w:tcBorders>
                    <w:tl2br w:val="nil"/>
                    <w:tr2bl w:val="nil"/>
                  </w:tcBorders>
                  <w:shd w:val="clear" w:color="auto" w:fill="auto"/>
                  <w:vAlign w:val="center"/>
                </w:tcPr>
                <w:p w14:paraId="221F81E8">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8.28</w:t>
                  </w:r>
                </w:p>
              </w:tc>
              <w:tc>
                <w:tcPr>
                  <w:tcW w:w="715" w:type="dxa"/>
                  <w:tcBorders>
                    <w:tl2br w:val="nil"/>
                    <w:tr2bl w:val="nil"/>
                  </w:tcBorders>
                  <w:shd w:val="clear" w:color="auto" w:fill="auto"/>
                  <w:vAlign w:val="center"/>
                </w:tcPr>
                <w:p w14:paraId="0BCAFC23">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32.81</w:t>
                  </w:r>
                </w:p>
              </w:tc>
              <w:tc>
                <w:tcPr>
                  <w:tcW w:w="717" w:type="dxa"/>
                  <w:tcBorders>
                    <w:tl2br w:val="nil"/>
                    <w:tr2bl w:val="nil"/>
                  </w:tcBorders>
                  <w:shd w:val="clear" w:color="auto" w:fill="auto"/>
                  <w:vAlign w:val="center"/>
                </w:tcPr>
                <w:p w14:paraId="60C7F2E8">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1.2</w:t>
                  </w:r>
                </w:p>
              </w:tc>
              <w:tc>
                <w:tcPr>
                  <w:tcW w:w="347" w:type="dxa"/>
                  <w:vMerge w:val="continue"/>
                  <w:tcBorders>
                    <w:tl2br w:val="nil"/>
                    <w:tr2bl w:val="nil"/>
                  </w:tcBorders>
                  <w:shd w:val="clear" w:color="auto" w:fill="auto"/>
                  <w:vAlign w:val="center"/>
                </w:tcPr>
                <w:p w14:paraId="177BE95D">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p>
              </w:tc>
              <w:tc>
                <w:tcPr>
                  <w:tcW w:w="648" w:type="dxa"/>
                  <w:tcBorders>
                    <w:tl2br w:val="nil"/>
                    <w:tr2bl w:val="nil"/>
                  </w:tcBorders>
                  <w:shd w:val="clear" w:color="auto" w:fill="auto"/>
                  <w:vAlign w:val="center"/>
                </w:tcPr>
                <w:p w14:paraId="6FBF1337">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62.</w:t>
                  </w:r>
                  <w:r>
                    <w:rPr>
                      <w:rFonts w:hint="default" w:cs="Times New Roman"/>
                      <w:i w:val="0"/>
                      <w:iCs w:val="0"/>
                      <w:color w:val="auto"/>
                      <w:kern w:val="0"/>
                      <w:sz w:val="18"/>
                      <w:szCs w:val="18"/>
                      <w:highlight w:val="none"/>
                      <w:u w:val="none"/>
                      <w:lang w:val="en-US" w:eastAsia="zh-CN" w:bidi="ar"/>
                    </w:rPr>
                    <w:t>5</w:t>
                  </w:r>
                  <w:r>
                    <w:rPr>
                      <w:rFonts w:hint="default" w:ascii="Times New Roman" w:hAnsi="Times New Roman" w:eastAsia="宋体" w:cs="Times New Roman"/>
                      <w:i w:val="0"/>
                      <w:iCs w:val="0"/>
                      <w:color w:val="auto"/>
                      <w:kern w:val="0"/>
                      <w:sz w:val="18"/>
                      <w:szCs w:val="18"/>
                      <w:highlight w:val="none"/>
                      <w:u w:val="none"/>
                      <w:lang w:val="en-US" w:eastAsia="zh-CN" w:bidi="ar"/>
                    </w:rPr>
                    <w:t>6</w:t>
                  </w:r>
                </w:p>
              </w:tc>
              <w:tc>
                <w:tcPr>
                  <w:tcW w:w="577" w:type="dxa"/>
                  <w:vMerge w:val="continue"/>
                  <w:tcBorders>
                    <w:tl2br w:val="nil"/>
                    <w:tr2bl w:val="nil"/>
                  </w:tcBorders>
                  <w:shd w:val="clear" w:color="auto" w:fill="auto"/>
                  <w:vAlign w:val="center"/>
                </w:tcPr>
                <w:p w14:paraId="45CF2B8A">
                  <w:pPr>
                    <w:jc w:val="center"/>
                    <w:rPr>
                      <w:rFonts w:hint="default" w:ascii="Times New Roman" w:hAnsi="Times New Roman" w:eastAsia="宋体" w:cs="Times New Roman"/>
                      <w:i w:val="0"/>
                      <w:iCs w:val="0"/>
                      <w:color w:val="auto"/>
                      <w:sz w:val="18"/>
                      <w:szCs w:val="18"/>
                      <w:highlight w:val="none"/>
                      <w:u w:val="none"/>
                    </w:rPr>
                  </w:pPr>
                </w:p>
              </w:tc>
              <w:tc>
                <w:tcPr>
                  <w:tcW w:w="721" w:type="dxa"/>
                  <w:vMerge w:val="continue"/>
                  <w:tcBorders>
                    <w:tl2br w:val="nil"/>
                    <w:tr2bl w:val="nil"/>
                  </w:tcBorders>
                  <w:shd w:val="clear" w:color="auto" w:fill="auto"/>
                  <w:vAlign w:val="center"/>
                </w:tcPr>
                <w:p w14:paraId="7550E5F7">
                  <w:pPr>
                    <w:jc w:val="center"/>
                    <w:rPr>
                      <w:rFonts w:hint="default" w:ascii="Times New Roman" w:hAnsi="Times New Roman" w:eastAsia="宋体" w:cs="Times New Roman"/>
                      <w:i w:val="0"/>
                      <w:iCs w:val="0"/>
                      <w:color w:val="auto"/>
                      <w:sz w:val="18"/>
                      <w:szCs w:val="18"/>
                      <w:highlight w:val="none"/>
                      <w:u w:val="none"/>
                    </w:rPr>
                  </w:pPr>
                </w:p>
              </w:tc>
              <w:tc>
                <w:tcPr>
                  <w:tcW w:w="654" w:type="dxa"/>
                  <w:tcBorders>
                    <w:tl2br w:val="nil"/>
                    <w:tr2bl w:val="nil"/>
                  </w:tcBorders>
                  <w:shd w:val="clear" w:color="auto" w:fill="auto"/>
                  <w:vAlign w:val="center"/>
                </w:tcPr>
                <w:p w14:paraId="73463695">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3</w:t>
                  </w:r>
                </w:p>
              </w:tc>
              <w:tc>
                <w:tcPr>
                  <w:tcW w:w="813" w:type="dxa"/>
                  <w:tcBorders>
                    <w:tl2br w:val="nil"/>
                    <w:tr2bl w:val="nil"/>
                  </w:tcBorders>
                  <w:shd w:val="clear" w:color="auto" w:fill="auto"/>
                  <w:vAlign w:val="center"/>
                </w:tcPr>
                <w:p w14:paraId="5B8CA219">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65</w:t>
                  </w:r>
                </w:p>
              </w:tc>
              <w:tc>
                <w:tcPr>
                  <w:tcW w:w="657" w:type="dxa"/>
                  <w:tcBorders>
                    <w:tl2br w:val="nil"/>
                    <w:tr2bl w:val="nil"/>
                  </w:tcBorders>
                  <w:shd w:val="clear" w:color="auto" w:fill="auto"/>
                  <w:vAlign w:val="center"/>
                </w:tcPr>
                <w:p w14:paraId="28C4F512">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达标</w:t>
                  </w:r>
                </w:p>
              </w:tc>
            </w:tr>
            <w:tr w14:paraId="0A12D71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32" w:hRule="atLeast"/>
                <w:jc w:val="center"/>
              </w:trPr>
              <w:tc>
                <w:tcPr>
                  <w:tcW w:w="1067" w:type="dxa"/>
                  <w:tcBorders>
                    <w:tl2br w:val="nil"/>
                    <w:tr2bl w:val="nil"/>
                  </w:tcBorders>
                  <w:shd w:val="clear" w:color="auto" w:fill="auto"/>
                  <w:vAlign w:val="center"/>
                </w:tcPr>
                <w:p w14:paraId="29D3668D">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洛山社区党群服务中心</w:t>
                  </w:r>
                </w:p>
              </w:tc>
              <w:tc>
                <w:tcPr>
                  <w:tcW w:w="715" w:type="dxa"/>
                  <w:tcBorders>
                    <w:tl2br w:val="nil"/>
                    <w:tr2bl w:val="nil"/>
                  </w:tcBorders>
                  <w:shd w:val="clear" w:color="auto" w:fill="auto"/>
                  <w:vAlign w:val="center"/>
                </w:tcPr>
                <w:p w14:paraId="7D8509E8">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9.02</w:t>
                  </w:r>
                </w:p>
              </w:tc>
              <w:tc>
                <w:tcPr>
                  <w:tcW w:w="715" w:type="dxa"/>
                  <w:tcBorders>
                    <w:tl2br w:val="nil"/>
                    <w:tr2bl w:val="nil"/>
                  </w:tcBorders>
                  <w:shd w:val="clear" w:color="auto" w:fill="auto"/>
                  <w:vAlign w:val="center"/>
                </w:tcPr>
                <w:p w14:paraId="2863F00F">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-31.16</w:t>
                  </w:r>
                </w:p>
              </w:tc>
              <w:tc>
                <w:tcPr>
                  <w:tcW w:w="717" w:type="dxa"/>
                  <w:tcBorders>
                    <w:tl2br w:val="nil"/>
                    <w:tr2bl w:val="nil"/>
                  </w:tcBorders>
                  <w:shd w:val="clear" w:color="auto" w:fill="auto"/>
                  <w:vAlign w:val="center"/>
                </w:tcPr>
                <w:p w14:paraId="704667EA">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1.2</w:t>
                  </w:r>
                </w:p>
              </w:tc>
              <w:tc>
                <w:tcPr>
                  <w:tcW w:w="347" w:type="dxa"/>
                  <w:vMerge w:val="continue"/>
                  <w:tcBorders>
                    <w:tl2br w:val="nil"/>
                    <w:tr2bl w:val="nil"/>
                  </w:tcBorders>
                  <w:shd w:val="clear" w:color="auto" w:fill="auto"/>
                  <w:vAlign w:val="center"/>
                </w:tcPr>
                <w:p w14:paraId="358CAC25">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p>
              </w:tc>
              <w:tc>
                <w:tcPr>
                  <w:tcW w:w="648" w:type="dxa"/>
                  <w:tcBorders>
                    <w:tl2br w:val="nil"/>
                    <w:tr2bl w:val="nil"/>
                  </w:tcBorders>
                  <w:shd w:val="clear" w:color="auto" w:fill="auto"/>
                  <w:vAlign w:val="center"/>
                </w:tcPr>
                <w:p w14:paraId="6C3A5120">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54.08</w:t>
                  </w:r>
                </w:p>
              </w:tc>
              <w:tc>
                <w:tcPr>
                  <w:tcW w:w="577" w:type="dxa"/>
                  <w:tcBorders>
                    <w:tl2br w:val="nil"/>
                    <w:tr2bl w:val="nil"/>
                  </w:tcBorders>
                  <w:shd w:val="clear" w:color="auto" w:fill="auto"/>
                  <w:vAlign w:val="center"/>
                </w:tcPr>
                <w:p w14:paraId="3F1041EC">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cs="Times New Roman"/>
                      <w:i w:val="0"/>
                      <w:iCs w:val="0"/>
                      <w:color w:val="auto"/>
                      <w:kern w:val="0"/>
                      <w:sz w:val="18"/>
                      <w:szCs w:val="18"/>
                      <w:highlight w:val="none"/>
                      <w:u w:val="none"/>
                      <w:lang w:val="en-US" w:eastAsia="zh-CN" w:bidi="ar"/>
                    </w:rPr>
                    <w:t>56</w:t>
                  </w:r>
                </w:p>
              </w:tc>
              <w:tc>
                <w:tcPr>
                  <w:tcW w:w="721" w:type="dxa"/>
                  <w:tcBorders>
                    <w:tl2br w:val="nil"/>
                    <w:tr2bl w:val="nil"/>
                  </w:tcBorders>
                  <w:shd w:val="clear" w:color="auto" w:fill="auto"/>
                  <w:vAlign w:val="center"/>
                </w:tcPr>
                <w:p w14:paraId="1793D79E">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cs="Times New Roman"/>
                      <w:i w:val="0"/>
                      <w:iCs w:val="0"/>
                      <w:color w:val="auto"/>
                      <w:kern w:val="0"/>
                      <w:sz w:val="18"/>
                      <w:szCs w:val="18"/>
                      <w:highlight w:val="none"/>
                      <w:u w:val="none"/>
                      <w:lang w:val="en-US" w:eastAsia="zh-CN" w:bidi="ar"/>
                    </w:rPr>
                    <w:t>58.16</w:t>
                  </w:r>
                </w:p>
              </w:tc>
              <w:tc>
                <w:tcPr>
                  <w:tcW w:w="654" w:type="dxa"/>
                  <w:tcBorders>
                    <w:tl2br w:val="nil"/>
                    <w:tr2bl w:val="nil"/>
                  </w:tcBorders>
                  <w:shd w:val="clear" w:color="auto" w:fill="auto"/>
                  <w:vAlign w:val="center"/>
                </w:tcPr>
                <w:p w14:paraId="4B65F1AB">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2</w:t>
                  </w:r>
                </w:p>
              </w:tc>
              <w:tc>
                <w:tcPr>
                  <w:tcW w:w="813" w:type="dxa"/>
                  <w:tcBorders>
                    <w:tl2br w:val="nil"/>
                    <w:tr2bl w:val="nil"/>
                  </w:tcBorders>
                  <w:shd w:val="clear" w:color="auto" w:fill="auto"/>
                  <w:vAlign w:val="center"/>
                </w:tcPr>
                <w:p w14:paraId="3D0E94AA">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60</w:t>
                  </w:r>
                </w:p>
              </w:tc>
              <w:tc>
                <w:tcPr>
                  <w:tcW w:w="657" w:type="dxa"/>
                  <w:tcBorders>
                    <w:tl2br w:val="nil"/>
                    <w:tr2bl w:val="nil"/>
                  </w:tcBorders>
                  <w:shd w:val="clear" w:color="auto" w:fill="auto"/>
                  <w:vAlign w:val="center"/>
                </w:tcPr>
                <w:p w14:paraId="040460C9">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cs="Times New Roman"/>
                      <w:i w:val="0"/>
                      <w:iCs w:val="0"/>
                      <w:color w:val="auto"/>
                      <w:kern w:val="0"/>
                      <w:sz w:val="18"/>
                      <w:szCs w:val="18"/>
                      <w:highlight w:val="none"/>
                      <w:u w:val="none"/>
                      <w:lang w:val="en-US" w:eastAsia="zh-CN" w:bidi="ar"/>
                    </w:rPr>
                    <w:t>达标</w:t>
                  </w:r>
                </w:p>
              </w:tc>
            </w:tr>
          </w:tbl>
          <w:p w14:paraId="24D68A4C">
            <w:pPr>
              <w:pStyle w:val="20"/>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left"/>
              <w:textAlignment w:val="auto"/>
              <w:outlineLvl w:val="9"/>
              <w:rPr>
                <w:rFonts w:hint="default" w:ascii="Times New Roman" w:hAnsi="Times New Roman" w:eastAsia="宋体" w:cs="Times New Roman"/>
                <w:snapToGrid w:val="0"/>
                <w:color w:val="auto"/>
                <w:sz w:val="18"/>
                <w:szCs w:val="18"/>
                <w:highlight w:val="none"/>
                <w:lang w:val="en-US" w:eastAsia="zh-CN"/>
              </w:rPr>
            </w:pPr>
            <w:r>
              <w:rPr>
                <w:rFonts w:hint="default" w:ascii="Times New Roman" w:hAnsi="Times New Roman" w:eastAsia="宋体" w:cs="Times New Roman"/>
                <w:snapToGrid w:val="0"/>
                <w:color w:val="auto"/>
                <w:sz w:val="18"/>
                <w:szCs w:val="18"/>
                <w:highlight w:val="none"/>
                <w:lang w:val="en-US" w:eastAsia="zh-CN"/>
              </w:rPr>
              <w:t>备注：表中坐标以厂界东南角为坐标原点，正东向为X轴正方向，正北向为Y轴正方向。</w:t>
            </w:r>
          </w:p>
          <w:p w14:paraId="29012D6D">
            <w:pPr>
              <w:spacing w:line="360" w:lineRule="auto"/>
              <w:ind w:firstLine="420" w:firstLineChars="20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根据预测结果分析，采取必要的噪声防治措施后，正常情况下，项目</w:t>
            </w:r>
            <w:r>
              <w:rPr>
                <w:rFonts w:hint="default" w:ascii="Times New Roman" w:hAnsi="Times New Roman" w:eastAsia="宋体" w:cs="Times New Roman"/>
                <w:color w:val="auto"/>
                <w:sz w:val="21"/>
                <w:szCs w:val="21"/>
                <w:highlight w:val="none"/>
                <w:lang w:val="en-US" w:eastAsia="zh-CN"/>
              </w:rPr>
              <w:t>东侧靠近道路厂界满足</w:t>
            </w:r>
            <w:r>
              <w:rPr>
                <w:rFonts w:hint="default" w:ascii="Times New Roman" w:hAnsi="Times New Roman" w:eastAsia="宋体" w:cs="Times New Roman"/>
                <w:color w:val="auto"/>
                <w:sz w:val="21"/>
                <w:szCs w:val="21"/>
                <w:highlight w:val="none"/>
              </w:rPr>
              <w:t>《工业企业厂界环境噪声排放标准》(GB12348-2008)中</w:t>
            </w:r>
            <w:r>
              <w:rPr>
                <w:rFonts w:hint="default" w:ascii="Times New Roman" w:hAnsi="Times New Roman" w:eastAsia="宋体" w:cs="Times New Roman"/>
                <w:color w:val="auto"/>
                <w:sz w:val="21"/>
                <w:szCs w:val="21"/>
                <w:highlight w:val="none"/>
                <w:lang w:val="en-US" w:eastAsia="zh-CN"/>
              </w:rPr>
              <w:t>4</w:t>
            </w:r>
            <w:r>
              <w:rPr>
                <w:rFonts w:hint="default" w:ascii="Times New Roman" w:hAnsi="Times New Roman" w:eastAsia="宋体" w:cs="Times New Roman"/>
                <w:color w:val="auto"/>
                <w:sz w:val="21"/>
                <w:szCs w:val="21"/>
                <w:highlight w:val="none"/>
              </w:rPr>
              <w:t>类标准限值要求</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其余厂界满足3类标准限值要求；声环境保护目标处满足2类标准限值要求。</w:t>
            </w:r>
            <w:r>
              <w:rPr>
                <w:rFonts w:hint="default" w:ascii="Times New Roman" w:hAnsi="Times New Roman" w:eastAsia="宋体" w:cs="Times New Roman"/>
                <w:color w:val="auto"/>
                <w:sz w:val="21"/>
                <w:szCs w:val="21"/>
                <w:highlight w:val="none"/>
              </w:rPr>
              <w:t>综上所述，项目采取必要的噪声治理措施后，各种生产运行噪声对周围环境影响较小。</w:t>
            </w:r>
          </w:p>
          <w:p w14:paraId="6D2479FD">
            <w:pPr>
              <w:numPr>
                <w:ilvl w:val="0"/>
                <w:numId w:val="12"/>
              </w:numPr>
              <w:spacing w:line="360" w:lineRule="auto"/>
              <w:ind w:firstLine="0" w:firstLineChars="0"/>
              <w:rPr>
                <w:rFonts w:hint="eastAsia" w:ascii="Times New Roman" w:hAnsi="Times New Roman" w:cs="Times New Roman"/>
                <w:b/>
                <w:bCs/>
                <w:color w:val="auto"/>
                <w:sz w:val="21"/>
                <w:szCs w:val="21"/>
                <w:highlight w:val="none"/>
                <w:lang w:val="en-US" w:eastAsia="zh-CN"/>
              </w:rPr>
            </w:pPr>
            <w:r>
              <w:rPr>
                <w:rFonts w:hint="eastAsia" w:ascii="Times New Roman" w:hAnsi="Times New Roman" w:cs="Times New Roman"/>
                <w:b/>
                <w:bCs/>
                <w:color w:val="auto"/>
                <w:sz w:val="21"/>
                <w:szCs w:val="21"/>
                <w:highlight w:val="none"/>
                <w:lang w:val="en-US" w:eastAsia="zh-CN"/>
              </w:rPr>
              <w:t>监测计划</w:t>
            </w:r>
          </w:p>
          <w:p w14:paraId="5537794A">
            <w:pPr>
              <w:widowControl/>
              <w:numPr>
                <w:ilvl w:val="-1"/>
                <w:numId w:val="0"/>
              </w:numPr>
              <w:spacing w:line="360" w:lineRule="auto"/>
              <w:ind w:firstLine="420" w:firstLineChars="200"/>
              <w:jc w:val="left"/>
              <w:rPr>
                <w:rFonts w:hint="eastAsia"/>
                <w:color w:val="auto"/>
                <w:sz w:val="21"/>
                <w:szCs w:val="21"/>
                <w:highlight w:val="none"/>
                <w:lang w:val="en-US" w:eastAsia="zh-CN"/>
              </w:rPr>
            </w:pPr>
            <w:r>
              <w:rPr>
                <w:rFonts w:hint="eastAsia"/>
                <w:color w:val="auto"/>
                <w:sz w:val="21"/>
                <w:szCs w:val="21"/>
                <w:highlight w:val="none"/>
                <w:lang w:val="en-US" w:eastAsia="zh-CN"/>
              </w:rPr>
              <w:t>根据《排污单位自行检测技术指南 总则》（HJ 819-2017）要求，企业自行监测计划如下</w:t>
            </w:r>
            <w:r>
              <w:rPr>
                <w:rFonts w:hint="default" w:ascii="Times New Roman" w:hAnsi="Times New Roman" w:cs="Times New Roman"/>
                <w:color w:val="auto"/>
                <w:sz w:val="21"/>
                <w:szCs w:val="21"/>
                <w:highlight w:val="none"/>
                <w:lang w:val="en-US" w:eastAsia="zh-CN"/>
              </w:rPr>
              <w:t>表4-</w:t>
            </w:r>
            <w:r>
              <w:rPr>
                <w:rFonts w:hint="eastAsia" w:ascii="Times New Roman" w:hAnsi="Times New Roman" w:cs="Times New Roman"/>
                <w:color w:val="auto"/>
                <w:sz w:val="21"/>
                <w:szCs w:val="21"/>
                <w:highlight w:val="none"/>
                <w:lang w:val="en-US" w:eastAsia="zh-CN"/>
              </w:rPr>
              <w:t>1</w:t>
            </w:r>
            <w:r>
              <w:rPr>
                <w:rFonts w:hint="eastAsia" w:cs="Times New Roman"/>
                <w:color w:val="auto"/>
                <w:sz w:val="21"/>
                <w:szCs w:val="21"/>
                <w:highlight w:val="none"/>
                <w:lang w:val="en-US" w:eastAsia="zh-CN"/>
              </w:rPr>
              <w:t>5</w:t>
            </w:r>
            <w:r>
              <w:rPr>
                <w:rFonts w:hint="eastAsia"/>
                <w:color w:val="auto"/>
                <w:sz w:val="21"/>
                <w:szCs w:val="21"/>
                <w:highlight w:val="none"/>
                <w:lang w:val="en-US" w:eastAsia="zh-CN"/>
              </w:rPr>
              <w:t>所示：</w:t>
            </w:r>
          </w:p>
          <w:p w14:paraId="36671D00">
            <w:pPr>
              <w:numPr>
                <w:ilvl w:val="0"/>
                <w:numId w:val="8"/>
              </w:numPr>
              <w:spacing w:line="360" w:lineRule="auto"/>
              <w:jc w:val="center"/>
              <w:rPr>
                <w:rFonts w:hint="default" w:ascii="Times New Roman" w:hAnsi="Times New Roman" w:eastAsia="黑体" w:cs="Times New Roman"/>
                <w:b w:val="0"/>
                <w:bCs w:val="0"/>
                <w:color w:val="auto"/>
                <w:spacing w:val="-10"/>
                <w:szCs w:val="21"/>
                <w:highlight w:val="none"/>
              </w:rPr>
            </w:pPr>
            <w:r>
              <w:rPr>
                <w:rFonts w:hint="default" w:ascii="Times New Roman" w:hAnsi="Times New Roman" w:eastAsia="黑体" w:cs="Times New Roman"/>
                <w:b w:val="0"/>
                <w:bCs w:val="0"/>
                <w:color w:val="auto"/>
                <w:spacing w:val="-10"/>
                <w:szCs w:val="21"/>
                <w:highlight w:val="none"/>
                <w:lang w:val="en-US" w:eastAsia="zh-CN"/>
              </w:rPr>
              <w:t xml:space="preserve"> </w:t>
            </w:r>
            <w:r>
              <w:rPr>
                <w:rFonts w:hint="eastAsia" w:eastAsia="黑体" w:cs="Times New Roman"/>
                <w:b w:val="0"/>
                <w:bCs w:val="0"/>
                <w:color w:val="auto"/>
                <w:spacing w:val="-10"/>
                <w:szCs w:val="21"/>
                <w:highlight w:val="none"/>
                <w:lang w:val="en-US" w:eastAsia="zh-CN"/>
              </w:rPr>
              <w:t>噪声污染源监测计划</w:t>
            </w:r>
          </w:p>
          <w:tbl>
            <w:tblPr>
              <w:tblStyle w:val="24"/>
              <w:tblW w:w="4998"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28" w:type="dxa"/>
                <w:left w:w="108" w:type="dxa"/>
                <w:bottom w:w="28" w:type="dxa"/>
                <w:right w:w="108" w:type="dxa"/>
              </w:tblCellMar>
            </w:tblPr>
            <w:tblGrid>
              <w:gridCol w:w="2056"/>
              <w:gridCol w:w="2212"/>
              <w:gridCol w:w="1820"/>
              <w:gridCol w:w="1510"/>
            </w:tblGrid>
            <w:tr w14:paraId="54B02D9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108" w:type="dxa"/>
                  <w:bottom w:w="28" w:type="dxa"/>
                  <w:right w:w="108" w:type="dxa"/>
                </w:tblCellMar>
              </w:tblPrEx>
              <w:trPr>
                <w:trHeight w:val="283" w:hRule="atLeast"/>
                <w:jc w:val="center"/>
              </w:trPr>
              <w:tc>
                <w:tcPr>
                  <w:tcW w:w="1353" w:type="pct"/>
                  <w:tcBorders>
                    <w:tl2br w:val="nil"/>
                    <w:tr2bl w:val="nil"/>
                  </w:tcBorders>
                  <w:vAlign w:val="center"/>
                </w:tcPr>
                <w:p w14:paraId="36E054C4">
                  <w:pPr>
                    <w:jc w:val="center"/>
                    <w:rPr>
                      <w:rFonts w:hint="default" w:eastAsia="宋体"/>
                      <w:color w:val="auto"/>
                      <w:sz w:val="18"/>
                      <w:szCs w:val="18"/>
                      <w:highlight w:val="none"/>
                    </w:rPr>
                  </w:pPr>
                  <w:r>
                    <w:rPr>
                      <w:rFonts w:hint="default" w:eastAsia="宋体"/>
                      <w:color w:val="auto"/>
                      <w:sz w:val="18"/>
                      <w:szCs w:val="18"/>
                      <w:highlight w:val="none"/>
                    </w:rPr>
                    <w:t>类别</w:t>
                  </w:r>
                </w:p>
              </w:tc>
              <w:tc>
                <w:tcPr>
                  <w:tcW w:w="1455" w:type="pct"/>
                  <w:tcBorders>
                    <w:tl2br w:val="nil"/>
                    <w:tr2bl w:val="nil"/>
                  </w:tcBorders>
                  <w:vAlign w:val="center"/>
                </w:tcPr>
                <w:p w14:paraId="6FBFD60A">
                  <w:pPr>
                    <w:jc w:val="center"/>
                    <w:rPr>
                      <w:rFonts w:hint="default" w:eastAsia="宋体"/>
                      <w:color w:val="auto"/>
                      <w:sz w:val="18"/>
                      <w:szCs w:val="18"/>
                      <w:highlight w:val="none"/>
                    </w:rPr>
                  </w:pPr>
                  <w:r>
                    <w:rPr>
                      <w:rFonts w:hint="default" w:eastAsia="宋体"/>
                      <w:color w:val="auto"/>
                      <w:sz w:val="18"/>
                      <w:szCs w:val="18"/>
                      <w:highlight w:val="none"/>
                    </w:rPr>
                    <w:t>监管要求</w:t>
                  </w:r>
                </w:p>
              </w:tc>
              <w:tc>
                <w:tcPr>
                  <w:tcW w:w="1197" w:type="pct"/>
                  <w:tcBorders>
                    <w:tl2br w:val="nil"/>
                    <w:tr2bl w:val="nil"/>
                  </w:tcBorders>
                  <w:vAlign w:val="center"/>
                </w:tcPr>
                <w:p w14:paraId="35FBC70B">
                  <w:pPr>
                    <w:jc w:val="center"/>
                    <w:rPr>
                      <w:rFonts w:hint="default" w:eastAsia="宋体"/>
                      <w:color w:val="auto"/>
                      <w:sz w:val="18"/>
                      <w:szCs w:val="18"/>
                      <w:highlight w:val="none"/>
                    </w:rPr>
                  </w:pPr>
                  <w:r>
                    <w:rPr>
                      <w:rFonts w:hint="default" w:eastAsia="宋体"/>
                      <w:color w:val="auto"/>
                      <w:sz w:val="18"/>
                      <w:szCs w:val="18"/>
                      <w:highlight w:val="none"/>
                    </w:rPr>
                    <w:t>监测项目</w:t>
                  </w:r>
                </w:p>
              </w:tc>
              <w:tc>
                <w:tcPr>
                  <w:tcW w:w="993" w:type="pct"/>
                  <w:tcBorders>
                    <w:tl2br w:val="nil"/>
                    <w:tr2bl w:val="nil"/>
                  </w:tcBorders>
                  <w:vAlign w:val="center"/>
                </w:tcPr>
                <w:p w14:paraId="3E1C512B">
                  <w:pPr>
                    <w:jc w:val="center"/>
                    <w:rPr>
                      <w:rFonts w:hint="default" w:eastAsia="宋体"/>
                      <w:color w:val="auto"/>
                      <w:sz w:val="18"/>
                      <w:szCs w:val="18"/>
                      <w:highlight w:val="none"/>
                    </w:rPr>
                  </w:pPr>
                  <w:r>
                    <w:rPr>
                      <w:rFonts w:hint="default" w:eastAsia="宋体"/>
                      <w:color w:val="auto"/>
                      <w:sz w:val="18"/>
                      <w:szCs w:val="18"/>
                      <w:highlight w:val="none"/>
                    </w:rPr>
                    <w:t>监测频次</w:t>
                  </w:r>
                </w:p>
              </w:tc>
            </w:tr>
            <w:tr w14:paraId="3F0725B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108" w:type="dxa"/>
                  <w:bottom w:w="28" w:type="dxa"/>
                  <w:right w:w="108" w:type="dxa"/>
                </w:tblCellMar>
              </w:tblPrEx>
              <w:trPr>
                <w:trHeight w:val="283" w:hRule="atLeast"/>
                <w:jc w:val="center"/>
              </w:trPr>
              <w:tc>
                <w:tcPr>
                  <w:tcW w:w="1353" w:type="pct"/>
                  <w:tcBorders>
                    <w:tl2br w:val="nil"/>
                    <w:tr2bl w:val="nil"/>
                  </w:tcBorders>
                  <w:vAlign w:val="center"/>
                </w:tcPr>
                <w:p w14:paraId="5338B173">
                  <w:pPr>
                    <w:jc w:val="center"/>
                    <w:rPr>
                      <w:rFonts w:hint="default" w:eastAsia="宋体"/>
                      <w:color w:val="auto"/>
                      <w:sz w:val="18"/>
                      <w:szCs w:val="18"/>
                      <w:highlight w:val="none"/>
                    </w:rPr>
                  </w:pPr>
                  <w:r>
                    <w:rPr>
                      <w:rFonts w:hint="default" w:eastAsia="宋体"/>
                      <w:color w:val="auto"/>
                      <w:sz w:val="18"/>
                      <w:szCs w:val="18"/>
                      <w:highlight w:val="none"/>
                    </w:rPr>
                    <w:t>四周厂界噪声</w:t>
                  </w:r>
                </w:p>
              </w:tc>
              <w:tc>
                <w:tcPr>
                  <w:tcW w:w="1455" w:type="pct"/>
                  <w:tcBorders>
                    <w:tl2br w:val="nil"/>
                    <w:tr2bl w:val="nil"/>
                  </w:tcBorders>
                  <w:vAlign w:val="center"/>
                </w:tcPr>
                <w:p w14:paraId="17DA7FA6">
                  <w:pPr>
                    <w:jc w:val="center"/>
                    <w:rPr>
                      <w:rFonts w:hint="default" w:eastAsia="宋体"/>
                      <w:color w:val="auto"/>
                      <w:sz w:val="18"/>
                      <w:szCs w:val="18"/>
                      <w:highlight w:val="none"/>
                    </w:rPr>
                  </w:pPr>
                  <w:r>
                    <w:rPr>
                      <w:rFonts w:hint="default" w:eastAsia="宋体"/>
                      <w:color w:val="auto"/>
                      <w:sz w:val="18"/>
                      <w:szCs w:val="18"/>
                      <w:highlight w:val="none"/>
                    </w:rPr>
                    <w:t>达标监督管理</w:t>
                  </w:r>
                </w:p>
              </w:tc>
              <w:tc>
                <w:tcPr>
                  <w:tcW w:w="1197" w:type="pct"/>
                  <w:tcBorders>
                    <w:tl2br w:val="nil"/>
                    <w:tr2bl w:val="nil"/>
                  </w:tcBorders>
                  <w:vAlign w:val="center"/>
                </w:tcPr>
                <w:p w14:paraId="6D09D44B">
                  <w:pPr>
                    <w:jc w:val="center"/>
                    <w:rPr>
                      <w:rFonts w:hint="default" w:eastAsia="宋体"/>
                      <w:color w:val="auto"/>
                      <w:sz w:val="18"/>
                      <w:szCs w:val="18"/>
                      <w:highlight w:val="none"/>
                    </w:rPr>
                  </w:pPr>
                  <w:r>
                    <w:rPr>
                      <w:rFonts w:hint="default" w:eastAsia="宋体"/>
                      <w:color w:val="auto"/>
                      <w:sz w:val="18"/>
                      <w:szCs w:val="18"/>
                      <w:highlight w:val="none"/>
                    </w:rPr>
                    <w:t>Leq（A）</w:t>
                  </w:r>
                </w:p>
              </w:tc>
              <w:tc>
                <w:tcPr>
                  <w:tcW w:w="993" w:type="pct"/>
                  <w:tcBorders>
                    <w:tl2br w:val="nil"/>
                    <w:tr2bl w:val="nil"/>
                  </w:tcBorders>
                  <w:vAlign w:val="center"/>
                </w:tcPr>
                <w:p w14:paraId="7F603256">
                  <w:pPr>
                    <w:jc w:val="center"/>
                    <w:rPr>
                      <w:rFonts w:hint="default" w:eastAsia="宋体"/>
                      <w:color w:val="auto"/>
                      <w:sz w:val="18"/>
                      <w:szCs w:val="18"/>
                      <w:highlight w:val="none"/>
                    </w:rPr>
                  </w:pPr>
                  <w:r>
                    <w:rPr>
                      <w:rFonts w:hint="default" w:ascii="Times New Roman" w:hAnsi="Times New Roman" w:eastAsia="宋体" w:cs="Times New Roman"/>
                      <w:color w:val="auto"/>
                      <w:sz w:val="18"/>
                      <w:szCs w:val="18"/>
                      <w:highlight w:val="none"/>
                      <w:lang w:val="en-US" w:eastAsia="zh-CN"/>
                    </w:rPr>
                    <w:t>1次/</w:t>
                  </w:r>
                  <w:r>
                    <w:rPr>
                      <w:rFonts w:hint="default" w:eastAsia="宋体"/>
                      <w:color w:val="auto"/>
                      <w:sz w:val="18"/>
                      <w:szCs w:val="18"/>
                      <w:highlight w:val="none"/>
                    </w:rPr>
                    <w:t>季度</w:t>
                  </w:r>
                </w:p>
              </w:tc>
            </w:tr>
          </w:tbl>
          <w:p w14:paraId="405A349B">
            <w:pPr>
              <w:spacing w:line="360" w:lineRule="auto"/>
              <w:rPr>
                <w:b/>
                <w:bCs/>
                <w:color w:val="auto"/>
                <w:sz w:val="22"/>
                <w:szCs w:val="28"/>
                <w:highlight w:val="none"/>
              </w:rPr>
            </w:pPr>
            <w:r>
              <w:rPr>
                <w:rFonts w:hint="default"/>
                <w:b/>
                <w:bCs/>
                <w:color w:val="auto"/>
                <w:sz w:val="22"/>
                <w:szCs w:val="28"/>
                <w:highlight w:val="none"/>
              </w:rPr>
              <w:t>4.2.4 固体废物</w:t>
            </w:r>
          </w:p>
          <w:p w14:paraId="7FDFFE89">
            <w:pPr>
              <w:spacing w:line="360" w:lineRule="auto"/>
              <w:rPr>
                <w:b/>
                <w:bCs/>
                <w:color w:val="auto"/>
                <w:highlight w:val="none"/>
              </w:rPr>
            </w:pPr>
            <w:r>
              <w:rPr>
                <w:rFonts w:hint="default"/>
                <w:b/>
                <w:bCs/>
                <w:color w:val="auto"/>
                <w:highlight w:val="none"/>
              </w:rPr>
              <w:t>1、副产物产生情况</w:t>
            </w:r>
          </w:p>
          <w:p w14:paraId="3F18A2D0">
            <w:pPr>
              <w:spacing w:line="360" w:lineRule="auto"/>
              <w:ind w:firstLine="420" w:firstLineChars="200"/>
              <w:rPr>
                <w:rFonts w:hint="default" w:eastAsia="宋体"/>
                <w:color w:val="auto"/>
                <w:highlight w:val="none"/>
                <w:lang w:val="en-US" w:eastAsia="zh-CN"/>
              </w:rPr>
            </w:pPr>
            <w:r>
              <w:rPr>
                <w:rFonts w:hint="default"/>
                <w:color w:val="auto"/>
                <w:highlight w:val="none"/>
              </w:rPr>
              <w:t>本项目副产物主要为废包装材料S1；废弃研磨介质S2；集尘S3、S5；不合格粉体S4、S6；正极材料理化性质测试废料S7；沾染化学品的废包装材料S8；测试废电池S9</w:t>
            </w:r>
            <w:r>
              <w:rPr>
                <w:rFonts w:hint="default"/>
                <w:color w:val="auto"/>
                <w:highlight w:val="none"/>
                <w:lang w:val="en-US" w:eastAsia="zh-CN"/>
              </w:rPr>
              <w:t>；</w:t>
            </w:r>
            <w:r>
              <w:rPr>
                <w:rFonts w:hint="default"/>
                <w:color w:val="auto"/>
                <w:highlight w:val="none"/>
              </w:rPr>
              <w:t>废活性炭S1</w:t>
            </w:r>
            <w:r>
              <w:rPr>
                <w:rFonts w:hint="default"/>
                <w:color w:val="auto"/>
                <w:highlight w:val="none"/>
                <w:lang w:val="en-US" w:eastAsia="zh-CN"/>
              </w:rPr>
              <w:t>0</w:t>
            </w:r>
            <w:r>
              <w:rPr>
                <w:rFonts w:hint="default"/>
                <w:color w:val="auto"/>
                <w:highlight w:val="none"/>
              </w:rPr>
              <w:t>；</w:t>
            </w:r>
            <w:r>
              <w:rPr>
                <w:rFonts w:hint="default"/>
                <w:color w:val="auto"/>
                <w:highlight w:val="none"/>
                <w:lang w:val="en-US" w:eastAsia="zh-CN"/>
              </w:rPr>
              <w:t>沉淀污泥S11；</w:t>
            </w:r>
            <w:r>
              <w:rPr>
                <w:rFonts w:hint="default"/>
                <w:color w:val="auto"/>
                <w:highlight w:val="none"/>
              </w:rPr>
              <w:t>纯水制备过滤介质S1</w:t>
            </w:r>
            <w:r>
              <w:rPr>
                <w:rFonts w:hint="default"/>
                <w:color w:val="auto"/>
                <w:highlight w:val="none"/>
                <w:lang w:val="en-US" w:eastAsia="zh-CN"/>
              </w:rPr>
              <w:t>2</w:t>
            </w:r>
            <w:r>
              <w:rPr>
                <w:rFonts w:hint="default"/>
                <w:color w:val="auto"/>
                <w:highlight w:val="none"/>
                <w:lang w:eastAsia="zh-CN"/>
              </w:rPr>
              <w:t>；</w:t>
            </w:r>
            <w:r>
              <w:rPr>
                <w:rFonts w:hint="default"/>
                <w:color w:val="auto"/>
                <w:highlight w:val="none"/>
                <w:lang w:val="en-US" w:eastAsia="zh-CN"/>
              </w:rPr>
              <w:t>设备废滤料S13；废布袋S14；生活垃圾S15。</w:t>
            </w:r>
          </w:p>
          <w:p w14:paraId="5FB4DB5F">
            <w:pPr>
              <w:numPr>
                <w:ilvl w:val="0"/>
                <w:numId w:val="13"/>
              </w:numPr>
              <w:spacing w:line="360" w:lineRule="auto"/>
              <w:ind w:firstLine="420" w:firstLineChars="200"/>
              <w:rPr>
                <w:color w:val="auto"/>
                <w:highlight w:val="none"/>
              </w:rPr>
            </w:pPr>
            <w:r>
              <w:rPr>
                <w:rFonts w:hint="default"/>
                <w:color w:val="auto"/>
                <w:highlight w:val="none"/>
              </w:rPr>
              <w:t>废包装材料S1</w:t>
            </w:r>
          </w:p>
          <w:p w14:paraId="07FA37D3">
            <w:pPr>
              <w:adjustRightInd w:val="0"/>
              <w:snapToGrid w:val="0"/>
              <w:spacing w:line="360" w:lineRule="auto"/>
              <w:ind w:firstLine="420" w:firstLineChars="200"/>
              <w:rPr>
                <w:color w:val="auto"/>
                <w:szCs w:val="21"/>
                <w:highlight w:val="none"/>
              </w:rPr>
            </w:pPr>
            <w:r>
              <w:rPr>
                <w:rFonts w:hint="default"/>
                <w:color w:val="auto"/>
                <w:szCs w:val="21"/>
                <w:highlight w:val="none"/>
              </w:rPr>
              <w:t>项目粉料等原料使用产生的塑料袋、编织袋等一般废包装材料，根据物料平衡，产生量约40 kg/a，集中收集后委托处置。</w:t>
            </w:r>
          </w:p>
          <w:p w14:paraId="3296E7C6">
            <w:pPr>
              <w:numPr>
                <w:ilvl w:val="0"/>
                <w:numId w:val="13"/>
              </w:numPr>
              <w:adjustRightInd w:val="0"/>
              <w:snapToGrid w:val="0"/>
              <w:spacing w:line="360" w:lineRule="auto"/>
              <w:ind w:firstLine="420" w:firstLineChars="200"/>
              <w:rPr>
                <w:color w:val="auto"/>
                <w:szCs w:val="21"/>
                <w:highlight w:val="none"/>
              </w:rPr>
            </w:pPr>
            <w:r>
              <w:rPr>
                <w:rFonts w:hint="default"/>
                <w:color w:val="auto"/>
                <w:szCs w:val="21"/>
                <w:highlight w:val="none"/>
              </w:rPr>
              <w:t>废弃研磨介质S2</w:t>
            </w:r>
          </w:p>
          <w:p w14:paraId="68AEDB46">
            <w:pPr>
              <w:adjustRightInd w:val="0"/>
              <w:snapToGrid w:val="0"/>
              <w:spacing w:line="360" w:lineRule="auto"/>
              <w:ind w:firstLine="420" w:firstLineChars="200"/>
              <w:rPr>
                <w:color w:val="auto"/>
                <w:szCs w:val="21"/>
                <w:highlight w:val="none"/>
              </w:rPr>
            </w:pPr>
            <w:r>
              <w:rPr>
                <w:rFonts w:hint="default"/>
                <w:color w:val="auto"/>
                <w:szCs w:val="21"/>
                <w:highlight w:val="none"/>
              </w:rPr>
              <w:t>砂磨机内锆珠、氧化珠等研磨介质因长期磨损产生碎屑、破损珠体，需定期清理更换。根据企业工程经验，废弃研磨介质产生量约为5 kg/a。为一般工业固废，收集后委托处置。</w:t>
            </w:r>
          </w:p>
          <w:p w14:paraId="4D724E77">
            <w:pPr>
              <w:numPr>
                <w:ilvl w:val="0"/>
                <w:numId w:val="13"/>
              </w:numPr>
              <w:spacing w:line="360" w:lineRule="auto"/>
              <w:ind w:firstLine="420" w:firstLineChars="200"/>
              <w:rPr>
                <w:color w:val="auto"/>
                <w:highlight w:val="none"/>
              </w:rPr>
            </w:pPr>
            <w:r>
              <w:rPr>
                <w:rFonts w:hint="default"/>
                <w:color w:val="auto"/>
                <w:highlight w:val="none"/>
              </w:rPr>
              <w:t>集尘S3、S5</w:t>
            </w:r>
          </w:p>
          <w:p w14:paraId="6A23F798">
            <w:pPr>
              <w:spacing w:line="360" w:lineRule="auto"/>
              <w:ind w:firstLine="420" w:firstLineChars="200"/>
              <w:rPr>
                <w:color w:val="auto"/>
                <w:highlight w:val="none"/>
              </w:rPr>
            </w:pPr>
            <w:r>
              <w:rPr>
                <w:rFonts w:hint="default"/>
                <w:color w:val="auto"/>
                <w:highlight w:val="none"/>
              </w:rPr>
              <w:t>喷雾干燥器、气流粉碎机内置布袋除尘器，根据工程分析，集尘产生量为12.87 kg/a。集尘主要成分为原物料和烧结后的正极材料，为一般工业固废，收集后委托处置。</w:t>
            </w:r>
          </w:p>
          <w:p w14:paraId="3393A361">
            <w:pPr>
              <w:numPr>
                <w:ilvl w:val="0"/>
                <w:numId w:val="13"/>
              </w:numPr>
              <w:spacing w:line="360" w:lineRule="auto"/>
              <w:ind w:firstLine="420" w:firstLineChars="200"/>
              <w:rPr>
                <w:color w:val="auto"/>
                <w:highlight w:val="none"/>
              </w:rPr>
            </w:pPr>
            <w:r>
              <w:rPr>
                <w:rFonts w:hint="default"/>
                <w:color w:val="auto"/>
                <w:highlight w:val="none"/>
              </w:rPr>
              <w:t>不合格粉体S4、S6</w:t>
            </w:r>
          </w:p>
          <w:p w14:paraId="73FE9799">
            <w:pPr>
              <w:spacing w:line="360" w:lineRule="auto"/>
              <w:ind w:firstLine="420" w:firstLineChars="200"/>
              <w:rPr>
                <w:color w:val="auto"/>
                <w:highlight w:val="none"/>
              </w:rPr>
            </w:pPr>
            <w:r>
              <w:rPr>
                <w:rFonts w:hint="default"/>
                <w:color w:val="auto"/>
                <w:highlight w:val="none"/>
              </w:rPr>
              <w:t>喷雾干燥环节中，粒径、含水率不达标的半成品粉体，因无法进入后续煅烧工序，需要筛除；振动筛分工序中，粒径不达标的成品也需要筛除。根据企业工程经验，不合格粉体约为原料投料量的3%~5%，按保守计算取值5%，则产生量为218 kg/a，不含危险化学品，为一般工业固废，收集后委托处置。</w:t>
            </w:r>
          </w:p>
          <w:p w14:paraId="3FC4A921">
            <w:pPr>
              <w:numPr>
                <w:ilvl w:val="0"/>
                <w:numId w:val="13"/>
              </w:numPr>
              <w:spacing w:line="360" w:lineRule="auto"/>
              <w:ind w:firstLine="420" w:firstLineChars="200"/>
              <w:rPr>
                <w:color w:val="auto"/>
                <w:highlight w:val="none"/>
              </w:rPr>
            </w:pPr>
            <w:r>
              <w:rPr>
                <w:rFonts w:hint="default"/>
                <w:color w:val="auto"/>
                <w:highlight w:val="none"/>
              </w:rPr>
              <w:t>测试废料S7</w:t>
            </w:r>
          </w:p>
          <w:p w14:paraId="7C22AE9B">
            <w:pPr>
              <w:spacing w:line="360" w:lineRule="auto"/>
              <w:ind w:firstLine="420" w:firstLineChars="200"/>
              <w:rPr>
                <w:color w:val="auto"/>
                <w:highlight w:val="none"/>
              </w:rPr>
            </w:pPr>
            <w:r>
              <w:rPr>
                <w:rFonts w:hint="default"/>
                <w:color w:val="auto"/>
                <w:highlight w:val="none"/>
              </w:rPr>
              <w:t>每批次制备的正极材料经过理化性质测试、记录数据后，全部作为一般固体废物收集后委托处理，产生量为1 t/a。</w:t>
            </w:r>
          </w:p>
          <w:p w14:paraId="19A8E6B6">
            <w:pPr>
              <w:numPr>
                <w:ilvl w:val="0"/>
                <w:numId w:val="13"/>
              </w:numPr>
              <w:spacing w:line="360" w:lineRule="auto"/>
              <w:ind w:firstLine="420" w:firstLineChars="200"/>
              <w:rPr>
                <w:color w:val="auto"/>
                <w:highlight w:val="none"/>
              </w:rPr>
            </w:pPr>
            <w:r>
              <w:rPr>
                <w:rFonts w:hint="default"/>
                <w:color w:val="auto"/>
                <w:szCs w:val="21"/>
                <w:highlight w:val="none"/>
              </w:rPr>
              <w:t>沾染化学品的废包装材料S8</w:t>
            </w:r>
          </w:p>
          <w:p w14:paraId="373FF02C">
            <w:pPr>
              <w:spacing w:line="360" w:lineRule="auto"/>
              <w:ind w:firstLine="420" w:firstLineChars="200"/>
              <w:rPr>
                <w:color w:val="auto"/>
                <w:highlight w:val="none"/>
              </w:rPr>
            </w:pPr>
            <w:r>
              <w:rPr>
                <w:rFonts w:hint="default"/>
                <w:color w:val="auto"/>
                <w:szCs w:val="21"/>
                <w:highlight w:val="none"/>
              </w:rPr>
              <w:t>项目NMP、电解液等原料使用会产生沾染化学品的废试剂瓶，导电炭黑（Super P）、PVDF等原料使用会产生沾染化学品的废塑料里衬。根据企业工程经验，沾染化学品的废包装材料总产生量约10 kg/a，属于危险废物，</w:t>
            </w:r>
            <w:r>
              <w:rPr>
                <w:rFonts w:hint="default"/>
                <w:color w:val="auto"/>
                <w:szCs w:val="21"/>
                <w:highlight w:val="none"/>
                <w:lang w:val="zh-CN"/>
              </w:rPr>
              <w:t>经妥善收集暂存于危废仓库，定期委有资质单位进行处置。</w:t>
            </w:r>
          </w:p>
          <w:p w14:paraId="6795ADFC">
            <w:pPr>
              <w:numPr>
                <w:ilvl w:val="0"/>
                <w:numId w:val="13"/>
              </w:numPr>
              <w:spacing w:line="360" w:lineRule="auto"/>
              <w:ind w:firstLine="420" w:firstLineChars="200"/>
              <w:rPr>
                <w:color w:val="auto"/>
                <w:highlight w:val="none"/>
              </w:rPr>
            </w:pPr>
            <w:r>
              <w:rPr>
                <w:rFonts w:hint="default"/>
                <w:color w:val="auto"/>
                <w:highlight w:val="none"/>
              </w:rPr>
              <w:t>测试废电池S9</w:t>
            </w:r>
          </w:p>
          <w:p w14:paraId="79A074C9">
            <w:pPr>
              <w:spacing w:line="360" w:lineRule="auto"/>
              <w:ind w:firstLine="420" w:firstLineChars="200"/>
              <w:rPr>
                <w:rFonts w:hint="default"/>
                <w:color w:val="auto"/>
                <w:szCs w:val="21"/>
                <w:highlight w:val="none"/>
                <w:lang w:val="zh-CN"/>
              </w:rPr>
            </w:pPr>
            <w:r>
              <w:rPr>
                <w:rFonts w:hint="default"/>
                <w:color w:val="auto"/>
                <w:highlight w:val="none"/>
              </w:rPr>
              <w:t>组装好的扣式电池用于恒流充放电性能测试并记录数据，随后全部作为危险废物处理，产生量约为2000个/a，</w:t>
            </w:r>
            <w:r>
              <w:rPr>
                <w:rFonts w:hint="eastAsia"/>
                <w:color w:val="auto"/>
                <w:highlight w:val="none"/>
                <w:lang w:val="en-US" w:eastAsia="zh-CN"/>
              </w:rPr>
              <w:t>按照</w:t>
            </w:r>
            <w:r>
              <w:rPr>
                <w:rFonts w:hint="default"/>
                <w:color w:val="auto"/>
                <w:highlight w:val="none"/>
              </w:rPr>
              <w:t>危险废物</w:t>
            </w:r>
            <w:r>
              <w:rPr>
                <w:rFonts w:hint="eastAsia"/>
                <w:color w:val="auto"/>
                <w:highlight w:val="none"/>
                <w:lang w:val="en-US" w:eastAsia="zh-CN"/>
              </w:rPr>
              <w:t>进行管理</w:t>
            </w:r>
            <w:r>
              <w:rPr>
                <w:rFonts w:hint="default"/>
                <w:color w:val="auto"/>
                <w:highlight w:val="none"/>
              </w:rPr>
              <w:t>，</w:t>
            </w:r>
            <w:r>
              <w:rPr>
                <w:rFonts w:hint="default"/>
                <w:color w:val="auto"/>
                <w:szCs w:val="21"/>
                <w:highlight w:val="none"/>
                <w:lang w:val="zh-CN"/>
              </w:rPr>
              <w:t>经妥善收集暂存于危废仓库，定期委有资质单位进行处置。</w:t>
            </w:r>
          </w:p>
          <w:p w14:paraId="1FA8E455">
            <w:pPr>
              <w:numPr>
                <w:ilvl w:val="0"/>
                <w:numId w:val="13"/>
              </w:numPr>
              <w:spacing w:line="360" w:lineRule="auto"/>
              <w:ind w:firstLine="420" w:firstLineChars="200"/>
              <w:rPr>
                <w:color w:val="auto"/>
                <w:szCs w:val="21"/>
                <w:highlight w:val="none"/>
              </w:rPr>
            </w:pPr>
            <w:r>
              <w:rPr>
                <w:rFonts w:hint="default"/>
                <w:color w:val="auto"/>
                <w:szCs w:val="21"/>
                <w:highlight w:val="none"/>
              </w:rPr>
              <w:t>废活性炭S1</w:t>
            </w:r>
            <w:r>
              <w:rPr>
                <w:rFonts w:hint="default"/>
                <w:color w:val="auto"/>
                <w:szCs w:val="21"/>
                <w:highlight w:val="none"/>
                <w:lang w:val="en-US" w:eastAsia="zh-CN"/>
              </w:rPr>
              <w:t>0</w:t>
            </w:r>
          </w:p>
          <w:p w14:paraId="111E9283">
            <w:pPr>
              <w:spacing w:line="360" w:lineRule="auto"/>
              <w:ind w:firstLine="420" w:firstLineChars="200"/>
              <w:rPr>
                <w:rFonts w:hint="eastAsia"/>
                <w:color w:val="auto"/>
                <w:szCs w:val="21"/>
                <w:highlight w:val="none"/>
                <w:lang w:eastAsia="zh-CN"/>
              </w:rPr>
            </w:pPr>
            <w:r>
              <w:rPr>
                <w:rFonts w:hint="default"/>
                <w:color w:val="auto"/>
                <w:szCs w:val="21"/>
                <w:highlight w:val="none"/>
              </w:rPr>
              <w:t>项目设置一套“水喷淋+</w:t>
            </w:r>
            <w:r>
              <w:rPr>
                <w:rFonts w:hint="eastAsia"/>
                <w:color w:val="auto"/>
                <w:szCs w:val="21"/>
                <w:highlight w:val="none"/>
                <w:lang w:val="en-US" w:eastAsia="zh-CN"/>
              </w:rPr>
              <w:t>除雾除湿</w:t>
            </w:r>
            <w:r>
              <w:rPr>
                <w:rFonts w:hint="default"/>
                <w:color w:val="auto"/>
                <w:szCs w:val="21"/>
                <w:highlight w:val="none"/>
              </w:rPr>
              <w:t>+</w:t>
            </w:r>
            <w:r>
              <w:rPr>
                <w:rFonts w:hint="eastAsia"/>
                <w:color w:val="auto"/>
                <w:szCs w:val="21"/>
                <w:highlight w:val="none"/>
                <w:lang w:val="en-US" w:eastAsia="zh-CN"/>
              </w:rPr>
              <w:t>一级</w:t>
            </w:r>
            <w:r>
              <w:rPr>
                <w:rFonts w:hint="default"/>
                <w:color w:val="auto"/>
                <w:szCs w:val="21"/>
                <w:highlight w:val="none"/>
              </w:rPr>
              <w:t>活性炭吸附”装置用于去除原料煅烧分解过程中产生的少量VOCs和恶臭。根据企业提供设计方案，活性炭吸附箱中并联设置两个吸附单元，每个尺寸为1000×600×200 mm，活性炭堆积密度取450 kg/m</w:t>
            </w:r>
            <w:r>
              <w:rPr>
                <w:rFonts w:hint="default"/>
                <w:color w:val="auto"/>
                <w:szCs w:val="21"/>
                <w:highlight w:val="none"/>
                <w:vertAlign w:val="superscript"/>
              </w:rPr>
              <w:t>3</w:t>
            </w:r>
            <w:r>
              <w:rPr>
                <w:rFonts w:hint="default"/>
                <w:color w:val="auto"/>
                <w:szCs w:val="21"/>
                <w:highlight w:val="none"/>
              </w:rPr>
              <w:t>，填充系数取0.9，每3个月更换一次，则废活性炭</w:t>
            </w:r>
            <w:r>
              <w:rPr>
                <w:rFonts w:hint="eastAsia"/>
                <w:color w:val="auto"/>
                <w:szCs w:val="21"/>
                <w:highlight w:val="none"/>
                <w:lang w:val="en-US" w:eastAsia="zh-CN"/>
              </w:rPr>
              <w:t>预计</w:t>
            </w:r>
            <w:r>
              <w:rPr>
                <w:rFonts w:hint="default"/>
                <w:color w:val="auto"/>
                <w:szCs w:val="21"/>
                <w:highlight w:val="none"/>
              </w:rPr>
              <w:t>产生量为</w:t>
            </w:r>
            <w:r>
              <w:rPr>
                <w:rFonts w:hint="eastAsia"/>
                <w:color w:val="auto"/>
                <w:szCs w:val="21"/>
                <w:highlight w:val="none"/>
                <w:lang w:val="en-US" w:eastAsia="zh-CN"/>
              </w:rPr>
              <w:t>0.389</w:t>
            </w:r>
            <w:r>
              <w:rPr>
                <w:rFonts w:hint="default"/>
                <w:color w:val="auto"/>
                <w:szCs w:val="21"/>
                <w:highlight w:val="none"/>
              </w:rPr>
              <w:t xml:space="preserve"> </w:t>
            </w:r>
            <w:r>
              <w:rPr>
                <w:rFonts w:hint="eastAsia"/>
                <w:color w:val="auto"/>
                <w:szCs w:val="21"/>
                <w:highlight w:val="none"/>
                <w:lang w:val="en-US" w:eastAsia="zh-CN"/>
              </w:rPr>
              <w:t>t</w:t>
            </w:r>
            <w:r>
              <w:rPr>
                <w:rFonts w:hint="default"/>
                <w:color w:val="auto"/>
                <w:szCs w:val="21"/>
                <w:highlight w:val="none"/>
              </w:rPr>
              <w:t>/a</w:t>
            </w:r>
            <w:r>
              <w:rPr>
                <w:rFonts w:hint="eastAsia"/>
                <w:color w:val="auto"/>
                <w:szCs w:val="21"/>
                <w:highlight w:val="none"/>
                <w:lang w:eastAsia="zh-CN"/>
              </w:rPr>
              <w:t>。</w:t>
            </w:r>
          </w:p>
          <w:p w14:paraId="3DEC89FE">
            <w:pPr>
              <w:spacing w:line="360" w:lineRule="auto"/>
              <w:ind w:firstLine="420" w:firstLineChars="200"/>
              <w:rPr>
                <w:rFonts w:hint="eastAsia"/>
                <w:color w:val="auto"/>
                <w:szCs w:val="21"/>
                <w:highlight w:val="none"/>
                <w:lang w:val="en-US" w:eastAsia="zh-CN"/>
              </w:rPr>
            </w:pPr>
            <w:r>
              <w:rPr>
                <w:rFonts w:hint="eastAsia"/>
                <w:color w:val="auto"/>
                <w:szCs w:val="21"/>
                <w:highlight w:val="none"/>
                <w:lang w:val="en-US" w:eastAsia="zh-CN"/>
              </w:rPr>
              <w:t>根据《浙江省分散吸附-集中再生活性炭法挥发性有机物治理体系建设技术指南(试行)》，吸附剂为活性炭时，吸附容量（饱和点）可按每克活性炭吸附VOCs量为0.15克进行估算确定。本项目非甲烷总烃产生量约为0.007 t/a，理论需要活性炭量为0.047 t/a。另外，根据该指南附录A，活性炭最小装填量为0.5 t，每500 h更换一次，则根据排放时间计算，每年需要更换两次，废活性炭预计产生量为1 t/a。</w:t>
            </w:r>
          </w:p>
          <w:p w14:paraId="375047B6">
            <w:pPr>
              <w:spacing w:line="360" w:lineRule="auto"/>
              <w:ind w:firstLine="420" w:firstLineChars="200"/>
              <w:rPr>
                <w:color w:val="auto"/>
                <w:szCs w:val="21"/>
                <w:highlight w:val="none"/>
              </w:rPr>
            </w:pPr>
            <w:r>
              <w:rPr>
                <w:rFonts w:hint="eastAsia"/>
                <w:color w:val="auto"/>
                <w:szCs w:val="21"/>
                <w:highlight w:val="none"/>
                <w:lang w:val="en-US" w:eastAsia="zh-CN"/>
              </w:rPr>
              <w:t>综上，取上述计算中的最大值，废活性炭产生量为1 t/a，</w:t>
            </w:r>
            <w:r>
              <w:rPr>
                <w:rFonts w:hint="default"/>
                <w:color w:val="auto"/>
                <w:szCs w:val="21"/>
                <w:highlight w:val="none"/>
              </w:rPr>
              <w:t>属于危险废物，</w:t>
            </w:r>
            <w:r>
              <w:rPr>
                <w:rFonts w:hint="default"/>
                <w:color w:val="auto"/>
                <w:szCs w:val="21"/>
                <w:highlight w:val="none"/>
                <w:lang w:val="zh-CN"/>
              </w:rPr>
              <w:t>经妥善收集暂存于危废仓库，定期委有资质单位进行处置。</w:t>
            </w:r>
          </w:p>
          <w:p w14:paraId="252A7B30">
            <w:pPr>
              <w:numPr>
                <w:ilvl w:val="0"/>
                <w:numId w:val="13"/>
              </w:numPr>
              <w:spacing w:line="360" w:lineRule="auto"/>
              <w:ind w:firstLine="420" w:firstLineChars="200"/>
              <w:rPr>
                <w:color w:val="auto"/>
                <w:szCs w:val="21"/>
                <w:highlight w:val="none"/>
              </w:rPr>
            </w:pPr>
            <w:r>
              <w:rPr>
                <w:rFonts w:hint="default"/>
                <w:color w:val="auto"/>
                <w:szCs w:val="21"/>
                <w:highlight w:val="none"/>
              </w:rPr>
              <w:t>沉淀污泥S1</w:t>
            </w:r>
            <w:r>
              <w:rPr>
                <w:rFonts w:hint="default"/>
                <w:color w:val="auto"/>
                <w:szCs w:val="21"/>
                <w:highlight w:val="none"/>
                <w:lang w:val="en-US" w:eastAsia="zh-CN"/>
              </w:rPr>
              <w:t>1</w:t>
            </w:r>
          </w:p>
          <w:p w14:paraId="0E0BDD01">
            <w:pPr>
              <w:spacing w:line="360" w:lineRule="auto"/>
              <w:ind w:firstLine="420" w:firstLineChars="200"/>
              <w:rPr>
                <w:color w:val="auto"/>
                <w:szCs w:val="21"/>
                <w:highlight w:val="none"/>
              </w:rPr>
            </w:pPr>
            <w:r>
              <w:rPr>
                <w:rFonts w:hint="default"/>
                <w:color w:val="auto"/>
                <w:szCs w:val="21"/>
                <w:highlight w:val="none"/>
              </w:rPr>
              <w:t>砂磨机、喷雾干燥器清洗废水收集到研磨房中的沉淀池处理，沉淀池尺寸为1.2×0.8×0.8 m，使用PAC化学除磷+沉淀，去除清洗废水中的磷酸盐和不溶性金属氧化物。根据工程分析，污泥（含水率80%）产生量约为100 kg/a，属于一般固废，</w:t>
            </w:r>
            <w:r>
              <w:rPr>
                <w:rFonts w:hint="default"/>
                <w:color w:val="auto"/>
                <w:highlight w:val="none"/>
              </w:rPr>
              <w:t>收集后委托处置。</w:t>
            </w:r>
          </w:p>
          <w:p w14:paraId="7FE6A76E">
            <w:pPr>
              <w:numPr>
                <w:ilvl w:val="0"/>
                <w:numId w:val="13"/>
              </w:numPr>
              <w:spacing w:line="360" w:lineRule="auto"/>
              <w:ind w:firstLine="420" w:firstLineChars="200"/>
              <w:rPr>
                <w:color w:val="auto"/>
                <w:highlight w:val="none"/>
              </w:rPr>
            </w:pPr>
            <w:r>
              <w:rPr>
                <w:rFonts w:hint="default"/>
                <w:color w:val="auto"/>
                <w:highlight w:val="none"/>
              </w:rPr>
              <w:t>纯水制备过滤介质S1</w:t>
            </w:r>
            <w:r>
              <w:rPr>
                <w:rFonts w:hint="default"/>
                <w:color w:val="auto"/>
                <w:highlight w:val="none"/>
                <w:lang w:val="en-US" w:eastAsia="zh-CN"/>
              </w:rPr>
              <w:t>2</w:t>
            </w:r>
          </w:p>
          <w:p w14:paraId="717C3EAF">
            <w:pPr>
              <w:adjustRightInd w:val="0"/>
              <w:snapToGrid w:val="0"/>
              <w:spacing w:line="360" w:lineRule="auto"/>
              <w:ind w:firstLine="420" w:firstLineChars="200"/>
              <w:rPr>
                <w:color w:val="auto"/>
                <w:szCs w:val="21"/>
                <w:highlight w:val="none"/>
              </w:rPr>
            </w:pPr>
            <w:r>
              <w:rPr>
                <w:rFonts w:hint="default"/>
                <w:color w:val="auto"/>
                <w:szCs w:val="21"/>
                <w:highlight w:val="none"/>
              </w:rPr>
              <w:t>项目纯水制备过程产生废RO膜，据企业提供资料，约2年更换一次，每次更换产生量约2 kg，属于一般固废，收集后委托处置。</w:t>
            </w:r>
          </w:p>
          <w:p w14:paraId="5D8969DC">
            <w:pPr>
              <w:numPr>
                <w:ilvl w:val="0"/>
                <w:numId w:val="13"/>
              </w:numPr>
              <w:adjustRightInd w:val="0"/>
              <w:snapToGrid w:val="0"/>
              <w:spacing w:line="360" w:lineRule="auto"/>
              <w:ind w:firstLine="420" w:firstLineChars="200"/>
              <w:rPr>
                <w:color w:val="auto"/>
                <w:szCs w:val="21"/>
                <w:highlight w:val="none"/>
              </w:rPr>
            </w:pPr>
            <w:r>
              <w:rPr>
                <w:rFonts w:hint="default"/>
                <w:color w:val="auto"/>
                <w:szCs w:val="21"/>
                <w:highlight w:val="none"/>
              </w:rPr>
              <w:t>设备废滤料S1</w:t>
            </w:r>
            <w:r>
              <w:rPr>
                <w:rFonts w:hint="default"/>
                <w:color w:val="auto"/>
                <w:szCs w:val="21"/>
                <w:highlight w:val="none"/>
                <w:lang w:val="en-US" w:eastAsia="zh-CN"/>
              </w:rPr>
              <w:t>3</w:t>
            </w:r>
          </w:p>
          <w:p w14:paraId="5D9354B9">
            <w:pPr>
              <w:adjustRightInd w:val="0"/>
              <w:snapToGrid w:val="0"/>
              <w:spacing w:line="360" w:lineRule="auto"/>
              <w:ind w:firstLine="420" w:firstLineChars="200"/>
              <w:rPr>
                <w:color w:val="auto"/>
                <w:szCs w:val="21"/>
                <w:highlight w:val="none"/>
              </w:rPr>
            </w:pPr>
            <w:r>
              <w:rPr>
                <w:rFonts w:hint="default"/>
                <w:color w:val="auto"/>
                <w:szCs w:val="21"/>
                <w:highlight w:val="none"/>
              </w:rPr>
              <w:t>项目设置1台除湿机、1台制氮机、2台空压机，滤料需定期更换。据企业资料，上述设备的固体废物主要为废滤网、废碳分子筛、废滤芯等，产生量约为80 kg/a，属于一般固体废物，收集后委托处置。</w:t>
            </w:r>
          </w:p>
          <w:p w14:paraId="6FBF32F3">
            <w:pPr>
              <w:numPr>
                <w:ilvl w:val="0"/>
                <w:numId w:val="13"/>
              </w:numPr>
              <w:adjustRightInd w:val="0"/>
              <w:snapToGrid w:val="0"/>
              <w:spacing w:line="360" w:lineRule="auto"/>
              <w:ind w:firstLine="420" w:firstLineChars="200"/>
              <w:rPr>
                <w:color w:val="auto"/>
                <w:szCs w:val="21"/>
                <w:highlight w:val="none"/>
              </w:rPr>
            </w:pPr>
            <w:r>
              <w:rPr>
                <w:rFonts w:hint="default"/>
                <w:color w:val="auto"/>
                <w:szCs w:val="21"/>
                <w:highlight w:val="none"/>
              </w:rPr>
              <w:t>废布袋S1</w:t>
            </w:r>
            <w:r>
              <w:rPr>
                <w:rFonts w:hint="default"/>
                <w:color w:val="auto"/>
                <w:szCs w:val="21"/>
                <w:highlight w:val="none"/>
                <w:lang w:val="en-US" w:eastAsia="zh-CN"/>
              </w:rPr>
              <w:t>4</w:t>
            </w:r>
          </w:p>
          <w:p w14:paraId="52CE95FE">
            <w:pPr>
              <w:adjustRightInd w:val="0"/>
              <w:snapToGrid w:val="0"/>
              <w:spacing w:line="360" w:lineRule="auto"/>
              <w:ind w:firstLine="420" w:firstLineChars="200"/>
              <w:rPr>
                <w:color w:val="auto"/>
                <w:szCs w:val="21"/>
                <w:highlight w:val="none"/>
              </w:rPr>
            </w:pPr>
            <w:r>
              <w:rPr>
                <w:rFonts w:hint="default"/>
                <w:color w:val="auto"/>
                <w:highlight w:val="none"/>
              </w:rPr>
              <w:t>喷雾干燥器、气流粉碎机内置布袋除尘器，每年需要定期更换，</w:t>
            </w:r>
            <w:r>
              <w:rPr>
                <w:rFonts w:hint="default"/>
                <w:color w:val="auto"/>
                <w:szCs w:val="21"/>
                <w:highlight w:val="none"/>
              </w:rPr>
              <w:t>产生量约15 kg/a，项目过滤粉尘中不含危险化学品，故废布袋不沾染危险物质，属于一般固废，收集后委托处置。</w:t>
            </w:r>
          </w:p>
          <w:p w14:paraId="1C4CC9BD">
            <w:pPr>
              <w:numPr>
                <w:ilvl w:val="0"/>
                <w:numId w:val="13"/>
              </w:numPr>
              <w:adjustRightInd w:val="0"/>
              <w:snapToGrid w:val="0"/>
              <w:spacing w:line="360" w:lineRule="auto"/>
              <w:ind w:firstLine="420" w:firstLineChars="200"/>
              <w:rPr>
                <w:color w:val="auto"/>
                <w:szCs w:val="21"/>
                <w:highlight w:val="none"/>
              </w:rPr>
            </w:pPr>
            <w:r>
              <w:rPr>
                <w:rFonts w:hint="default"/>
                <w:color w:val="auto"/>
                <w:szCs w:val="21"/>
                <w:highlight w:val="none"/>
              </w:rPr>
              <w:t>生活垃圾S1</w:t>
            </w:r>
            <w:r>
              <w:rPr>
                <w:rFonts w:hint="default"/>
                <w:color w:val="auto"/>
                <w:szCs w:val="21"/>
                <w:highlight w:val="none"/>
                <w:lang w:val="en-US" w:eastAsia="zh-CN"/>
              </w:rPr>
              <w:t>5</w:t>
            </w:r>
          </w:p>
          <w:p w14:paraId="46B906BE">
            <w:pPr>
              <w:adjustRightInd w:val="0"/>
              <w:snapToGrid w:val="0"/>
              <w:spacing w:line="360" w:lineRule="auto"/>
              <w:ind w:firstLine="420" w:firstLineChars="200"/>
              <w:rPr>
                <w:color w:val="auto"/>
                <w:szCs w:val="21"/>
                <w:highlight w:val="none"/>
              </w:rPr>
            </w:pPr>
            <w:r>
              <w:rPr>
                <w:rFonts w:hint="default"/>
                <w:color w:val="auto"/>
                <w:szCs w:val="21"/>
                <w:highlight w:val="none"/>
              </w:rPr>
              <w:t>企业劳动定员13人</w:t>
            </w:r>
            <w:r>
              <w:rPr>
                <w:rFonts w:hint="default"/>
                <w:b/>
                <w:bCs/>
                <w:color w:val="auto"/>
                <w:szCs w:val="21"/>
                <w:highlight w:val="none"/>
              </w:rPr>
              <w:t>，</w:t>
            </w:r>
            <w:r>
              <w:rPr>
                <w:rFonts w:hint="default"/>
                <w:color w:val="auto"/>
                <w:highlight w:val="none"/>
              </w:rPr>
              <w:t>实行单班制，每班生产8小时，年工作日248天。</w:t>
            </w:r>
            <w:r>
              <w:rPr>
                <w:rFonts w:hint="default" w:cs="Times New Roman"/>
                <w:color w:val="auto"/>
                <w:szCs w:val="21"/>
                <w:highlight w:val="none"/>
                <w:lang w:val="zh-CN"/>
              </w:rPr>
              <w:t>生活垃圾产生量按</w:t>
            </w:r>
            <w:r>
              <w:rPr>
                <w:rFonts w:hint="default" w:cs="Times New Roman"/>
                <w:color w:val="auto"/>
                <w:szCs w:val="21"/>
                <w:highlight w:val="none"/>
              </w:rPr>
              <w:t>0.5 千克</w:t>
            </w:r>
            <w:r>
              <w:rPr>
                <w:rFonts w:hint="default" w:cs="Times New Roman"/>
                <w:color w:val="auto"/>
                <w:szCs w:val="21"/>
                <w:highlight w:val="none"/>
                <w:lang w:val="zh-CN"/>
              </w:rPr>
              <w:t>/（人</w:t>
            </w:r>
            <w:r>
              <w:rPr>
                <w:rFonts w:hint="default" w:cs="Times New Roman"/>
                <w:color w:val="auto"/>
                <w:szCs w:val="21"/>
                <w:highlight w:val="none"/>
              </w:rPr>
              <w:t>·天</w:t>
            </w:r>
            <w:r>
              <w:rPr>
                <w:rFonts w:hint="default" w:cs="Times New Roman"/>
                <w:color w:val="auto"/>
                <w:szCs w:val="21"/>
                <w:highlight w:val="none"/>
                <w:lang w:val="zh-CN"/>
              </w:rPr>
              <w:t>）计，则</w:t>
            </w:r>
            <w:r>
              <w:rPr>
                <w:rFonts w:hint="default" w:cs="Times New Roman"/>
                <w:color w:val="auto"/>
                <w:szCs w:val="21"/>
                <w:highlight w:val="none"/>
              </w:rPr>
              <w:t>生活垃圾</w:t>
            </w:r>
            <w:r>
              <w:rPr>
                <w:rFonts w:hint="default" w:cs="Times New Roman"/>
                <w:color w:val="auto"/>
                <w:szCs w:val="21"/>
                <w:highlight w:val="none"/>
                <w:lang w:val="zh-CN"/>
              </w:rPr>
              <w:t>产生量</w:t>
            </w:r>
            <w:r>
              <w:rPr>
                <w:rFonts w:hint="default" w:cs="Times New Roman"/>
                <w:color w:val="auto"/>
                <w:szCs w:val="21"/>
                <w:highlight w:val="none"/>
              </w:rPr>
              <w:t>1.612 t/a，定期</w:t>
            </w:r>
            <w:r>
              <w:rPr>
                <w:rFonts w:hint="default" w:cs="Times New Roman"/>
                <w:color w:val="auto"/>
                <w:szCs w:val="21"/>
                <w:highlight w:val="none"/>
                <w:lang w:val="zh-CN"/>
              </w:rPr>
              <w:t>由环卫部门统一清运。</w:t>
            </w:r>
          </w:p>
          <w:p w14:paraId="179FB72E">
            <w:pPr>
              <w:numPr>
                <w:ilvl w:val="0"/>
                <w:numId w:val="14"/>
              </w:numPr>
              <w:spacing w:line="360" w:lineRule="auto"/>
              <w:rPr>
                <w:b/>
                <w:bCs/>
                <w:color w:val="auto"/>
                <w:highlight w:val="none"/>
              </w:rPr>
            </w:pPr>
            <w:r>
              <w:rPr>
                <w:rFonts w:hint="default"/>
                <w:b/>
                <w:bCs/>
                <w:color w:val="auto"/>
                <w:highlight w:val="none"/>
              </w:rPr>
              <w:t>副产物属性判定</w:t>
            </w:r>
          </w:p>
          <w:p w14:paraId="1F0BB3F1">
            <w:pPr>
              <w:spacing w:line="360" w:lineRule="auto"/>
              <w:ind w:firstLine="420" w:firstLineChars="200"/>
              <w:rPr>
                <w:b/>
                <w:bCs/>
                <w:color w:val="auto"/>
                <w:highlight w:val="none"/>
              </w:rPr>
            </w:pPr>
            <w:r>
              <w:rPr>
                <w:rFonts w:hint="default" w:cs="Times New Roman"/>
                <w:color w:val="auto"/>
                <w:szCs w:val="21"/>
                <w:highlight w:val="none"/>
              </w:rPr>
              <w:t>根据《固体废物鉴别标准 通则》（GB 34330—2025）的规定，对副产物进行判定结果见表</w:t>
            </w:r>
            <w:r>
              <w:rPr>
                <w:rFonts w:hint="default" w:cs="Times New Roman"/>
                <w:color w:val="auto"/>
                <w:szCs w:val="21"/>
                <w:highlight w:val="none"/>
                <w:lang w:val="en-US" w:eastAsia="zh-CN"/>
              </w:rPr>
              <w:t>4-1</w:t>
            </w:r>
            <w:r>
              <w:rPr>
                <w:rFonts w:hint="eastAsia" w:cs="Times New Roman"/>
                <w:color w:val="auto"/>
                <w:szCs w:val="21"/>
                <w:highlight w:val="none"/>
                <w:lang w:val="en-US" w:eastAsia="zh-CN"/>
              </w:rPr>
              <w:t>6</w:t>
            </w:r>
            <w:r>
              <w:rPr>
                <w:rFonts w:hint="default" w:cs="Times New Roman"/>
                <w:color w:val="auto"/>
                <w:szCs w:val="21"/>
                <w:highlight w:val="none"/>
              </w:rPr>
              <w:t>：</w:t>
            </w:r>
          </w:p>
        </w:tc>
      </w:tr>
    </w:tbl>
    <w:p w14:paraId="1781C181">
      <w:pPr>
        <w:pStyle w:val="20"/>
        <w:jc w:val="center"/>
        <w:outlineLvl w:val="0"/>
        <w:rPr>
          <w:rFonts w:ascii="Times New Roman" w:hAnsi="Times New Roman" w:eastAsia="黑体" w:cs="Times New Roman"/>
          <w:snapToGrid w:val="0"/>
          <w:color w:val="auto"/>
          <w:sz w:val="30"/>
          <w:szCs w:val="30"/>
          <w:highlight w:val="none"/>
        </w:rPr>
        <w:sectPr>
          <w:pgSz w:w="11906" w:h="16838"/>
          <w:pgMar w:top="1701" w:right="1531" w:bottom="1701" w:left="1531" w:header="851" w:footer="851" w:gutter="0"/>
          <w:pgBorders>
            <w:top w:val="none" w:sz="0" w:space="0"/>
            <w:left w:val="none" w:sz="0" w:space="0"/>
            <w:bottom w:val="none" w:sz="0" w:space="0"/>
            <w:right w:val="none" w:sz="0" w:space="0"/>
          </w:pgBorders>
          <w:cols w:space="720" w:num="1"/>
          <w:docGrid w:linePitch="312" w:charSpace="0"/>
        </w:sectPr>
      </w:pPr>
    </w:p>
    <w:p w14:paraId="6B2A6BAD">
      <w:pPr>
        <w:numPr>
          <w:ilvl w:val="0"/>
          <w:numId w:val="8"/>
        </w:numPr>
        <w:spacing w:line="360" w:lineRule="auto"/>
        <w:jc w:val="center"/>
        <w:rPr>
          <w:rFonts w:hint="default" w:ascii="Times New Roman" w:hAnsi="Times New Roman" w:eastAsia="黑体" w:cs="Times New Roman"/>
          <w:b w:val="0"/>
          <w:bCs w:val="0"/>
          <w:color w:val="auto"/>
          <w:spacing w:val="-10"/>
          <w:szCs w:val="21"/>
          <w:highlight w:val="none"/>
        </w:rPr>
      </w:pPr>
      <w:r>
        <w:rPr>
          <w:rFonts w:hint="default" w:ascii="Times New Roman" w:hAnsi="Times New Roman" w:eastAsia="黑体" w:cs="Times New Roman"/>
          <w:b w:val="0"/>
          <w:bCs w:val="0"/>
          <w:color w:val="auto"/>
          <w:spacing w:val="-10"/>
          <w:szCs w:val="21"/>
          <w:highlight w:val="none"/>
          <w:lang w:val="en-US" w:eastAsia="zh-CN"/>
        </w:rPr>
        <w:t xml:space="preserve"> </w:t>
      </w:r>
      <w:r>
        <w:rPr>
          <w:rFonts w:hint="default" w:ascii="Times New Roman" w:hAnsi="Times New Roman" w:eastAsia="黑体" w:cs="Times New Roman"/>
          <w:b w:val="0"/>
          <w:bCs w:val="0"/>
          <w:color w:val="auto"/>
          <w:spacing w:val="-10"/>
          <w:szCs w:val="21"/>
          <w:highlight w:val="none"/>
        </w:rPr>
        <w:t>项目生产过程副产物产生情况汇总表</w:t>
      </w:r>
    </w:p>
    <w:tbl>
      <w:tblPr>
        <w:tblStyle w:val="24"/>
        <w:tblW w:w="4998" w:type="pct"/>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autofit"/>
        <w:tblCellMar>
          <w:top w:w="0" w:type="dxa"/>
          <w:left w:w="108" w:type="dxa"/>
          <w:bottom w:w="0" w:type="dxa"/>
          <w:right w:w="108" w:type="dxa"/>
        </w:tblCellMar>
      </w:tblPr>
      <w:tblGrid>
        <w:gridCol w:w="678"/>
        <w:gridCol w:w="1210"/>
        <w:gridCol w:w="2221"/>
        <w:gridCol w:w="2200"/>
        <w:gridCol w:w="992"/>
        <w:gridCol w:w="2894"/>
        <w:gridCol w:w="1325"/>
        <w:gridCol w:w="982"/>
        <w:gridCol w:w="899"/>
      </w:tblGrid>
      <w:tr w14:paraId="6706BB8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253" w:type="pct"/>
            <w:tcBorders>
              <w:tl2br w:val="nil"/>
              <w:tr2bl w:val="nil"/>
            </w:tcBorders>
            <w:vAlign w:val="center"/>
          </w:tcPr>
          <w:p w14:paraId="7254FEE4">
            <w:pPr>
              <w:widowControl/>
              <w:jc w:val="center"/>
              <w:textAlignment w:val="center"/>
              <w:rPr>
                <w:color w:val="auto"/>
                <w:sz w:val="18"/>
                <w:szCs w:val="18"/>
                <w:highlight w:val="none"/>
              </w:rPr>
            </w:pPr>
            <w:r>
              <w:rPr>
                <w:rFonts w:hint="default" w:ascii="Times New Roman" w:hAnsi="Times New Roman" w:cs="Times New Roman"/>
                <w:color w:val="auto"/>
                <w:kern w:val="0"/>
                <w:sz w:val="18"/>
                <w:szCs w:val="18"/>
                <w:highlight w:val="none"/>
                <w:lang w:bidi="ar"/>
              </w:rPr>
              <w:t>序号</w:t>
            </w:r>
          </w:p>
        </w:tc>
        <w:tc>
          <w:tcPr>
            <w:tcW w:w="451" w:type="pct"/>
            <w:tcBorders>
              <w:tl2br w:val="nil"/>
              <w:tr2bl w:val="nil"/>
            </w:tcBorders>
            <w:vAlign w:val="center"/>
          </w:tcPr>
          <w:p w14:paraId="7855CDF0">
            <w:pPr>
              <w:widowControl/>
              <w:jc w:val="center"/>
              <w:textAlignment w:val="center"/>
              <w:rPr>
                <w:color w:val="auto"/>
                <w:sz w:val="18"/>
                <w:szCs w:val="18"/>
                <w:highlight w:val="none"/>
              </w:rPr>
            </w:pPr>
            <w:r>
              <w:rPr>
                <w:rFonts w:hint="default" w:ascii="Times New Roman" w:hAnsi="Times New Roman" w:cs="Times New Roman"/>
                <w:color w:val="auto"/>
                <w:kern w:val="0"/>
                <w:sz w:val="18"/>
                <w:szCs w:val="18"/>
                <w:highlight w:val="none"/>
                <w:lang w:bidi="ar"/>
              </w:rPr>
              <w:t>生产线</w:t>
            </w:r>
          </w:p>
        </w:tc>
        <w:tc>
          <w:tcPr>
            <w:tcW w:w="828" w:type="pct"/>
            <w:tcBorders>
              <w:tl2br w:val="nil"/>
              <w:tr2bl w:val="nil"/>
            </w:tcBorders>
            <w:vAlign w:val="center"/>
          </w:tcPr>
          <w:p w14:paraId="4C3CC307">
            <w:pPr>
              <w:widowControl/>
              <w:jc w:val="center"/>
              <w:textAlignment w:val="center"/>
              <w:rPr>
                <w:color w:val="auto"/>
                <w:sz w:val="18"/>
                <w:szCs w:val="18"/>
                <w:highlight w:val="none"/>
              </w:rPr>
            </w:pPr>
            <w:r>
              <w:rPr>
                <w:rFonts w:hint="default" w:ascii="Times New Roman" w:hAnsi="Times New Roman" w:cs="Times New Roman"/>
                <w:color w:val="auto"/>
                <w:kern w:val="0"/>
                <w:sz w:val="18"/>
                <w:szCs w:val="18"/>
                <w:highlight w:val="none"/>
                <w:lang w:bidi="ar"/>
              </w:rPr>
              <w:t>产生工序</w:t>
            </w:r>
          </w:p>
        </w:tc>
        <w:tc>
          <w:tcPr>
            <w:tcW w:w="820" w:type="pct"/>
            <w:tcBorders>
              <w:tl2br w:val="nil"/>
              <w:tr2bl w:val="nil"/>
            </w:tcBorders>
            <w:vAlign w:val="center"/>
          </w:tcPr>
          <w:p w14:paraId="6452708F">
            <w:pPr>
              <w:widowControl/>
              <w:jc w:val="center"/>
              <w:textAlignment w:val="center"/>
              <w:rPr>
                <w:color w:val="auto"/>
                <w:sz w:val="18"/>
                <w:szCs w:val="18"/>
                <w:highlight w:val="none"/>
              </w:rPr>
            </w:pPr>
            <w:r>
              <w:rPr>
                <w:rFonts w:hint="default" w:ascii="Times New Roman" w:hAnsi="Times New Roman" w:cs="Times New Roman"/>
                <w:color w:val="auto"/>
                <w:kern w:val="0"/>
                <w:sz w:val="18"/>
                <w:szCs w:val="18"/>
                <w:highlight w:val="none"/>
                <w:lang w:bidi="ar"/>
              </w:rPr>
              <w:t>名称</w:t>
            </w:r>
          </w:p>
        </w:tc>
        <w:tc>
          <w:tcPr>
            <w:tcW w:w="370" w:type="pct"/>
            <w:tcBorders>
              <w:tl2br w:val="nil"/>
              <w:tr2bl w:val="nil"/>
            </w:tcBorders>
            <w:vAlign w:val="center"/>
          </w:tcPr>
          <w:p w14:paraId="62219CE7">
            <w:pPr>
              <w:widowControl/>
              <w:jc w:val="center"/>
              <w:textAlignment w:val="center"/>
              <w:rPr>
                <w:color w:val="auto"/>
                <w:sz w:val="18"/>
                <w:szCs w:val="18"/>
                <w:highlight w:val="none"/>
              </w:rPr>
            </w:pPr>
            <w:r>
              <w:rPr>
                <w:rFonts w:hint="default" w:ascii="Times New Roman" w:hAnsi="Times New Roman" w:cs="Times New Roman"/>
                <w:color w:val="auto"/>
                <w:kern w:val="0"/>
                <w:sz w:val="18"/>
                <w:szCs w:val="18"/>
                <w:highlight w:val="none"/>
                <w:lang w:bidi="ar"/>
              </w:rPr>
              <w:t>形态</w:t>
            </w:r>
          </w:p>
        </w:tc>
        <w:tc>
          <w:tcPr>
            <w:tcW w:w="1079" w:type="pct"/>
            <w:tcBorders>
              <w:tl2br w:val="nil"/>
              <w:tr2bl w:val="nil"/>
            </w:tcBorders>
            <w:vAlign w:val="center"/>
          </w:tcPr>
          <w:p w14:paraId="6C66430E">
            <w:pPr>
              <w:widowControl/>
              <w:jc w:val="center"/>
              <w:textAlignment w:val="center"/>
              <w:rPr>
                <w:color w:val="auto"/>
                <w:sz w:val="18"/>
                <w:szCs w:val="18"/>
                <w:highlight w:val="none"/>
              </w:rPr>
            </w:pPr>
            <w:r>
              <w:rPr>
                <w:rFonts w:hint="default" w:ascii="Times New Roman" w:hAnsi="Times New Roman" w:cs="Times New Roman"/>
                <w:color w:val="auto"/>
                <w:kern w:val="0"/>
                <w:sz w:val="18"/>
                <w:szCs w:val="18"/>
                <w:highlight w:val="none"/>
                <w:lang w:bidi="ar"/>
              </w:rPr>
              <w:t>主要成分</w:t>
            </w:r>
          </w:p>
        </w:tc>
        <w:tc>
          <w:tcPr>
            <w:tcW w:w="494" w:type="pct"/>
            <w:tcBorders>
              <w:tl2br w:val="nil"/>
              <w:tr2bl w:val="nil"/>
            </w:tcBorders>
            <w:vAlign w:val="center"/>
          </w:tcPr>
          <w:p w14:paraId="346D0A25">
            <w:pPr>
              <w:widowControl/>
              <w:jc w:val="center"/>
              <w:textAlignment w:val="center"/>
              <w:rPr>
                <w:color w:val="auto"/>
                <w:sz w:val="18"/>
                <w:szCs w:val="18"/>
                <w:highlight w:val="none"/>
              </w:rPr>
            </w:pPr>
            <w:r>
              <w:rPr>
                <w:rFonts w:hint="default" w:ascii="Times New Roman" w:hAnsi="Times New Roman" w:cs="Times New Roman"/>
                <w:color w:val="auto"/>
                <w:kern w:val="0"/>
                <w:sz w:val="18"/>
                <w:szCs w:val="18"/>
                <w:highlight w:val="none"/>
                <w:lang w:bidi="ar"/>
              </w:rPr>
              <w:t>预测产生量（</w:t>
            </w:r>
            <w:r>
              <w:rPr>
                <w:color w:val="auto"/>
                <w:kern w:val="0"/>
                <w:sz w:val="18"/>
                <w:szCs w:val="18"/>
                <w:highlight w:val="none"/>
                <w:lang w:bidi="ar"/>
              </w:rPr>
              <w:t>kg/a</w:t>
            </w:r>
            <w:r>
              <w:rPr>
                <w:rFonts w:hint="default" w:ascii="Times New Roman" w:hAnsi="Times New Roman" w:cs="Times New Roman"/>
                <w:color w:val="auto"/>
                <w:kern w:val="0"/>
                <w:sz w:val="18"/>
                <w:szCs w:val="18"/>
                <w:highlight w:val="none"/>
                <w:lang w:bidi="ar"/>
              </w:rPr>
              <w:t>）</w:t>
            </w:r>
          </w:p>
        </w:tc>
        <w:tc>
          <w:tcPr>
            <w:tcW w:w="366" w:type="pct"/>
            <w:tcBorders>
              <w:tl2br w:val="nil"/>
              <w:tr2bl w:val="nil"/>
            </w:tcBorders>
            <w:vAlign w:val="center"/>
          </w:tcPr>
          <w:p w14:paraId="06D202BD">
            <w:pPr>
              <w:widowControl/>
              <w:jc w:val="center"/>
              <w:textAlignment w:val="center"/>
              <w:rPr>
                <w:color w:val="auto"/>
                <w:sz w:val="18"/>
                <w:szCs w:val="18"/>
                <w:highlight w:val="none"/>
              </w:rPr>
            </w:pPr>
            <w:r>
              <w:rPr>
                <w:rFonts w:hint="default" w:ascii="Times New Roman" w:hAnsi="Times New Roman" w:cs="Times New Roman"/>
                <w:color w:val="auto"/>
                <w:kern w:val="0"/>
                <w:sz w:val="18"/>
                <w:szCs w:val="18"/>
                <w:highlight w:val="none"/>
                <w:lang w:bidi="ar"/>
              </w:rPr>
              <w:t>是否属固体废物</w:t>
            </w:r>
          </w:p>
        </w:tc>
        <w:tc>
          <w:tcPr>
            <w:tcW w:w="335" w:type="pct"/>
            <w:tcBorders>
              <w:tl2br w:val="nil"/>
              <w:tr2bl w:val="nil"/>
            </w:tcBorders>
            <w:vAlign w:val="center"/>
          </w:tcPr>
          <w:p w14:paraId="31C31D8D">
            <w:pPr>
              <w:widowControl/>
              <w:jc w:val="center"/>
              <w:textAlignment w:val="center"/>
              <w:rPr>
                <w:color w:val="auto"/>
                <w:sz w:val="18"/>
                <w:szCs w:val="18"/>
                <w:highlight w:val="none"/>
              </w:rPr>
            </w:pPr>
            <w:r>
              <w:rPr>
                <w:rFonts w:hint="default" w:ascii="Times New Roman" w:hAnsi="Times New Roman" w:cs="Times New Roman"/>
                <w:color w:val="auto"/>
                <w:kern w:val="0"/>
                <w:sz w:val="18"/>
                <w:szCs w:val="18"/>
                <w:highlight w:val="none"/>
                <w:lang w:bidi="ar"/>
              </w:rPr>
              <w:t>判定依据</w:t>
            </w:r>
          </w:p>
        </w:tc>
      </w:tr>
      <w:tr w14:paraId="010A406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253" w:type="pct"/>
            <w:tcBorders>
              <w:tl2br w:val="nil"/>
              <w:tr2bl w:val="nil"/>
            </w:tcBorders>
            <w:vAlign w:val="center"/>
          </w:tcPr>
          <w:p w14:paraId="7FB5570B">
            <w:pPr>
              <w:widowControl/>
              <w:jc w:val="center"/>
              <w:textAlignment w:val="center"/>
              <w:rPr>
                <w:color w:val="auto"/>
                <w:sz w:val="18"/>
                <w:szCs w:val="18"/>
                <w:highlight w:val="none"/>
              </w:rPr>
            </w:pPr>
            <w:r>
              <w:rPr>
                <w:color w:val="auto"/>
                <w:kern w:val="0"/>
                <w:sz w:val="18"/>
                <w:szCs w:val="18"/>
                <w:highlight w:val="none"/>
                <w:lang w:bidi="ar"/>
              </w:rPr>
              <w:t>S1</w:t>
            </w:r>
          </w:p>
        </w:tc>
        <w:tc>
          <w:tcPr>
            <w:tcW w:w="451" w:type="pct"/>
            <w:vMerge w:val="restart"/>
            <w:tcBorders>
              <w:tl2br w:val="nil"/>
              <w:tr2bl w:val="nil"/>
            </w:tcBorders>
            <w:vAlign w:val="center"/>
          </w:tcPr>
          <w:p w14:paraId="498B5155">
            <w:pPr>
              <w:widowControl/>
              <w:jc w:val="center"/>
              <w:textAlignment w:val="center"/>
              <w:rPr>
                <w:color w:val="auto"/>
                <w:sz w:val="18"/>
                <w:szCs w:val="18"/>
                <w:highlight w:val="none"/>
              </w:rPr>
            </w:pPr>
            <w:r>
              <w:rPr>
                <w:rFonts w:hint="default" w:ascii="Times New Roman" w:hAnsi="Times New Roman" w:cs="Times New Roman"/>
                <w:color w:val="auto"/>
                <w:kern w:val="0"/>
                <w:sz w:val="18"/>
                <w:szCs w:val="18"/>
                <w:highlight w:val="none"/>
                <w:lang w:bidi="ar"/>
              </w:rPr>
              <w:t>正极材料制备</w:t>
            </w:r>
          </w:p>
        </w:tc>
        <w:tc>
          <w:tcPr>
            <w:tcW w:w="828" w:type="pct"/>
            <w:tcBorders>
              <w:tl2br w:val="nil"/>
              <w:tr2bl w:val="nil"/>
            </w:tcBorders>
            <w:noWrap/>
            <w:vAlign w:val="center"/>
          </w:tcPr>
          <w:p w14:paraId="5437EEFC">
            <w:pPr>
              <w:widowControl/>
              <w:jc w:val="center"/>
              <w:textAlignment w:val="center"/>
              <w:rPr>
                <w:color w:val="auto"/>
                <w:sz w:val="18"/>
                <w:szCs w:val="18"/>
                <w:highlight w:val="none"/>
              </w:rPr>
            </w:pPr>
            <w:r>
              <w:rPr>
                <w:rFonts w:hint="default" w:ascii="Times New Roman" w:hAnsi="Times New Roman" w:cs="Times New Roman"/>
                <w:color w:val="auto"/>
                <w:kern w:val="0"/>
                <w:sz w:val="18"/>
                <w:szCs w:val="18"/>
                <w:highlight w:val="none"/>
                <w:lang w:bidi="ar"/>
              </w:rPr>
              <w:t>原材料投料</w:t>
            </w:r>
          </w:p>
        </w:tc>
        <w:tc>
          <w:tcPr>
            <w:tcW w:w="820" w:type="pct"/>
            <w:tcBorders>
              <w:tl2br w:val="nil"/>
              <w:tr2bl w:val="nil"/>
            </w:tcBorders>
            <w:noWrap/>
            <w:vAlign w:val="center"/>
          </w:tcPr>
          <w:p w14:paraId="1C806C8E">
            <w:pPr>
              <w:widowControl/>
              <w:jc w:val="center"/>
              <w:textAlignment w:val="center"/>
              <w:rPr>
                <w:color w:val="auto"/>
                <w:sz w:val="18"/>
                <w:szCs w:val="18"/>
                <w:highlight w:val="none"/>
              </w:rPr>
            </w:pPr>
            <w:r>
              <w:rPr>
                <w:rFonts w:hint="default" w:ascii="Times New Roman" w:hAnsi="Times New Roman" w:cs="Times New Roman"/>
                <w:color w:val="auto"/>
                <w:kern w:val="0"/>
                <w:sz w:val="18"/>
                <w:szCs w:val="18"/>
                <w:highlight w:val="none"/>
                <w:lang w:bidi="ar"/>
              </w:rPr>
              <w:t>废包装材料</w:t>
            </w:r>
          </w:p>
        </w:tc>
        <w:tc>
          <w:tcPr>
            <w:tcW w:w="370" w:type="pct"/>
            <w:tcBorders>
              <w:tl2br w:val="nil"/>
              <w:tr2bl w:val="nil"/>
            </w:tcBorders>
            <w:vAlign w:val="center"/>
          </w:tcPr>
          <w:p w14:paraId="272A2E47">
            <w:pPr>
              <w:widowControl/>
              <w:jc w:val="center"/>
              <w:textAlignment w:val="center"/>
              <w:rPr>
                <w:color w:val="auto"/>
                <w:sz w:val="18"/>
                <w:szCs w:val="18"/>
                <w:highlight w:val="none"/>
              </w:rPr>
            </w:pPr>
            <w:r>
              <w:rPr>
                <w:rFonts w:hint="default" w:ascii="Times New Roman" w:hAnsi="Times New Roman" w:cs="Times New Roman"/>
                <w:color w:val="auto"/>
                <w:kern w:val="0"/>
                <w:sz w:val="18"/>
                <w:szCs w:val="18"/>
                <w:highlight w:val="none"/>
                <w:lang w:bidi="ar"/>
              </w:rPr>
              <w:t>固</w:t>
            </w:r>
          </w:p>
        </w:tc>
        <w:tc>
          <w:tcPr>
            <w:tcW w:w="1079" w:type="pct"/>
            <w:tcBorders>
              <w:tl2br w:val="nil"/>
              <w:tr2bl w:val="nil"/>
            </w:tcBorders>
            <w:noWrap/>
            <w:vAlign w:val="center"/>
          </w:tcPr>
          <w:p w14:paraId="32C6663E">
            <w:pPr>
              <w:widowControl/>
              <w:jc w:val="center"/>
              <w:textAlignment w:val="center"/>
              <w:rPr>
                <w:color w:val="auto"/>
                <w:sz w:val="18"/>
                <w:szCs w:val="18"/>
                <w:highlight w:val="none"/>
              </w:rPr>
            </w:pPr>
            <w:r>
              <w:rPr>
                <w:color w:val="auto"/>
                <w:kern w:val="0"/>
                <w:sz w:val="18"/>
                <w:szCs w:val="18"/>
                <w:highlight w:val="none"/>
                <w:lang w:bidi="ar"/>
              </w:rPr>
              <w:t>塑料袋、编织袋等</w:t>
            </w:r>
          </w:p>
        </w:tc>
        <w:tc>
          <w:tcPr>
            <w:tcW w:w="494" w:type="pct"/>
            <w:tcBorders>
              <w:tl2br w:val="nil"/>
              <w:tr2bl w:val="nil"/>
            </w:tcBorders>
            <w:vAlign w:val="center"/>
          </w:tcPr>
          <w:p w14:paraId="147EF6BE">
            <w:pPr>
              <w:widowControl/>
              <w:jc w:val="center"/>
              <w:textAlignment w:val="center"/>
              <w:rPr>
                <w:color w:val="auto"/>
                <w:sz w:val="18"/>
                <w:szCs w:val="18"/>
                <w:highlight w:val="none"/>
              </w:rPr>
            </w:pPr>
            <w:r>
              <w:rPr>
                <w:color w:val="auto"/>
                <w:kern w:val="0"/>
                <w:sz w:val="18"/>
                <w:szCs w:val="18"/>
                <w:highlight w:val="none"/>
                <w:lang w:bidi="ar"/>
              </w:rPr>
              <w:t>40</w:t>
            </w:r>
          </w:p>
        </w:tc>
        <w:tc>
          <w:tcPr>
            <w:tcW w:w="366" w:type="pct"/>
            <w:tcBorders>
              <w:tl2br w:val="nil"/>
              <w:tr2bl w:val="nil"/>
            </w:tcBorders>
            <w:vAlign w:val="center"/>
          </w:tcPr>
          <w:p w14:paraId="60C0A12D">
            <w:pPr>
              <w:widowControl/>
              <w:jc w:val="center"/>
              <w:textAlignment w:val="center"/>
              <w:rPr>
                <w:color w:val="auto"/>
                <w:sz w:val="18"/>
                <w:szCs w:val="18"/>
                <w:highlight w:val="none"/>
              </w:rPr>
            </w:pPr>
            <w:r>
              <w:rPr>
                <w:rFonts w:hint="default" w:ascii="Times New Roman" w:hAnsi="Times New Roman" w:cs="Times New Roman"/>
                <w:color w:val="auto"/>
                <w:kern w:val="0"/>
                <w:sz w:val="18"/>
                <w:szCs w:val="18"/>
                <w:highlight w:val="none"/>
                <w:lang w:bidi="ar"/>
              </w:rPr>
              <w:t>是</w:t>
            </w:r>
          </w:p>
        </w:tc>
        <w:tc>
          <w:tcPr>
            <w:tcW w:w="335" w:type="pct"/>
            <w:tcBorders>
              <w:tl2br w:val="nil"/>
              <w:tr2bl w:val="nil"/>
            </w:tcBorders>
            <w:noWrap/>
            <w:vAlign w:val="center"/>
          </w:tcPr>
          <w:p w14:paraId="4D42AF82">
            <w:pPr>
              <w:widowControl/>
              <w:jc w:val="center"/>
              <w:textAlignment w:val="center"/>
              <w:rPr>
                <w:color w:val="auto"/>
                <w:sz w:val="18"/>
                <w:szCs w:val="18"/>
                <w:highlight w:val="none"/>
              </w:rPr>
            </w:pPr>
            <w:r>
              <w:rPr>
                <w:color w:val="auto"/>
                <w:kern w:val="0"/>
                <w:sz w:val="18"/>
                <w:szCs w:val="18"/>
                <w:highlight w:val="none"/>
                <w:lang w:bidi="ar"/>
              </w:rPr>
              <w:t>5.2 a)</w:t>
            </w:r>
          </w:p>
        </w:tc>
      </w:tr>
      <w:tr w14:paraId="028F509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253" w:type="pct"/>
            <w:tcBorders>
              <w:tl2br w:val="nil"/>
              <w:tr2bl w:val="nil"/>
            </w:tcBorders>
            <w:vAlign w:val="center"/>
          </w:tcPr>
          <w:p w14:paraId="107010DD">
            <w:pPr>
              <w:widowControl/>
              <w:jc w:val="center"/>
              <w:textAlignment w:val="center"/>
              <w:rPr>
                <w:color w:val="auto"/>
                <w:sz w:val="18"/>
                <w:szCs w:val="18"/>
                <w:highlight w:val="none"/>
              </w:rPr>
            </w:pPr>
            <w:r>
              <w:rPr>
                <w:color w:val="auto"/>
                <w:kern w:val="0"/>
                <w:sz w:val="18"/>
                <w:szCs w:val="18"/>
                <w:highlight w:val="none"/>
                <w:lang w:bidi="ar"/>
              </w:rPr>
              <w:t>S2</w:t>
            </w:r>
          </w:p>
        </w:tc>
        <w:tc>
          <w:tcPr>
            <w:tcW w:w="451" w:type="pct"/>
            <w:vMerge w:val="continue"/>
            <w:tcBorders>
              <w:tl2br w:val="nil"/>
              <w:tr2bl w:val="nil"/>
            </w:tcBorders>
            <w:vAlign w:val="center"/>
          </w:tcPr>
          <w:p w14:paraId="5E35CCEC">
            <w:pPr>
              <w:jc w:val="center"/>
              <w:rPr>
                <w:color w:val="auto"/>
                <w:sz w:val="18"/>
                <w:szCs w:val="18"/>
                <w:highlight w:val="none"/>
              </w:rPr>
            </w:pPr>
          </w:p>
        </w:tc>
        <w:tc>
          <w:tcPr>
            <w:tcW w:w="828" w:type="pct"/>
            <w:tcBorders>
              <w:tl2br w:val="nil"/>
              <w:tr2bl w:val="nil"/>
            </w:tcBorders>
            <w:noWrap/>
            <w:vAlign w:val="center"/>
          </w:tcPr>
          <w:p w14:paraId="646AF4F0">
            <w:pPr>
              <w:widowControl/>
              <w:jc w:val="center"/>
              <w:textAlignment w:val="center"/>
              <w:rPr>
                <w:color w:val="auto"/>
                <w:sz w:val="18"/>
                <w:szCs w:val="18"/>
                <w:highlight w:val="none"/>
              </w:rPr>
            </w:pPr>
            <w:r>
              <w:rPr>
                <w:rFonts w:hint="default" w:ascii="Times New Roman" w:hAnsi="Times New Roman" w:cs="Times New Roman"/>
                <w:color w:val="auto"/>
                <w:kern w:val="0"/>
                <w:sz w:val="18"/>
                <w:szCs w:val="18"/>
                <w:highlight w:val="none"/>
                <w:lang w:bidi="ar"/>
              </w:rPr>
              <w:t>混合、研磨</w:t>
            </w:r>
          </w:p>
        </w:tc>
        <w:tc>
          <w:tcPr>
            <w:tcW w:w="820" w:type="pct"/>
            <w:tcBorders>
              <w:tl2br w:val="nil"/>
              <w:tr2bl w:val="nil"/>
            </w:tcBorders>
            <w:noWrap/>
            <w:vAlign w:val="center"/>
          </w:tcPr>
          <w:p w14:paraId="6F454CBE">
            <w:pPr>
              <w:widowControl/>
              <w:jc w:val="center"/>
              <w:textAlignment w:val="center"/>
              <w:rPr>
                <w:color w:val="auto"/>
                <w:sz w:val="18"/>
                <w:szCs w:val="18"/>
                <w:highlight w:val="none"/>
              </w:rPr>
            </w:pPr>
            <w:r>
              <w:rPr>
                <w:rFonts w:hint="default" w:ascii="Times New Roman" w:hAnsi="Times New Roman" w:cs="Times New Roman"/>
                <w:color w:val="auto"/>
                <w:kern w:val="0"/>
                <w:sz w:val="18"/>
                <w:szCs w:val="18"/>
                <w:highlight w:val="none"/>
                <w:lang w:bidi="ar"/>
              </w:rPr>
              <w:t>废弃研磨介质</w:t>
            </w:r>
          </w:p>
        </w:tc>
        <w:tc>
          <w:tcPr>
            <w:tcW w:w="370" w:type="pct"/>
            <w:tcBorders>
              <w:tl2br w:val="nil"/>
              <w:tr2bl w:val="nil"/>
            </w:tcBorders>
            <w:vAlign w:val="center"/>
          </w:tcPr>
          <w:p w14:paraId="6E3735D4">
            <w:pPr>
              <w:widowControl/>
              <w:jc w:val="center"/>
              <w:textAlignment w:val="center"/>
              <w:rPr>
                <w:color w:val="auto"/>
                <w:sz w:val="18"/>
                <w:szCs w:val="18"/>
                <w:highlight w:val="none"/>
              </w:rPr>
            </w:pPr>
            <w:r>
              <w:rPr>
                <w:rFonts w:hint="default" w:ascii="Times New Roman" w:hAnsi="Times New Roman" w:cs="Times New Roman"/>
                <w:color w:val="auto"/>
                <w:kern w:val="0"/>
                <w:sz w:val="18"/>
                <w:szCs w:val="18"/>
                <w:highlight w:val="none"/>
                <w:lang w:bidi="ar"/>
              </w:rPr>
              <w:t>固</w:t>
            </w:r>
          </w:p>
        </w:tc>
        <w:tc>
          <w:tcPr>
            <w:tcW w:w="1079" w:type="pct"/>
            <w:tcBorders>
              <w:tl2br w:val="nil"/>
              <w:tr2bl w:val="nil"/>
            </w:tcBorders>
            <w:noWrap/>
            <w:vAlign w:val="center"/>
          </w:tcPr>
          <w:p w14:paraId="6F69B14D">
            <w:pPr>
              <w:widowControl/>
              <w:jc w:val="center"/>
              <w:textAlignment w:val="center"/>
              <w:rPr>
                <w:color w:val="auto"/>
                <w:sz w:val="18"/>
                <w:szCs w:val="18"/>
                <w:highlight w:val="none"/>
              </w:rPr>
            </w:pPr>
            <w:r>
              <w:rPr>
                <w:rFonts w:hint="default" w:ascii="Times New Roman" w:hAnsi="Times New Roman" w:cs="Times New Roman"/>
                <w:color w:val="auto"/>
                <w:kern w:val="0"/>
                <w:sz w:val="18"/>
                <w:szCs w:val="18"/>
                <w:highlight w:val="none"/>
                <w:lang w:bidi="ar"/>
              </w:rPr>
              <w:t>废锆珠、氧化铝珠</w:t>
            </w:r>
          </w:p>
        </w:tc>
        <w:tc>
          <w:tcPr>
            <w:tcW w:w="494" w:type="pct"/>
            <w:tcBorders>
              <w:tl2br w:val="nil"/>
              <w:tr2bl w:val="nil"/>
            </w:tcBorders>
            <w:vAlign w:val="center"/>
          </w:tcPr>
          <w:p w14:paraId="7F24EF51">
            <w:pPr>
              <w:widowControl/>
              <w:jc w:val="center"/>
              <w:textAlignment w:val="center"/>
              <w:rPr>
                <w:color w:val="auto"/>
                <w:sz w:val="18"/>
                <w:szCs w:val="18"/>
                <w:highlight w:val="none"/>
              </w:rPr>
            </w:pPr>
            <w:r>
              <w:rPr>
                <w:color w:val="auto"/>
                <w:kern w:val="0"/>
                <w:sz w:val="18"/>
                <w:szCs w:val="18"/>
                <w:highlight w:val="none"/>
                <w:lang w:bidi="ar"/>
              </w:rPr>
              <w:t>5</w:t>
            </w:r>
          </w:p>
        </w:tc>
        <w:tc>
          <w:tcPr>
            <w:tcW w:w="366" w:type="pct"/>
            <w:tcBorders>
              <w:tl2br w:val="nil"/>
              <w:tr2bl w:val="nil"/>
            </w:tcBorders>
            <w:vAlign w:val="center"/>
          </w:tcPr>
          <w:p w14:paraId="00346547">
            <w:pPr>
              <w:widowControl/>
              <w:jc w:val="center"/>
              <w:textAlignment w:val="center"/>
              <w:rPr>
                <w:color w:val="auto"/>
                <w:sz w:val="18"/>
                <w:szCs w:val="18"/>
                <w:highlight w:val="none"/>
              </w:rPr>
            </w:pPr>
            <w:r>
              <w:rPr>
                <w:rFonts w:hint="default" w:ascii="Times New Roman" w:hAnsi="Times New Roman" w:cs="Times New Roman"/>
                <w:color w:val="auto"/>
                <w:kern w:val="0"/>
                <w:sz w:val="18"/>
                <w:szCs w:val="18"/>
                <w:highlight w:val="none"/>
                <w:lang w:bidi="ar"/>
              </w:rPr>
              <w:t>是</w:t>
            </w:r>
          </w:p>
        </w:tc>
        <w:tc>
          <w:tcPr>
            <w:tcW w:w="335" w:type="pct"/>
            <w:tcBorders>
              <w:tl2br w:val="nil"/>
              <w:tr2bl w:val="nil"/>
            </w:tcBorders>
            <w:vAlign w:val="center"/>
          </w:tcPr>
          <w:p w14:paraId="207CA65D">
            <w:pPr>
              <w:widowControl/>
              <w:jc w:val="center"/>
              <w:textAlignment w:val="center"/>
              <w:rPr>
                <w:color w:val="auto"/>
                <w:sz w:val="18"/>
                <w:szCs w:val="18"/>
                <w:highlight w:val="none"/>
              </w:rPr>
            </w:pPr>
            <w:r>
              <w:rPr>
                <w:color w:val="auto"/>
                <w:kern w:val="0"/>
                <w:sz w:val="18"/>
                <w:szCs w:val="18"/>
                <w:highlight w:val="none"/>
                <w:lang w:bidi="ar"/>
              </w:rPr>
              <w:t>4.1 e)</w:t>
            </w:r>
          </w:p>
        </w:tc>
      </w:tr>
      <w:tr w14:paraId="48002E7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253" w:type="pct"/>
            <w:tcBorders>
              <w:tl2br w:val="nil"/>
              <w:tr2bl w:val="nil"/>
            </w:tcBorders>
            <w:vAlign w:val="center"/>
          </w:tcPr>
          <w:p w14:paraId="6DF78EEE">
            <w:pPr>
              <w:widowControl/>
              <w:jc w:val="center"/>
              <w:textAlignment w:val="center"/>
              <w:rPr>
                <w:color w:val="auto"/>
                <w:sz w:val="18"/>
                <w:szCs w:val="18"/>
                <w:highlight w:val="none"/>
              </w:rPr>
            </w:pPr>
            <w:r>
              <w:rPr>
                <w:color w:val="auto"/>
                <w:kern w:val="0"/>
                <w:sz w:val="18"/>
                <w:szCs w:val="18"/>
                <w:highlight w:val="none"/>
                <w:lang w:bidi="ar"/>
              </w:rPr>
              <w:t>S3</w:t>
            </w:r>
          </w:p>
        </w:tc>
        <w:tc>
          <w:tcPr>
            <w:tcW w:w="451" w:type="pct"/>
            <w:vMerge w:val="continue"/>
            <w:tcBorders>
              <w:tl2br w:val="nil"/>
              <w:tr2bl w:val="nil"/>
            </w:tcBorders>
            <w:vAlign w:val="center"/>
          </w:tcPr>
          <w:p w14:paraId="5465275D">
            <w:pPr>
              <w:jc w:val="center"/>
              <w:rPr>
                <w:color w:val="auto"/>
                <w:sz w:val="18"/>
                <w:szCs w:val="18"/>
                <w:highlight w:val="none"/>
              </w:rPr>
            </w:pPr>
          </w:p>
        </w:tc>
        <w:tc>
          <w:tcPr>
            <w:tcW w:w="828" w:type="pct"/>
            <w:tcBorders>
              <w:tl2br w:val="nil"/>
              <w:tr2bl w:val="nil"/>
            </w:tcBorders>
            <w:noWrap/>
            <w:vAlign w:val="center"/>
          </w:tcPr>
          <w:p w14:paraId="6A4AFF03">
            <w:pPr>
              <w:widowControl/>
              <w:jc w:val="center"/>
              <w:textAlignment w:val="center"/>
              <w:rPr>
                <w:color w:val="auto"/>
                <w:sz w:val="18"/>
                <w:szCs w:val="18"/>
                <w:highlight w:val="none"/>
              </w:rPr>
            </w:pPr>
            <w:r>
              <w:rPr>
                <w:rFonts w:hint="default" w:ascii="Times New Roman" w:hAnsi="Times New Roman" w:cs="Times New Roman"/>
                <w:color w:val="auto"/>
                <w:kern w:val="0"/>
                <w:sz w:val="18"/>
                <w:szCs w:val="18"/>
                <w:highlight w:val="none"/>
                <w:lang w:bidi="ar"/>
              </w:rPr>
              <w:t>喷雾干燥</w:t>
            </w:r>
          </w:p>
        </w:tc>
        <w:tc>
          <w:tcPr>
            <w:tcW w:w="820" w:type="pct"/>
            <w:tcBorders>
              <w:tl2br w:val="nil"/>
              <w:tr2bl w:val="nil"/>
            </w:tcBorders>
            <w:noWrap/>
            <w:vAlign w:val="center"/>
          </w:tcPr>
          <w:p w14:paraId="551DCB06">
            <w:pPr>
              <w:widowControl/>
              <w:jc w:val="center"/>
              <w:textAlignment w:val="center"/>
              <w:rPr>
                <w:color w:val="auto"/>
                <w:sz w:val="18"/>
                <w:szCs w:val="18"/>
                <w:highlight w:val="none"/>
              </w:rPr>
            </w:pPr>
            <w:r>
              <w:rPr>
                <w:rFonts w:hint="default" w:ascii="Times New Roman" w:hAnsi="Times New Roman" w:cs="Times New Roman"/>
                <w:color w:val="auto"/>
                <w:kern w:val="0"/>
                <w:sz w:val="18"/>
                <w:szCs w:val="18"/>
                <w:highlight w:val="none"/>
                <w:lang w:bidi="ar"/>
              </w:rPr>
              <w:t>集尘</w:t>
            </w:r>
          </w:p>
        </w:tc>
        <w:tc>
          <w:tcPr>
            <w:tcW w:w="370" w:type="pct"/>
            <w:tcBorders>
              <w:tl2br w:val="nil"/>
              <w:tr2bl w:val="nil"/>
            </w:tcBorders>
            <w:vAlign w:val="center"/>
          </w:tcPr>
          <w:p w14:paraId="3D63F042">
            <w:pPr>
              <w:widowControl/>
              <w:jc w:val="center"/>
              <w:textAlignment w:val="center"/>
              <w:rPr>
                <w:color w:val="auto"/>
                <w:sz w:val="18"/>
                <w:szCs w:val="18"/>
                <w:highlight w:val="none"/>
              </w:rPr>
            </w:pPr>
            <w:r>
              <w:rPr>
                <w:rFonts w:hint="default" w:ascii="Times New Roman" w:hAnsi="Times New Roman" w:cs="Times New Roman"/>
                <w:color w:val="auto"/>
                <w:kern w:val="0"/>
                <w:sz w:val="18"/>
                <w:szCs w:val="18"/>
                <w:highlight w:val="none"/>
                <w:lang w:bidi="ar"/>
              </w:rPr>
              <w:t>固</w:t>
            </w:r>
          </w:p>
        </w:tc>
        <w:tc>
          <w:tcPr>
            <w:tcW w:w="1079" w:type="pct"/>
            <w:tcBorders>
              <w:tl2br w:val="nil"/>
              <w:tr2bl w:val="nil"/>
            </w:tcBorders>
            <w:noWrap/>
            <w:vAlign w:val="center"/>
          </w:tcPr>
          <w:p w14:paraId="3BCDB446">
            <w:pPr>
              <w:widowControl/>
              <w:jc w:val="center"/>
              <w:textAlignment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kern w:val="0"/>
                <w:sz w:val="18"/>
                <w:szCs w:val="18"/>
                <w:highlight w:val="none"/>
                <w:lang w:bidi="ar"/>
              </w:rPr>
              <w:t>原料</w:t>
            </w:r>
          </w:p>
        </w:tc>
        <w:tc>
          <w:tcPr>
            <w:tcW w:w="494" w:type="pct"/>
            <w:tcBorders>
              <w:tl2br w:val="nil"/>
              <w:tr2bl w:val="nil"/>
            </w:tcBorders>
            <w:vAlign w:val="center"/>
          </w:tcPr>
          <w:p w14:paraId="07204CF4">
            <w:pPr>
              <w:widowControl/>
              <w:jc w:val="center"/>
              <w:textAlignment w:val="center"/>
              <w:rPr>
                <w:rFonts w:hint="default" w:eastAsia="宋体"/>
                <w:color w:val="auto"/>
                <w:sz w:val="18"/>
                <w:szCs w:val="18"/>
                <w:highlight w:val="none"/>
                <w:lang w:val="en-US" w:eastAsia="zh-CN"/>
              </w:rPr>
            </w:pPr>
            <w:r>
              <w:rPr>
                <w:rFonts w:hint="default"/>
                <w:color w:val="auto"/>
                <w:kern w:val="0"/>
                <w:sz w:val="18"/>
                <w:szCs w:val="18"/>
                <w:highlight w:val="none"/>
                <w:lang w:val="en-US" w:eastAsia="zh-CN" w:bidi="ar"/>
              </w:rPr>
              <w:t>12.8725</w:t>
            </w:r>
          </w:p>
        </w:tc>
        <w:tc>
          <w:tcPr>
            <w:tcW w:w="366" w:type="pct"/>
            <w:tcBorders>
              <w:tl2br w:val="nil"/>
              <w:tr2bl w:val="nil"/>
            </w:tcBorders>
            <w:vAlign w:val="center"/>
          </w:tcPr>
          <w:p w14:paraId="71CBA376">
            <w:pPr>
              <w:widowControl/>
              <w:jc w:val="center"/>
              <w:textAlignment w:val="center"/>
              <w:rPr>
                <w:color w:val="auto"/>
                <w:sz w:val="18"/>
                <w:szCs w:val="18"/>
                <w:highlight w:val="none"/>
              </w:rPr>
            </w:pPr>
            <w:r>
              <w:rPr>
                <w:rFonts w:hint="default" w:ascii="Times New Roman" w:hAnsi="Times New Roman" w:cs="Times New Roman"/>
                <w:color w:val="auto"/>
                <w:kern w:val="0"/>
                <w:sz w:val="18"/>
                <w:szCs w:val="18"/>
                <w:highlight w:val="none"/>
                <w:lang w:bidi="ar"/>
              </w:rPr>
              <w:t>是</w:t>
            </w:r>
          </w:p>
        </w:tc>
        <w:tc>
          <w:tcPr>
            <w:tcW w:w="335" w:type="pct"/>
            <w:tcBorders>
              <w:tl2br w:val="nil"/>
              <w:tr2bl w:val="nil"/>
            </w:tcBorders>
            <w:vAlign w:val="center"/>
          </w:tcPr>
          <w:p w14:paraId="5D38B05B">
            <w:pPr>
              <w:widowControl/>
              <w:jc w:val="center"/>
              <w:textAlignment w:val="center"/>
              <w:rPr>
                <w:color w:val="auto"/>
                <w:sz w:val="18"/>
                <w:szCs w:val="18"/>
                <w:highlight w:val="none"/>
              </w:rPr>
            </w:pPr>
            <w:r>
              <w:rPr>
                <w:color w:val="auto"/>
                <w:kern w:val="0"/>
                <w:sz w:val="18"/>
                <w:szCs w:val="18"/>
                <w:highlight w:val="none"/>
                <w:lang w:bidi="ar"/>
              </w:rPr>
              <w:t>5.2 e)</w:t>
            </w:r>
          </w:p>
        </w:tc>
      </w:tr>
      <w:tr w14:paraId="669C37A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253" w:type="pct"/>
            <w:tcBorders>
              <w:tl2br w:val="nil"/>
              <w:tr2bl w:val="nil"/>
            </w:tcBorders>
            <w:vAlign w:val="center"/>
          </w:tcPr>
          <w:p w14:paraId="4A619034">
            <w:pPr>
              <w:widowControl/>
              <w:jc w:val="center"/>
              <w:textAlignment w:val="center"/>
              <w:rPr>
                <w:color w:val="auto"/>
                <w:sz w:val="18"/>
                <w:szCs w:val="18"/>
                <w:highlight w:val="none"/>
              </w:rPr>
            </w:pPr>
            <w:r>
              <w:rPr>
                <w:color w:val="auto"/>
                <w:kern w:val="0"/>
                <w:sz w:val="18"/>
                <w:szCs w:val="18"/>
                <w:highlight w:val="none"/>
                <w:lang w:bidi="ar"/>
              </w:rPr>
              <w:t>S4</w:t>
            </w:r>
          </w:p>
        </w:tc>
        <w:tc>
          <w:tcPr>
            <w:tcW w:w="451" w:type="pct"/>
            <w:vMerge w:val="continue"/>
            <w:tcBorders>
              <w:tl2br w:val="nil"/>
              <w:tr2bl w:val="nil"/>
            </w:tcBorders>
            <w:vAlign w:val="center"/>
          </w:tcPr>
          <w:p w14:paraId="12FCBCE4">
            <w:pPr>
              <w:jc w:val="center"/>
              <w:rPr>
                <w:color w:val="auto"/>
                <w:sz w:val="18"/>
                <w:szCs w:val="18"/>
                <w:highlight w:val="none"/>
              </w:rPr>
            </w:pPr>
          </w:p>
        </w:tc>
        <w:tc>
          <w:tcPr>
            <w:tcW w:w="828" w:type="pct"/>
            <w:tcBorders>
              <w:tl2br w:val="nil"/>
              <w:tr2bl w:val="nil"/>
            </w:tcBorders>
            <w:noWrap/>
            <w:vAlign w:val="center"/>
          </w:tcPr>
          <w:p w14:paraId="796495BD">
            <w:pPr>
              <w:widowControl/>
              <w:jc w:val="center"/>
              <w:textAlignment w:val="center"/>
              <w:rPr>
                <w:color w:val="auto"/>
                <w:sz w:val="18"/>
                <w:szCs w:val="18"/>
                <w:highlight w:val="none"/>
              </w:rPr>
            </w:pPr>
            <w:r>
              <w:rPr>
                <w:rFonts w:hint="default" w:ascii="Times New Roman" w:hAnsi="Times New Roman" w:cs="Times New Roman"/>
                <w:color w:val="auto"/>
                <w:kern w:val="0"/>
                <w:sz w:val="18"/>
                <w:szCs w:val="18"/>
                <w:highlight w:val="none"/>
                <w:lang w:bidi="ar"/>
              </w:rPr>
              <w:t>喷雾干燥</w:t>
            </w:r>
          </w:p>
        </w:tc>
        <w:tc>
          <w:tcPr>
            <w:tcW w:w="820" w:type="pct"/>
            <w:tcBorders>
              <w:tl2br w:val="nil"/>
              <w:tr2bl w:val="nil"/>
            </w:tcBorders>
            <w:noWrap/>
            <w:vAlign w:val="center"/>
          </w:tcPr>
          <w:p w14:paraId="74263EF1">
            <w:pPr>
              <w:widowControl/>
              <w:jc w:val="center"/>
              <w:textAlignment w:val="center"/>
              <w:rPr>
                <w:color w:val="auto"/>
                <w:sz w:val="18"/>
                <w:szCs w:val="18"/>
                <w:highlight w:val="none"/>
              </w:rPr>
            </w:pPr>
            <w:r>
              <w:rPr>
                <w:rFonts w:hint="default" w:ascii="Times New Roman" w:hAnsi="Times New Roman" w:cs="Times New Roman"/>
                <w:color w:val="auto"/>
                <w:kern w:val="0"/>
                <w:sz w:val="18"/>
                <w:szCs w:val="18"/>
                <w:highlight w:val="none"/>
                <w:lang w:bidi="ar"/>
              </w:rPr>
              <w:t>不合格粉体</w:t>
            </w:r>
          </w:p>
        </w:tc>
        <w:tc>
          <w:tcPr>
            <w:tcW w:w="370" w:type="pct"/>
            <w:tcBorders>
              <w:tl2br w:val="nil"/>
              <w:tr2bl w:val="nil"/>
            </w:tcBorders>
            <w:vAlign w:val="center"/>
          </w:tcPr>
          <w:p w14:paraId="70FE63F4">
            <w:pPr>
              <w:widowControl/>
              <w:jc w:val="center"/>
              <w:textAlignment w:val="center"/>
              <w:rPr>
                <w:color w:val="auto"/>
                <w:sz w:val="18"/>
                <w:szCs w:val="18"/>
                <w:highlight w:val="none"/>
              </w:rPr>
            </w:pPr>
            <w:r>
              <w:rPr>
                <w:rFonts w:hint="default" w:ascii="Times New Roman" w:hAnsi="Times New Roman" w:cs="Times New Roman"/>
                <w:color w:val="auto"/>
                <w:kern w:val="0"/>
                <w:sz w:val="18"/>
                <w:szCs w:val="18"/>
                <w:highlight w:val="none"/>
                <w:lang w:bidi="ar"/>
              </w:rPr>
              <w:t>固</w:t>
            </w:r>
          </w:p>
        </w:tc>
        <w:tc>
          <w:tcPr>
            <w:tcW w:w="1079" w:type="pct"/>
            <w:tcBorders>
              <w:tl2br w:val="nil"/>
              <w:tr2bl w:val="nil"/>
            </w:tcBorders>
            <w:noWrap/>
            <w:vAlign w:val="center"/>
          </w:tcPr>
          <w:p w14:paraId="7C05F1F4">
            <w:pPr>
              <w:widowControl/>
              <w:jc w:val="center"/>
              <w:textAlignment w:val="center"/>
              <w:rPr>
                <w:color w:val="auto"/>
                <w:sz w:val="18"/>
                <w:szCs w:val="18"/>
                <w:highlight w:val="none"/>
              </w:rPr>
            </w:pPr>
            <w:r>
              <w:rPr>
                <w:rFonts w:hint="default" w:ascii="Times New Roman" w:hAnsi="Times New Roman" w:cs="Times New Roman"/>
                <w:color w:val="auto"/>
                <w:kern w:val="0"/>
                <w:sz w:val="18"/>
                <w:szCs w:val="18"/>
                <w:highlight w:val="none"/>
                <w:lang w:bidi="ar"/>
              </w:rPr>
              <w:t>废正极材料粉体</w:t>
            </w:r>
          </w:p>
        </w:tc>
        <w:tc>
          <w:tcPr>
            <w:tcW w:w="494" w:type="pct"/>
            <w:tcBorders>
              <w:tl2br w:val="nil"/>
              <w:tr2bl w:val="nil"/>
            </w:tcBorders>
            <w:vAlign w:val="center"/>
          </w:tcPr>
          <w:p w14:paraId="7F5FEF55">
            <w:pPr>
              <w:widowControl/>
              <w:jc w:val="center"/>
              <w:textAlignment w:val="center"/>
              <w:rPr>
                <w:color w:val="auto"/>
                <w:sz w:val="18"/>
                <w:szCs w:val="18"/>
                <w:highlight w:val="none"/>
              </w:rPr>
            </w:pPr>
            <w:r>
              <w:rPr>
                <w:color w:val="auto"/>
                <w:kern w:val="0"/>
                <w:sz w:val="18"/>
                <w:szCs w:val="18"/>
                <w:highlight w:val="none"/>
                <w:lang w:bidi="ar"/>
              </w:rPr>
              <w:t>109</w:t>
            </w:r>
          </w:p>
        </w:tc>
        <w:tc>
          <w:tcPr>
            <w:tcW w:w="366" w:type="pct"/>
            <w:tcBorders>
              <w:tl2br w:val="nil"/>
              <w:tr2bl w:val="nil"/>
            </w:tcBorders>
            <w:vAlign w:val="center"/>
          </w:tcPr>
          <w:p w14:paraId="5E000A74">
            <w:pPr>
              <w:widowControl/>
              <w:jc w:val="center"/>
              <w:textAlignment w:val="center"/>
              <w:rPr>
                <w:color w:val="auto"/>
                <w:sz w:val="18"/>
                <w:szCs w:val="18"/>
                <w:highlight w:val="none"/>
              </w:rPr>
            </w:pPr>
            <w:r>
              <w:rPr>
                <w:rFonts w:hint="default" w:ascii="Times New Roman" w:hAnsi="Times New Roman" w:cs="Times New Roman"/>
                <w:color w:val="auto"/>
                <w:kern w:val="0"/>
                <w:sz w:val="18"/>
                <w:szCs w:val="18"/>
                <w:highlight w:val="none"/>
                <w:lang w:bidi="ar"/>
              </w:rPr>
              <w:t>是</w:t>
            </w:r>
          </w:p>
        </w:tc>
        <w:tc>
          <w:tcPr>
            <w:tcW w:w="335" w:type="pct"/>
            <w:tcBorders>
              <w:tl2br w:val="nil"/>
              <w:tr2bl w:val="nil"/>
            </w:tcBorders>
            <w:vAlign w:val="center"/>
          </w:tcPr>
          <w:p w14:paraId="17169FC2">
            <w:pPr>
              <w:widowControl/>
              <w:jc w:val="center"/>
              <w:textAlignment w:val="center"/>
              <w:rPr>
                <w:color w:val="auto"/>
                <w:sz w:val="18"/>
                <w:szCs w:val="18"/>
                <w:highlight w:val="none"/>
              </w:rPr>
            </w:pPr>
            <w:r>
              <w:rPr>
                <w:color w:val="auto"/>
                <w:kern w:val="0"/>
                <w:sz w:val="18"/>
                <w:szCs w:val="18"/>
                <w:highlight w:val="none"/>
                <w:lang w:bidi="ar"/>
              </w:rPr>
              <w:t>4.1 f)</w:t>
            </w:r>
          </w:p>
        </w:tc>
      </w:tr>
      <w:tr w14:paraId="1AA7497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253" w:type="pct"/>
            <w:tcBorders>
              <w:tl2br w:val="nil"/>
              <w:tr2bl w:val="nil"/>
            </w:tcBorders>
            <w:vAlign w:val="center"/>
          </w:tcPr>
          <w:p w14:paraId="553A8886">
            <w:pPr>
              <w:widowControl/>
              <w:jc w:val="center"/>
              <w:textAlignment w:val="center"/>
              <w:rPr>
                <w:color w:val="auto"/>
                <w:sz w:val="18"/>
                <w:szCs w:val="18"/>
                <w:highlight w:val="none"/>
              </w:rPr>
            </w:pPr>
            <w:r>
              <w:rPr>
                <w:color w:val="auto"/>
                <w:kern w:val="0"/>
                <w:sz w:val="18"/>
                <w:szCs w:val="18"/>
                <w:highlight w:val="none"/>
                <w:lang w:bidi="ar"/>
              </w:rPr>
              <w:t>S5</w:t>
            </w:r>
          </w:p>
        </w:tc>
        <w:tc>
          <w:tcPr>
            <w:tcW w:w="451" w:type="pct"/>
            <w:vMerge w:val="continue"/>
            <w:tcBorders>
              <w:tl2br w:val="nil"/>
              <w:tr2bl w:val="nil"/>
            </w:tcBorders>
            <w:vAlign w:val="center"/>
          </w:tcPr>
          <w:p w14:paraId="32748D2B">
            <w:pPr>
              <w:jc w:val="center"/>
              <w:rPr>
                <w:color w:val="auto"/>
                <w:sz w:val="18"/>
                <w:szCs w:val="18"/>
                <w:highlight w:val="none"/>
              </w:rPr>
            </w:pPr>
          </w:p>
        </w:tc>
        <w:tc>
          <w:tcPr>
            <w:tcW w:w="828" w:type="pct"/>
            <w:tcBorders>
              <w:tl2br w:val="nil"/>
              <w:tr2bl w:val="nil"/>
            </w:tcBorders>
            <w:noWrap/>
            <w:vAlign w:val="center"/>
          </w:tcPr>
          <w:p w14:paraId="49C833C8">
            <w:pPr>
              <w:widowControl/>
              <w:jc w:val="center"/>
              <w:textAlignment w:val="center"/>
              <w:rPr>
                <w:color w:val="auto"/>
                <w:sz w:val="18"/>
                <w:szCs w:val="18"/>
                <w:highlight w:val="none"/>
              </w:rPr>
            </w:pPr>
            <w:r>
              <w:rPr>
                <w:rFonts w:hint="default" w:ascii="Times New Roman" w:hAnsi="Times New Roman" w:cs="Times New Roman"/>
                <w:color w:val="auto"/>
                <w:kern w:val="0"/>
                <w:sz w:val="18"/>
                <w:szCs w:val="18"/>
                <w:highlight w:val="none"/>
                <w:lang w:bidi="ar"/>
              </w:rPr>
              <w:t>气流粉碎</w:t>
            </w:r>
          </w:p>
        </w:tc>
        <w:tc>
          <w:tcPr>
            <w:tcW w:w="820" w:type="pct"/>
            <w:tcBorders>
              <w:tl2br w:val="nil"/>
              <w:tr2bl w:val="nil"/>
            </w:tcBorders>
            <w:noWrap/>
            <w:vAlign w:val="center"/>
          </w:tcPr>
          <w:p w14:paraId="6E6D4947">
            <w:pPr>
              <w:widowControl/>
              <w:jc w:val="center"/>
              <w:textAlignment w:val="center"/>
              <w:rPr>
                <w:color w:val="auto"/>
                <w:sz w:val="18"/>
                <w:szCs w:val="18"/>
                <w:highlight w:val="none"/>
              </w:rPr>
            </w:pPr>
            <w:r>
              <w:rPr>
                <w:rFonts w:hint="default" w:ascii="Times New Roman" w:hAnsi="Times New Roman" w:cs="Times New Roman"/>
                <w:color w:val="auto"/>
                <w:kern w:val="0"/>
                <w:sz w:val="18"/>
                <w:szCs w:val="18"/>
                <w:highlight w:val="none"/>
                <w:lang w:bidi="ar"/>
              </w:rPr>
              <w:t>集尘</w:t>
            </w:r>
          </w:p>
        </w:tc>
        <w:tc>
          <w:tcPr>
            <w:tcW w:w="370" w:type="pct"/>
            <w:tcBorders>
              <w:tl2br w:val="nil"/>
              <w:tr2bl w:val="nil"/>
            </w:tcBorders>
            <w:vAlign w:val="center"/>
          </w:tcPr>
          <w:p w14:paraId="1B02743D">
            <w:pPr>
              <w:widowControl/>
              <w:jc w:val="center"/>
              <w:textAlignment w:val="center"/>
              <w:rPr>
                <w:color w:val="auto"/>
                <w:sz w:val="18"/>
                <w:szCs w:val="18"/>
                <w:highlight w:val="none"/>
              </w:rPr>
            </w:pPr>
            <w:r>
              <w:rPr>
                <w:rFonts w:hint="default" w:ascii="Times New Roman" w:hAnsi="Times New Roman" w:cs="Times New Roman"/>
                <w:color w:val="auto"/>
                <w:kern w:val="0"/>
                <w:sz w:val="18"/>
                <w:szCs w:val="18"/>
                <w:highlight w:val="none"/>
                <w:lang w:bidi="ar"/>
              </w:rPr>
              <w:t>固</w:t>
            </w:r>
          </w:p>
        </w:tc>
        <w:tc>
          <w:tcPr>
            <w:tcW w:w="1079" w:type="pct"/>
            <w:tcBorders>
              <w:tl2br w:val="nil"/>
              <w:tr2bl w:val="nil"/>
            </w:tcBorders>
            <w:noWrap/>
            <w:vAlign w:val="center"/>
          </w:tcPr>
          <w:p w14:paraId="31A0680C">
            <w:pPr>
              <w:widowControl/>
              <w:jc w:val="center"/>
              <w:textAlignment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kern w:val="0"/>
                <w:sz w:val="18"/>
                <w:szCs w:val="18"/>
                <w:highlight w:val="none"/>
                <w:lang w:bidi="ar"/>
              </w:rPr>
              <w:t>烧结后的正极材料</w:t>
            </w:r>
          </w:p>
        </w:tc>
        <w:tc>
          <w:tcPr>
            <w:tcW w:w="494" w:type="pct"/>
            <w:tcBorders>
              <w:tl2br w:val="nil"/>
              <w:tr2bl w:val="nil"/>
            </w:tcBorders>
            <w:vAlign w:val="center"/>
          </w:tcPr>
          <w:p w14:paraId="5EE5E022">
            <w:pPr>
              <w:widowControl/>
              <w:jc w:val="center"/>
              <w:textAlignment w:val="center"/>
              <w:rPr>
                <w:color w:val="auto"/>
                <w:sz w:val="18"/>
                <w:szCs w:val="18"/>
                <w:highlight w:val="none"/>
              </w:rPr>
            </w:pPr>
            <w:r>
              <w:rPr>
                <w:color w:val="auto"/>
                <w:kern w:val="0"/>
                <w:sz w:val="18"/>
                <w:szCs w:val="18"/>
                <w:highlight w:val="none"/>
                <w:lang w:bidi="ar"/>
              </w:rPr>
              <w:t>1.1305</w:t>
            </w:r>
          </w:p>
        </w:tc>
        <w:tc>
          <w:tcPr>
            <w:tcW w:w="366" w:type="pct"/>
            <w:tcBorders>
              <w:tl2br w:val="nil"/>
              <w:tr2bl w:val="nil"/>
            </w:tcBorders>
            <w:vAlign w:val="center"/>
          </w:tcPr>
          <w:p w14:paraId="0FDDACBC">
            <w:pPr>
              <w:widowControl/>
              <w:jc w:val="center"/>
              <w:textAlignment w:val="center"/>
              <w:rPr>
                <w:color w:val="auto"/>
                <w:sz w:val="18"/>
                <w:szCs w:val="18"/>
                <w:highlight w:val="none"/>
              </w:rPr>
            </w:pPr>
            <w:r>
              <w:rPr>
                <w:rFonts w:hint="default" w:ascii="Times New Roman" w:hAnsi="Times New Roman" w:cs="Times New Roman"/>
                <w:color w:val="auto"/>
                <w:kern w:val="0"/>
                <w:sz w:val="18"/>
                <w:szCs w:val="18"/>
                <w:highlight w:val="none"/>
                <w:lang w:bidi="ar"/>
              </w:rPr>
              <w:t>是</w:t>
            </w:r>
          </w:p>
        </w:tc>
        <w:tc>
          <w:tcPr>
            <w:tcW w:w="335" w:type="pct"/>
            <w:tcBorders>
              <w:tl2br w:val="nil"/>
              <w:tr2bl w:val="nil"/>
            </w:tcBorders>
            <w:vAlign w:val="center"/>
          </w:tcPr>
          <w:p w14:paraId="63D569DF">
            <w:pPr>
              <w:widowControl/>
              <w:jc w:val="center"/>
              <w:textAlignment w:val="center"/>
              <w:rPr>
                <w:color w:val="auto"/>
                <w:sz w:val="18"/>
                <w:szCs w:val="18"/>
                <w:highlight w:val="none"/>
              </w:rPr>
            </w:pPr>
            <w:r>
              <w:rPr>
                <w:color w:val="auto"/>
                <w:kern w:val="0"/>
                <w:sz w:val="18"/>
                <w:szCs w:val="18"/>
                <w:highlight w:val="none"/>
                <w:lang w:bidi="ar"/>
              </w:rPr>
              <w:t>5.2 e)</w:t>
            </w:r>
          </w:p>
        </w:tc>
      </w:tr>
      <w:tr w14:paraId="782E04F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253" w:type="pct"/>
            <w:tcBorders>
              <w:tl2br w:val="nil"/>
              <w:tr2bl w:val="nil"/>
            </w:tcBorders>
            <w:vAlign w:val="center"/>
          </w:tcPr>
          <w:p w14:paraId="5AD1E14F">
            <w:pPr>
              <w:widowControl/>
              <w:jc w:val="center"/>
              <w:textAlignment w:val="center"/>
              <w:rPr>
                <w:color w:val="auto"/>
                <w:sz w:val="18"/>
                <w:szCs w:val="18"/>
                <w:highlight w:val="none"/>
              </w:rPr>
            </w:pPr>
            <w:r>
              <w:rPr>
                <w:color w:val="auto"/>
                <w:kern w:val="0"/>
                <w:sz w:val="18"/>
                <w:szCs w:val="18"/>
                <w:highlight w:val="none"/>
                <w:lang w:bidi="ar"/>
              </w:rPr>
              <w:t>S6</w:t>
            </w:r>
          </w:p>
        </w:tc>
        <w:tc>
          <w:tcPr>
            <w:tcW w:w="451" w:type="pct"/>
            <w:vMerge w:val="continue"/>
            <w:tcBorders>
              <w:tl2br w:val="nil"/>
              <w:tr2bl w:val="nil"/>
            </w:tcBorders>
            <w:vAlign w:val="center"/>
          </w:tcPr>
          <w:p w14:paraId="00E09355">
            <w:pPr>
              <w:jc w:val="center"/>
              <w:rPr>
                <w:color w:val="auto"/>
                <w:sz w:val="18"/>
                <w:szCs w:val="18"/>
                <w:highlight w:val="none"/>
              </w:rPr>
            </w:pPr>
          </w:p>
        </w:tc>
        <w:tc>
          <w:tcPr>
            <w:tcW w:w="828" w:type="pct"/>
            <w:tcBorders>
              <w:tl2br w:val="nil"/>
              <w:tr2bl w:val="nil"/>
            </w:tcBorders>
            <w:noWrap/>
            <w:vAlign w:val="center"/>
          </w:tcPr>
          <w:p w14:paraId="09217324">
            <w:pPr>
              <w:widowControl/>
              <w:jc w:val="center"/>
              <w:textAlignment w:val="center"/>
              <w:rPr>
                <w:color w:val="auto"/>
                <w:sz w:val="18"/>
                <w:szCs w:val="18"/>
                <w:highlight w:val="none"/>
              </w:rPr>
            </w:pPr>
            <w:r>
              <w:rPr>
                <w:rFonts w:hint="default" w:ascii="Times New Roman" w:hAnsi="Times New Roman" w:cs="Times New Roman"/>
                <w:color w:val="auto"/>
                <w:kern w:val="0"/>
                <w:sz w:val="18"/>
                <w:szCs w:val="18"/>
                <w:highlight w:val="none"/>
                <w:lang w:bidi="ar"/>
              </w:rPr>
              <w:t>振动筛分</w:t>
            </w:r>
          </w:p>
        </w:tc>
        <w:tc>
          <w:tcPr>
            <w:tcW w:w="820" w:type="pct"/>
            <w:tcBorders>
              <w:tl2br w:val="nil"/>
              <w:tr2bl w:val="nil"/>
            </w:tcBorders>
            <w:noWrap/>
            <w:vAlign w:val="center"/>
          </w:tcPr>
          <w:p w14:paraId="4D4763D0">
            <w:pPr>
              <w:widowControl/>
              <w:jc w:val="center"/>
              <w:textAlignment w:val="center"/>
              <w:rPr>
                <w:color w:val="auto"/>
                <w:sz w:val="18"/>
                <w:szCs w:val="18"/>
                <w:highlight w:val="none"/>
              </w:rPr>
            </w:pPr>
            <w:r>
              <w:rPr>
                <w:rFonts w:hint="default" w:ascii="Times New Roman" w:hAnsi="Times New Roman" w:cs="Times New Roman"/>
                <w:color w:val="auto"/>
                <w:kern w:val="0"/>
                <w:sz w:val="18"/>
                <w:szCs w:val="18"/>
                <w:highlight w:val="none"/>
                <w:lang w:bidi="ar"/>
              </w:rPr>
              <w:t>不合格粉体</w:t>
            </w:r>
          </w:p>
        </w:tc>
        <w:tc>
          <w:tcPr>
            <w:tcW w:w="370" w:type="pct"/>
            <w:tcBorders>
              <w:tl2br w:val="nil"/>
              <w:tr2bl w:val="nil"/>
            </w:tcBorders>
            <w:vAlign w:val="center"/>
          </w:tcPr>
          <w:p w14:paraId="7BEF88A7">
            <w:pPr>
              <w:widowControl/>
              <w:jc w:val="center"/>
              <w:textAlignment w:val="center"/>
              <w:rPr>
                <w:color w:val="auto"/>
                <w:sz w:val="18"/>
                <w:szCs w:val="18"/>
                <w:highlight w:val="none"/>
              </w:rPr>
            </w:pPr>
            <w:r>
              <w:rPr>
                <w:rFonts w:hint="default" w:ascii="Times New Roman" w:hAnsi="Times New Roman" w:cs="Times New Roman"/>
                <w:color w:val="auto"/>
                <w:kern w:val="0"/>
                <w:sz w:val="18"/>
                <w:szCs w:val="18"/>
                <w:highlight w:val="none"/>
                <w:lang w:bidi="ar"/>
              </w:rPr>
              <w:t>固</w:t>
            </w:r>
          </w:p>
        </w:tc>
        <w:tc>
          <w:tcPr>
            <w:tcW w:w="1079" w:type="pct"/>
            <w:tcBorders>
              <w:tl2br w:val="nil"/>
              <w:tr2bl w:val="nil"/>
            </w:tcBorders>
            <w:noWrap/>
            <w:vAlign w:val="center"/>
          </w:tcPr>
          <w:p w14:paraId="316250B2">
            <w:pPr>
              <w:widowControl/>
              <w:jc w:val="center"/>
              <w:textAlignment w:val="center"/>
              <w:rPr>
                <w:color w:val="auto"/>
                <w:sz w:val="18"/>
                <w:szCs w:val="18"/>
                <w:highlight w:val="none"/>
              </w:rPr>
            </w:pPr>
            <w:r>
              <w:rPr>
                <w:rFonts w:hint="default" w:ascii="Times New Roman" w:hAnsi="Times New Roman" w:cs="Times New Roman"/>
                <w:color w:val="auto"/>
                <w:kern w:val="0"/>
                <w:sz w:val="18"/>
                <w:szCs w:val="18"/>
                <w:highlight w:val="none"/>
                <w:lang w:bidi="ar"/>
              </w:rPr>
              <w:t>废正极材料粉体</w:t>
            </w:r>
          </w:p>
        </w:tc>
        <w:tc>
          <w:tcPr>
            <w:tcW w:w="494" w:type="pct"/>
            <w:tcBorders>
              <w:tl2br w:val="nil"/>
              <w:tr2bl w:val="nil"/>
            </w:tcBorders>
            <w:vAlign w:val="center"/>
          </w:tcPr>
          <w:p w14:paraId="4E82FCA1">
            <w:pPr>
              <w:widowControl/>
              <w:jc w:val="center"/>
              <w:textAlignment w:val="center"/>
              <w:rPr>
                <w:color w:val="auto"/>
                <w:sz w:val="18"/>
                <w:szCs w:val="18"/>
                <w:highlight w:val="none"/>
              </w:rPr>
            </w:pPr>
            <w:r>
              <w:rPr>
                <w:color w:val="auto"/>
                <w:kern w:val="0"/>
                <w:sz w:val="18"/>
                <w:szCs w:val="18"/>
                <w:highlight w:val="none"/>
                <w:lang w:bidi="ar"/>
              </w:rPr>
              <w:t>109</w:t>
            </w:r>
          </w:p>
        </w:tc>
        <w:tc>
          <w:tcPr>
            <w:tcW w:w="366" w:type="pct"/>
            <w:tcBorders>
              <w:tl2br w:val="nil"/>
              <w:tr2bl w:val="nil"/>
            </w:tcBorders>
            <w:vAlign w:val="center"/>
          </w:tcPr>
          <w:p w14:paraId="16A209D1">
            <w:pPr>
              <w:widowControl/>
              <w:jc w:val="center"/>
              <w:textAlignment w:val="center"/>
              <w:rPr>
                <w:color w:val="auto"/>
                <w:sz w:val="18"/>
                <w:szCs w:val="18"/>
                <w:highlight w:val="none"/>
              </w:rPr>
            </w:pPr>
            <w:r>
              <w:rPr>
                <w:rFonts w:hint="default" w:ascii="Times New Roman" w:hAnsi="Times New Roman" w:cs="Times New Roman"/>
                <w:color w:val="auto"/>
                <w:kern w:val="0"/>
                <w:sz w:val="18"/>
                <w:szCs w:val="18"/>
                <w:highlight w:val="none"/>
                <w:lang w:bidi="ar"/>
              </w:rPr>
              <w:t>是</w:t>
            </w:r>
          </w:p>
        </w:tc>
        <w:tc>
          <w:tcPr>
            <w:tcW w:w="335" w:type="pct"/>
            <w:tcBorders>
              <w:tl2br w:val="nil"/>
              <w:tr2bl w:val="nil"/>
            </w:tcBorders>
            <w:vAlign w:val="center"/>
          </w:tcPr>
          <w:p w14:paraId="286B2173">
            <w:pPr>
              <w:widowControl/>
              <w:jc w:val="center"/>
              <w:textAlignment w:val="center"/>
              <w:rPr>
                <w:color w:val="auto"/>
                <w:sz w:val="18"/>
                <w:szCs w:val="18"/>
                <w:highlight w:val="none"/>
              </w:rPr>
            </w:pPr>
            <w:r>
              <w:rPr>
                <w:color w:val="auto"/>
                <w:kern w:val="0"/>
                <w:sz w:val="18"/>
                <w:szCs w:val="18"/>
                <w:highlight w:val="none"/>
                <w:lang w:bidi="ar"/>
              </w:rPr>
              <w:t>4.1 f)</w:t>
            </w:r>
          </w:p>
        </w:tc>
      </w:tr>
      <w:tr w14:paraId="7BAF245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253" w:type="pct"/>
            <w:tcBorders>
              <w:tl2br w:val="nil"/>
              <w:tr2bl w:val="nil"/>
            </w:tcBorders>
            <w:vAlign w:val="center"/>
          </w:tcPr>
          <w:p w14:paraId="3936EEBD">
            <w:pPr>
              <w:widowControl/>
              <w:jc w:val="center"/>
              <w:textAlignment w:val="center"/>
              <w:rPr>
                <w:color w:val="auto"/>
                <w:sz w:val="18"/>
                <w:szCs w:val="18"/>
                <w:highlight w:val="none"/>
              </w:rPr>
            </w:pPr>
            <w:r>
              <w:rPr>
                <w:color w:val="auto"/>
                <w:kern w:val="0"/>
                <w:sz w:val="18"/>
                <w:szCs w:val="18"/>
                <w:highlight w:val="none"/>
                <w:lang w:bidi="ar"/>
              </w:rPr>
              <w:t>S7</w:t>
            </w:r>
          </w:p>
        </w:tc>
        <w:tc>
          <w:tcPr>
            <w:tcW w:w="451" w:type="pct"/>
            <w:vMerge w:val="restart"/>
            <w:tcBorders>
              <w:tl2br w:val="nil"/>
              <w:tr2bl w:val="nil"/>
            </w:tcBorders>
            <w:vAlign w:val="center"/>
          </w:tcPr>
          <w:p w14:paraId="6D8A73F3">
            <w:pPr>
              <w:widowControl/>
              <w:jc w:val="center"/>
              <w:textAlignment w:val="center"/>
              <w:rPr>
                <w:color w:val="auto"/>
                <w:sz w:val="18"/>
                <w:szCs w:val="18"/>
                <w:highlight w:val="none"/>
              </w:rPr>
            </w:pPr>
            <w:r>
              <w:rPr>
                <w:rFonts w:hint="default" w:ascii="Times New Roman" w:hAnsi="Times New Roman" w:cs="Times New Roman"/>
                <w:color w:val="auto"/>
                <w:kern w:val="0"/>
                <w:sz w:val="18"/>
                <w:szCs w:val="18"/>
                <w:highlight w:val="none"/>
                <w:lang w:bidi="ar"/>
              </w:rPr>
              <w:t>扣电组装测试</w:t>
            </w:r>
          </w:p>
        </w:tc>
        <w:tc>
          <w:tcPr>
            <w:tcW w:w="828" w:type="pct"/>
            <w:tcBorders>
              <w:tl2br w:val="nil"/>
              <w:tr2bl w:val="nil"/>
            </w:tcBorders>
            <w:noWrap/>
            <w:vAlign w:val="center"/>
          </w:tcPr>
          <w:p w14:paraId="5524F26D">
            <w:pPr>
              <w:widowControl/>
              <w:jc w:val="center"/>
              <w:textAlignment w:val="center"/>
              <w:rPr>
                <w:color w:val="auto"/>
                <w:sz w:val="18"/>
                <w:szCs w:val="18"/>
                <w:highlight w:val="none"/>
              </w:rPr>
            </w:pPr>
            <w:r>
              <w:rPr>
                <w:rFonts w:hint="default" w:ascii="Times New Roman" w:hAnsi="Times New Roman" w:cs="Times New Roman"/>
                <w:color w:val="auto"/>
                <w:kern w:val="0"/>
                <w:sz w:val="18"/>
                <w:szCs w:val="18"/>
                <w:highlight w:val="none"/>
                <w:lang w:bidi="ar"/>
              </w:rPr>
              <w:t>粉体理化性质测定</w:t>
            </w:r>
          </w:p>
        </w:tc>
        <w:tc>
          <w:tcPr>
            <w:tcW w:w="820" w:type="pct"/>
            <w:tcBorders>
              <w:tl2br w:val="nil"/>
              <w:tr2bl w:val="nil"/>
            </w:tcBorders>
            <w:noWrap/>
            <w:vAlign w:val="center"/>
          </w:tcPr>
          <w:p w14:paraId="45B455D9">
            <w:pPr>
              <w:widowControl/>
              <w:jc w:val="center"/>
              <w:textAlignment w:val="center"/>
              <w:rPr>
                <w:color w:val="auto"/>
                <w:sz w:val="18"/>
                <w:szCs w:val="18"/>
                <w:highlight w:val="none"/>
              </w:rPr>
            </w:pPr>
            <w:r>
              <w:rPr>
                <w:rFonts w:hint="default" w:ascii="Times New Roman" w:hAnsi="Times New Roman" w:cs="Times New Roman"/>
                <w:color w:val="auto"/>
                <w:kern w:val="0"/>
                <w:sz w:val="18"/>
                <w:szCs w:val="18"/>
                <w:highlight w:val="none"/>
                <w:lang w:bidi="ar"/>
              </w:rPr>
              <w:t>测试废料</w:t>
            </w:r>
          </w:p>
        </w:tc>
        <w:tc>
          <w:tcPr>
            <w:tcW w:w="370" w:type="pct"/>
            <w:tcBorders>
              <w:tl2br w:val="nil"/>
              <w:tr2bl w:val="nil"/>
            </w:tcBorders>
            <w:vAlign w:val="center"/>
          </w:tcPr>
          <w:p w14:paraId="566EB599">
            <w:pPr>
              <w:widowControl/>
              <w:jc w:val="center"/>
              <w:textAlignment w:val="center"/>
              <w:rPr>
                <w:color w:val="auto"/>
                <w:sz w:val="18"/>
                <w:szCs w:val="18"/>
                <w:highlight w:val="none"/>
              </w:rPr>
            </w:pPr>
            <w:r>
              <w:rPr>
                <w:rFonts w:hint="default" w:ascii="Times New Roman" w:hAnsi="Times New Roman" w:cs="Times New Roman"/>
                <w:color w:val="auto"/>
                <w:kern w:val="0"/>
                <w:sz w:val="18"/>
                <w:szCs w:val="18"/>
                <w:highlight w:val="none"/>
                <w:lang w:bidi="ar"/>
              </w:rPr>
              <w:t>固</w:t>
            </w:r>
          </w:p>
        </w:tc>
        <w:tc>
          <w:tcPr>
            <w:tcW w:w="1079" w:type="pct"/>
            <w:tcBorders>
              <w:tl2br w:val="nil"/>
              <w:tr2bl w:val="nil"/>
            </w:tcBorders>
            <w:noWrap/>
            <w:vAlign w:val="center"/>
          </w:tcPr>
          <w:p w14:paraId="25919381">
            <w:pPr>
              <w:widowControl/>
              <w:jc w:val="center"/>
              <w:textAlignment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kern w:val="0"/>
                <w:sz w:val="18"/>
                <w:szCs w:val="18"/>
                <w:highlight w:val="none"/>
                <w:lang w:bidi="ar"/>
              </w:rPr>
              <w:t>废正极材料</w:t>
            </w:r>
          </w:p>
        </w:tc>
        <w:tc>
          <w:tcPr>
            <w:tcW w:w="494" w:type="pct"/>
            <w:tcBorders>
              <w:tl2br w:val="nil"/>
              <w:tr2bl w:val="nil"/>
            </w:tcBorders>
            <w:noWrap/>
            <w:vAlign w:val="center"/>
          </w:tcPr>
          <w:p w14:paraId="6BE560A2">
            <w:pPr>
              <w:widowControl/>
              <w:jc w:val="center"/>
              <w:textAlignment w:val="center"/>
              <w:rPr>
                <w:color w:val="auto"/>
                <w:sz w:val="18"/>
                <w:szCs w:val="18"/>
                <w:highlight w:val="none"/>
              </w:rPr>
            </w:pPr>
            <w:r>
              <w:rPr>
                <w:color w:val="auto"/>
                <w:kern w:val="0"/>
                <w:sz w:val="18"/>
                <w:szCs w:val="18"/>
                <w:highlight w:val="none"/>
                <w:lang w:bidi="ar"/>
              </w:rPr>
              <w:t>1000</w:t>
            </w:r>
          </w:p>
        </w:tc>
        <w:tc>
          <w:tcPr>
            <w:tcW w:w="366" w:type="pct"/>
            <w:tcBorders>
              <w:tl2br w:val="nil"/>
              <w:tr2bl w:val="nil"/>
            </w:tcBorders>
            <w:vAlign w:val="center"/>
          </w:tcPr>
          <w:p w14:paraId="7AA725AA">
            <w:pPr>
              <w:widowControl/>
              <w:jc w:val="center"/>
              <w:textAlignment w:val="center"/>
              <w:rPr>
                <w:color w:val="auto"/>
                <w:sz w:val="18"/>
                <w:szCs w:val="18"/>
                <w:highlight w:val="none"/>
              </w:rPr>
            </w:pPr>
            <w:r>
              <w:rPr>
                <w:rFonts w:hint="default" w:ascii="Times New Roman" w:hAnsi="Times New Roman" w:cs="Times New Roman"/>
                <w:color w:val="auto"/>
                <w:kern w:val="0"/>
                <w:sz w:val="18"/>
                <w:szCs w:val="18"/>
                <w:highlight w:val="none"/>
                <w:lang w:bidi="ar"/>
              </w:rPr>
              <w:t>是</w:t>
            </w:r>
          </w:p>
        </w:tc>
        <w:tc>
          <w:tcPr>
            <w:tcW w:w="335" w:type="pct"/>
            <w:tcBorders>
              <w:tl2br w:val="nil"/>
              <w:tr2bl w:val="nil"/>
            </w:tcBorders>
            <w:noWrap/>
            <w:vAlign w:val="center"/>
          </w:tcPr>
          <w:p w14:paraId="04E34855">
            <w:pPr>
              <w:widowControl/>
              <w:jc w:val="center"/>
              <w:textAlignment w:val="center"/>
              <w:rPr>
                <w:color w:val="auto"/>
                <w:sz w:val="18"/>
                <w:szCs w:val="18"/>
                <w:highlight w:val="none"/>
              </w:rPr>
            </w:pPr>
            <w:r>
              <w:rPr>
                <w:color w:val="auto"/>
                <w:kern w:val="0"/>
                <w:sz w:val="18"/>
                <w:szCs w:val="18"/>
                <w:highlight w:val="none"/>
                <w:lang w:bidi="ar"/>
              </w:rPr>
              <w:t>5.2 i)</w:t>
            </w:r>
          </w:p>
        </w:tc>
      </w:tr>
      <w:tr w14:paraId="0BCC9FD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253" w:type="pct"/>
            <w:tcBorders>
              <w:tl2br w:val="nil"/>
              <w:tr2bl w:val="nil"/>
            </w:tcBorders>
            <w:vAlign w:val="center"/>
          </w:tcPr>
          <w:p w14:paraId="0D1B53A2">
            <w:pPr>
              <w:widowControl/>
              <w:jc w:val="center"/>
              <w:textAlignment w:val="center"/>
              <w:rPr>
                <w:color w:val="auto"/>
                <w:sz w:val="18"/>
                <w:szCs w:val="18"/>
                <w:highlight w:val="none"/>
              </w:rPr>
            </w:pPr>
            <w:r>
              <w:rPr>
                <w:color w:val="auto"/>
                <w:kern w:val="0"/>
                <w:sz w:val="18"/>
                <w:szCs w:val="18"/>
                <w:highlight w:val="none"/>
                <w:lang w:bidi="ar"/>
              </w:rPr>
              <w:t>S8</w:t>
            </w:r>
          </w:p>
        </w:tc>
        <w:tc>
          <w:tcPr>
            <w:tcW w:w="451" w:type="pct"/>
            <w:vMerge w:val="continue"/>
            <w:tcBorders>
              <w:tl2br w:val="nil"/>
              <w:tr2bl w:val="nil"/>
            </w:tcBorders>
            <w:vAlign w:val="center"/>
          </w:tcPr>
          <w:p w14:paraId="7D9D6C45">
            <w:pPr>
              <w:jc w:val="center"/>
              <w:rPr>
                <w:color w:val="auto"/>
                <w:sz w:val="18"/>
                <w:szCs w:val="18"/>
                <w:highlight w:val="none"/>
              </w:rPr>
            </w:pPr>
          </w:p>
        </w:tc>
        <w:tc>
          <w:tcPr>
            <w:tcW w:w="828" w:type="pct"/>
            <w:tcBorders>
              <w:tl2br w:val="nil"/>
              <w:tr2bl w:val="nil"/>
            </w:tcBorders>
            <w:noWrap/>
            <w:vAlign w:val="center"/>
          </w:tcPr>
          <w:p w14:paraId="30EC48A1">
            <w:pPr>
              <w:widowControl/>
              <w:jc w:val="center"/>
              <w:textAlignment w:val="center"/>
              <w:rPr>
                <w:color w:val="auto"/>
                <w:sz w:val="18"/>
                <w:szCs w:val="18"/>
                <w:highlight w:val="none"/>
              </w:rPr>
            </w:pPr>
            <w:r>
              <w:rPr>
                <w:rFonts w:hint="default" w:ascii="Times New Roman" w:hAnsi="Times New Roman" w:cs="Times New Roman"/>
                <w:color w:val="auto"/>
                <w:kern w:val="0"/>
                <w:sz w:val="18"/>
                <w:szCs w:val="18"/>
                <w:highlight w:val="none"/>
                <w:lang w:bidi="ar"/>
              </w:rPr>
              <w:t>制胶、匀浆</w:t>
            </w:r>
          </w:p>
        </w:tc>
        <w:tc>
          <w:tcPr>
            <w:tcW w:w="820" w:type="pct"/>
            <w:tcBorders>
              <w:tl2br w:val="nil"/>
              <w:tr2bl w:val="nil"/>
            </w:tcBorders>
            <w:noWrap/>
            <w:vAlign w:val="center"/>
          </w:tcPr>
          <w:p w14:paraId="65F8E107">
            <w:pPr>
              <w:widowControl/>
              <w:jc w:val="center"/>
              <w:textAlignment w:val="center"/>
              <w:rPr>
                <w:color w:val="auto"/>
                <w:sz w:val="18"/>
                <w:szCs w:val="18"/>
                <w:highlight w:val="none"/>
              </w:rPr>
            </w:pPr>
            <w:r>
              <w:rPr>
                <w:rFonts w:hint="default" w:ascii="Times New Roman" w:hAnsi="Times New Roman" w:cs="Times New Roman"/>
                <w:color w:val="auto"/>
                <w:kern w:val="0"/>
                <w:sz w:val="18"/>
                <w:szCs w:val="18"/>
                <w:highlight w:val="none"/>
                <w:lang w:bidi="ar"/>
              </w:rPr>
              <w:t>沾染化学品的废包装材料</w:t>
            </w:r>
          </w:p>
        </w:tc>
        <w:tc>
          <w:tcPr>
            <w:tcW w:w="370" w:type="pct"/>
            <w:tcBorders>
              <w:tl2br w:val="nil"/>
              <w:tr2bl w:val="nil"/>
            </w:tcBorders>
            <w:vAlign w:val="center"/>
          </w:tcPr>
          <w:p w14:paraId="785404BD">
            <w:pPr>
              <w:widowControl/>
              <w:jc w:val="center"/>
              <w:textAlignment w:val="center"/>
              <w:rPr>
                <w:color w:val="auto"/>
                <w:sz w:val="18"/>
                <w:szCs w:val="18"/>
                <w:highlight w:val="none"/>
              </w:rPr>
            </w:pPr>
            <w:r>
              <w:rPr>
                <w:rFonts w:hint="default" w:ascii="Times New Roman" w:hAnsi="Times New Roman" w:cs="Times New Roman"/>
                <w:color w:val="auto"/>
                <w:kern w:val="0"/>
                <w:sz w:val="18"/>
                <w:szCs w:val="18"/>
                <w:highlight w:val="none"/>
                <w:lang w:bidi="ar"/>
              </w:rPr>
              <w:t>固</w:t>
            </w:r>
          </w:p>
        </w:tc>
        <w:tc>
          <w:tcPr>
            <w:tcW w:w="1079" w:type="pct"/>
            <w:tcBorders>
              <w:tl2br w:val="nil"/>
              <w:tr2bl w:val="nil"/>
            </w:tcBorders>
            <w:noWrap/>
            <w:vAlign w:val="center"/>
          </w:tcPr>
          <w:p w14:paraId="6047936C">
            <w:pPr>
              <w:widowControl/>
              <w:jc w:val="center"/>
              <w:textAlignment w:val="center"/>
              <w:rPr>
                <w:color w:val="auto"/>
                <w:sz w:val="18"/>
                <w:szCs w:val="18"/>
                <w:highlight w:val="none"/>
              </w:rPr>
            </w:pPr>
            <w:r>
              <w:rPr>
                <w:color w:val="auto"/>
                <w:kern w:val="0"/>
                <w:sz w:val="18"/>
                <w:szCs w:val="18"/>
                <w:highlight w:val="none"/>
                <w:lang w:bidi="ar"/>
              </w:rPr>
              <w:t>Super P</w:t>
            </w:r>
            <w:r>
              <w:rPr>
                <w:rFonts w:hint="default" w:ascii="Times New Roman" w:hAnsi="Times New Roman" w:cs="Times New Roman"/>
                <w:color w:val="auto"/>
                <w:kern w:val="0"/>
                <w:sz w:val="18"/>
                <w:szCs w:val="18"/>
                <w:highlight w:val="none"/>
                <w:lang w:bidi="ar"/>
              </w:rPr>
              <w:t>、</w:t>
            </w:r>
            <w:r>
              <w:rPr>
                <w:color w:val="auto"/>
                <w:kern w:val="0"/>
                <w:sz w:val="18"/>
                <w:szCs w:val="18"/>
                <w:highlight w:val="none"/>
                <w:lang w:bidi="ar"/>
              </w:rPr>
              <w:t>PVDF</w:t>
            </w:r>
            <w:r>
              <w:rPr>
                <w:rFonts w:hint="default" w:ascii="Times New Roman" w:hAnsi="Times New Roman" w:cs="Times New Roman"/>
                <w:color w:val="auto"/>
                <w:kern w:val="0"/>
                <w:sz w:val="18"/>
                <w:szCs w:val="18"/>
                <w:highlight w:val="none"/>
                <w:lang w:bidi="ar"/>
              </w:rPr>
              <w:t>、</w:t>
            </w:r>
            <w:r>
              <w:rPr>
                <w:color w:val="auto"/>
                <w:kern w:val="0"/>
                <w:sz w:val="18"/>
                <w:szCs w:val="18"/>
                <w:highlight w:val="none"/>
                <w:lang w:bidi="ar"/>
              </w:rPr>
              <w:t>NMP</w:t>
            </w:r>
            <w:r>
              <w:rPr>
                <w:rFonts w:hint="default" w:ascii="Times New Roman" w:hAnsi="Times New Roman" w:cs="Times New Roman"/>
                <w:color w:val="auto"/>
                <w:kern w:val="0"/>
                <w:sz w:val="18"/>
                <w:szCs w:val="18"/>
                <w:highlight w:val="none"/>
                <w:lang w:bidi="ar"/>
              </w:rPr>
              <w:t>、电解液等</w:t>
            </w:r>
          </w:p>
        </w:tc>
        <w:tc>
          <w:tcPr>
            <w:tcW w:w="494" w:type="pct"/>
            <w:tcBorders>
              <w:tl2br w:val="nil"/>
              <w:tr2bl w:val="nil"/>
            </w:tcBorders>
            <w:noWrap/>
            <w:vAlign w:val="center"/>
          </w:tcPr>
          <w:p w14:paraId="32608566">
            <w:pPr>
              <w:widowControl/>
              <w:jc w:val="center"/>
              <w:textAlignment w:val="center"/>
              <w:rPr>
                <w:color w:val="auto"/>
                <w:sz w:val="18"/>
                <w:szCs w:val="18"/>
                <w:highlight w:val="none"/>
              </w:rPr>
            </w:pPr>
            <w:r>
              <w:rPr>
                <w:color w:val="auto"/>
                <w:kern w:val="0"/>
                <w:sz w:val="18"/>
                <w:szCs w:val="18"/>
                <w:highlight w:val="none"/>
                <w:lang w:bidi="ar"/>
              </w:rPr>
              <w:t>10</w:t>
            </w:r>
          </w:p>
        </w:tc>
        <w:tc>
          <w:tcPr>
            <w:tcW w:w="366" w:type="pct"/>
            <w:tcBorders>
              <w:tl2br w:val="nil"/>
              <w:tr2bl w:val="nil"/>
            </w:tcBorders>
            <w:vAlign w:val="center"/>
          </w:tcPr>
          <w:p w14:paraId="4AE00D7B">
            <w:pPr>
              <w:widowControl/>
              <w:jc w:val="center"/>
              <w:textAlignment w:val="center"/>
              <w:rPr>
                <w:color w:val="auto"/>
                <w:sz w:val="18"/>
                <w:szCs w:val="18"/>
                <w:highlight w:val="none"/>
              </w:rPr>
            </w:pPr>
            <w:r>
              <w:rPr>
                <w:rFonts w:hint="default" w:ascii="Times New Roman" w:hAnsi="Times New Roman" w:cs="Times New Roman"/>
                <w:color w:val="auto"/>
                <w:kern w:val="0"/>
                <w:sz w:val="18"/>
                <w:szCs w:val="18"/>
                <w:highlight w:val="none"/>
                <w:lang w:bidi="ar"/>
              </w:rPr>
              <w:t>是</w:t>
            </w:r>
          </w:p>
        </w:tc>
        <w:tc>
          <w:tcPr>
            <w:tcW w:w="335" w:type="pct"/>
            <w:tcBorders>
              <w:tl2br w:val="nil"/>
              <w:tr2bl w:val="nil"/>
            </w:tcBorders>
            <w:noWrap/>
            <w:vAlign w:val="center"/>
          </w:tcPr>
          <w:p w14:paraId="00A3B6CD">
            <w:pPr>
              <w:widowControl/>
              <w:jc w:val="center"/>
              <w:textAlignment w:val="center"/>
              <w:rPr>
                <w:color w:val="auto"/>
                <w:sz w:val="18"/>
                <w:szCs w:val="18"/>
                <w:highlight w:val="none"/>
              </w:rPr>
            </w:pPr>
            <w:r>
              <w:rPr>
                <w:color w:val="auto"/>
                <w:kern w:val="0"/>
                <w:sz w:val="18"/>
                <w:szCs w:val="18"/>
                <w:highlight w:val="none"/>
                <w:lang w:bidi="ar"/>
              </w:rPr>
              <w:t>5.2 a)</w:t>
            </w:r>
          </w:p>
        </w:tc>
      </w:tr>
      <w:tr w14:paraId="620539A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253" w:type="pct"/>
            <w:tcBorders>
              <w:tl2br w:val="nil"/>
              <w:tr2bl w:val="nil"/>
            </w:tcBorders>
            <w:vAlign w:val="center"/>
          </w:tcPr>
          <w:p w14:paraId="09695D99">
            <w:pPr>
              <w:widowControl/>
              <w:jc w:val="center"/>
              <w:textAlignment w:val="center"/>
              <w:rPr>
                <w:color w:val="auto"/>
                <w:sz w:val="18"/>
                <w:szCs w:val="18"/>
                <w:highlight w:val="none"/>
              </w:rPr>
            </w:pPr>
            <w:r>
              <w:rPr>
                <w:color w:val="auto"/>
                <w:kern w:val="0"/>
                <w:sz w:val="18"/>
                <w:szCs w:val="18"/>
                <w:highlight w:val="none"/>
                <w:lang w:bidi="ar"/>
              </w:rPr>
              <w:t>S9</w:t>
            </w:r>
          </w:p>
        </w:tc>
        <w:tc>
          <w:tcPr>
            <w:tcW w:w="451" w:type="pct"/>
            <w:vMerge w:val="continue"/>
            <w:tcBorders>
              <w:tl2br w:val="nil"/>
              <w:tr2bl w:val="nil"/>
            </w:tcBorders>
            <w:vAlign w:val="center"/>
          </w:tcPr>
          <w:p w14:paraId="2ED027FF">
            <w:pPr>
              <w:jc w:val="center"/>
              <w:rPr>
                <w:color w:val="auto"/>
                <w:sz w:val="18"/>
                <w:szCs w:val="18"/>
                <w:highlight w:val="none"/>
              </w:rPr>
            </w:pPr>
          </w:p>
        </w:tc>
        <w:tc>
          <w:tcPr>
            <w:tcW w:w="828" w:type="pct"/>
            <w:tcBorders>
              <w:tl2br w:val="nil"/>
              <w:tr2bl w:val="nil"/>
            </w:tcBorders>
            <w:noWrap/>
            <w:vAlign w:val="center"/>
          </w:tcPr>
          <w:p w14:paraId="38F084D8">
            <w:pPr>
              <w:widowControl/>
              <w:jc w:val="center"/>
              <w:textAlignment w:val="center"/>
              <w:rPr>
                <w:color w:val="auto"/>
                <w:sz w:val="18"/>
                <w:szCs w:val="18"/>
                <w:highlight w:val="none"/>
              </w:rPr>
            </w:pPr>
            <w:r>
              <w:rPr>
                <w:rFonts w:hint="default" w:ascii="Times New Roman" w:hAnsi="Times New Roman" w:cs="Times New Roman"/>
                <w:color w:val="auto"/>
                <w:kern w:val="0"/>
                <w:sz w:val="18"/>
                <w:szCs w:val="18"/>
                <w:highlight w:val="none"/>
                <w:lang w:bidi="ar"/>
              </w:rPr>
              <w:t>扣电性能测试</w:t>
            </w:r>
          </w:p>
        </w:tc>
        <w:tc>
          <w:tcPr>
            <w:tcW w:w="820" w:type="pct"/>
            <w:tcBorders>
              <w:tl2br w:val="nil"/>
              <w:tr2bl w:val="nil"/>
            </w:tcBorders>
            <w:noWrap/>
            <w:vAlign w:val="center"/>
          </w:tcPr>
          <w:p w14:paraId="277644A1">
            <w:pPr>
              <w:widowControl/>
              <w:jc w:val="center"/>
              <w:textAlignment w:val="center"/>
              <w:rPr>
                <w:color w:val="auto"/>
                <w:sz w:val="18"/>
                <w:szCs w:val="18"/>
                <w:highlight w:val="none"/>
              </w:rPr>
            </w:pPr>
            <w:r>
              <w:rPr>
                <w:rFonts w:hint="default" w:ascii="Times New Roman" w:hAnsi="Times New Roman" w:cs="Times New Roman"/>
                <w:color w:val="auto"/>
                <w:kern w:val="0"/>
                <w:sz w:val="18"/>
                <w:szCs w:val="18"/>
                <w:highlight w:val="none"/>
                <w:lang w:bidi="ar"/>
              </w:rPr>
              <w:t>测试废电池</w:t>
            </w:r>
          </w:p>
        </w:tc>
        <w:tc>
          <w:tcPr>
            <w:tcW w:w="370" w:type="pct"/>
            <w:tcBorders>
              <w:tl2br w:val="nil"/>
              <w:tr2bl w:val="nil"/>
            </w:tcBorders>
            <w:vAlign w:val="center"/>
          </w:tcPr>
          <w:p w14:paraId="1E0A1FDA">
            <w:pPr>
              <w:widowControl/>
              <w:jc w:val="center"/>
              <w:textAlignment w:val="center"/>
              <w:rPr>
                <w:color w:val="auto"/>
                <w:sz w:val="18"/>
                <w:szCs w:val="18"/>
                <w:highlight w:val="none"/>
              </w:rPr>
            </w:pPr>
            <w:r>
              <w:rPr>
                <w:rFonts w:hint="default" w:ascii="Times New Roman" w:hAnsi="Times New Roman" w:cs="Times New Roman"/>
                <w:color w:val="auto"/>
                <w:kern w:val="0"/>
                <w:sz w:val="18"/>
                <w:szCs w:val="18"/>
                <w:highlight w:val="none"/>
                <w:lang w:bidi="ar"/>
              </w:rPr>
              <w:t>固</w:t>
            </w:r>
          </w:p>
        </w:tc>
        <w:tc>
          <w:tcPr>
            <w:tcW w:w="1079" w:type="pct"/>
            <w:tcBorders>
              <w:tl2br w:val="nil"/>
              <w:tr2bl w:val="nil"/>
            </w:tcBorders>
            <w:noWrap/>
            <w:vAlign w:val="center"/>
          </w:tcPr>
          <w:p w14:paraId="5AC51D71">
            <w:pPr>
              <w:widowControl/>
              <w:jc w:val="center"/>
              <w:textAlignment w:val="center"/>
              <w:rPr>
                <w:color w:val="auto"/>
                <w:sz w:val="18"/>
                <w:szCs w:val="18"/>
                <w:highlight w:val="none"/>
              </w:rPr>
            </w:pPr>
            <w:r>
              <w:rPr>
                <w:rFonts w:hint="default" w:ascii="Times New Roman" w:hAnsi="Times New Roman" w:cs="Times New Roman"/>
                <w:color w:val="auto"/>
                <w:kern w:val="0"/>
                <w:sz w:val="18"/>
                <w:szCs w:val="18"/>
                <w:highlight w:val="none"/>
                <w:lang w:bidi="ar"/>
              </w:rPr>
              <w:t>废纽扣电池</w:t>
            </w:r>
          </w:p>
        </w:tc>
        <w:tc>
          <w:tcPr>
            <w:tcW w:w="494" w:type="pct"/>
            <w:tcBorders>
              <w:tl2br w:val="nil"/>
              <w:tr2bl w:val="nil"/>
            </w:tcBorders>
            <w:noWrap/>
            <w:vAlign w:val="center"/>
          </w:tcPr>
          <w:p w14:paraId="490E2178">
            <w:pPr>
              <w:widowControl/>
              <w:jc w:val="center"/>
              <w:textAlignment w:val="center"/>
              <w:rPr>
                <w:color w:val="auto"/>
                <w:sz w:val="18"/>
                <w:szCs w:val="18"/>
                <w:highlight w:val="none"/>
              </w:rPr>
            </w:pPr>
            <w:r>
              <w:rPr>
                <w:color w:val="auto"/>
                <w:kern w:val="0"/>
                <w:sz w:val="18"/>
                <w:szCs w:val="18"/>
                <w:highlight w:val="none"/>
                <w:lang w:bidi="ar"/>
              </w:rPr>
              <w:t>2000</w:t>
            </w:r>
            <w:r>
              <w:rPr>
                <w:rFonts w:hint="default" w:ascii="Times New Roman" w:hAnsi="Times New Roman" w:cs="Times New Roman"/>
                <w:color w:val="auto"/>
                <w:kern w:val="0"/>
                <w:sz w:val="18"/>
                <w:szCs w:val="18"/>
                <w:highlight w:val="none"/>
                <w:lang w:bidi="ar"/>
              </w:rPr>
              <w:t>个</w:t>
            </w:r>
            <w:r>
              <w:rPr>
                <w:color w:val="auto"/>
                <w:kern w:val="0"/>
                <w:sz w:val="18"/>
                <w:szCs w:val="18"/>
                <w:highlight w:val="none"/>
                <w:lang w:bidi="ar"/>
              </w:rPr>
              <w:t>/</w:t>
            </w:r>
            <w:r>
              <w:rPr>
                <w:rFonts w:hint="default" w:ascii="Times New Roman" w:hAnsi="Times New Roman" w:cs="Times New Roman"/>
                <w:color w:val="auto"/>
                <w:kern w:val="0"/>
                <w:sz w:val="18"/>
                <w:szCs w:val="18"/>
                <w:highlight w:val="none"/>
                <w:lang w:bidi="ar"/>
              </w:rPr>
              <w:t>年</w:t>
            </w:r>
          </w:p>
        </w:tc>
        <w:tc>
          <w:tcPr>
            <w:tcW w:w="366" w:type="pct"/>
            <w:tcBorders>
              <w:tl2br w:val="nil"/>
              <w:tr2bl w:val="nil"/>
            </w:tcBorders>
            <w:vAlign w:val="center"/>
          </w:tcPr>
          <w:p w14:paraId="4B902EB4">
            <w:pPr>
              <w:widowControl/>
              <w:jc w:val="center"/>
              <w:textAlignment w:val="center"/>
              <w:rPr>
                <w:color w:val="auto"/>
                <w:sz w:val="18"/>
                <w:szCs w:val="18"/>
                <w:highlight w:val="none"/>
              </w:rPr>
            </w:pPr>
            <w:r>
              <w:rPr>
                <w:rFonts w:hint="default" w:ascii="Times New Roman" w:hAnsi="Times New Roman" w:cs="Times New Roman"/>
                <w:color w:val="auto"/>
                <w:kern w:val="0"/>
                <w:sz w:val="18"/>
                <w:szCs w:val="18"/>
                <w:highlight w:val="none"/>
                <w:lang w:bidi="ar"/>
              </w:rPr>
              <w:t>是</w:t>
            </w:r>
          </w:p>
        </w:tc>
        <w:tc>
          <w:tcPr>
            <w:tcW w:w="335" w:type="pct"/>
            <w:tcBorders>
              <w:tl2br w:val="nil"/>
              <w:tr2bl w:val="nil"/>
            </w:tcBorders>
            <w:noWrap/>
            <w:vAlign w:val="center"/>
          </w:tcPr>
          <w:p w14:paraId="45C1D9A7">
            <w:pPr>
              <w:widowControl/>
              <w:jc w:val="center"/>
              <w:textAlignment w:val="center"/>
              <w:rPr>
                <w:color w:val="auto"/>
                <w:sz w:val="18"/>
                <w:szCs w:val="18"/>
                <w:highlight w:val="none"/>
              </w:rPr>
            </w:pPr>
            <w:r>
              <w:rPr>
                <w:color w:val="auto"/>
                <w:kern w:val="0"/>
                <w:sz w:val="18"/>
                <w:szCs w:val="18"/>
                <w:highlight w:val="none"/>
                <w:lang w:bidi="ar"/>
              </w:rPr>
              <w:t>5.2 i)</w:t>
            </w:r>
          </w:p>
        </w:tc>
      </w:tr>
      <w:tr w14:paraId="115DE8D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253" w:type="pct"/>
            <w:tcBorders>
              <w:tl2br w:val="nil"/>
              <w:tr2bl w:val="nil"/>
            </w:tcBorders>
            <w:shd w:val="clear" w:color="auto" w:fill="auto"/>
            <w:vAlign w:val="center"/>
          </w:tcPr>
          <w:p w14:paraId="6B4D4D60">
            <w:pPr>
              <w:widowControl/>
              <w:jc w:val="center"/>
              <w:textAlignment w:val="center"/>
              <w:rPr>
                <w:rFonts w:ascii="Times New Roman" w:hAnsi="Times New Roman" w:eastAsia="宋体" w:cs="Times New Roman"/>
                <w:color w:val="auto"/>
                <w:kern w:val="2"/>
                <w:sz w:val="18"/>
                <w:szCs w:val="18"/>
                <w:highlight w:val="none"/>
                <w:lang w:val="en-US" w:eastAsia="zh-CN" w:bidi="ar-SA"/>
              </w:rPr>
            </w:pPr>
            <w:r>
              <w:rPr>
                <w:color w:val="auto"/>
                <w:kern w:val="0"/>
                <w:sz w:val="18"/>
                <w:szCs w:val="18"/>
                <w:highlight w:val="none"/>
                <w:lang w:bidi="ar"/>
              </w:rPr>
              <w:t>S1</w:t>
            </w:r>
            <w:r>
              <w:rPr>
                <w:rFonts w:hint="default"/>
                <w:color w:val="auto"/>
                <w:kern w:val="0"/>
                <w:sz w:val="18"/>
                <w:szCs w:val="18"/>
                <w:highlight w:val="none"/>
                <w:lang w:val="en-US" w:eastAsia="zh-CN" w:bidi="ar"/>
              </w:rPr>
              <w:t>0</w:t>
            </w:r>
          </w:p>
        </w:tc>
        <w:tc>
          <w:tcPr>
            <w:tcW w:w="451" w:type="pct"/>
            <w:tcBorders>
              <w:tl2br w:val="nil"/>
              <w:tr2bl w:val="nil"/>
            </w:tcBorders>
            <w:noWrap/>
            <w:vAlign w:val="center"/>
          </w:tcPr>
          <w:p w14:paraId="3AB59E30">
            <w:pPr>
              <w:widowControl/>
              <w:jc w:val="center"/>
              <w:textAlignment w:val="center"/>
              <w:rPr>
                <w:color w:val="auto"/>
                <w:sz w:val="18"/>
                <w:szCs w:val="18"/>
                <w:highlight w:val="none"/>
              </w:rPr>
            </w:pPr>
            <w:r>
              <w:rPr>
                <w:color w:val="auto"/>
                <w:kern w:val="0"/>
                <w:sz w:val="18"/>
                <w:szCs w:val="18"/>
                <w:highlight w:val="none"/>
                <w:lang w:bidi="ar"/>
              </w:rPr>
              <w:t>/</w:t>
            </w:r>
          </w:p>
        </w:tc>
        <w:tc>
          <w:tcPr>
            <w:tcW w:w="828" w:type="pct"/>
            <w:tcBorders>
              <w:tl2br w:val="nil"/>
              <w:tr2bl w:val="nil"/>
            </w:tcBorders>
            <w:noWrap/>
            <w:vAlign w:val="center"/>
          </w:tcPr>
          <w:p w14:paraId="5875F7B7">
            <w:pPr>
              <w:widowControl/>
              <w:jc w:val="center"/>
              <w:textAlignment w:val="center"/>
              <w:rPr>
                <w:color w:val="auto"/>
                <w:sz w:val="18"/>
                <w:szCs w:val="18"/>
                <w:highlight w:val="none"/>
              </w:rPr>
            </w:pPr>
            <w:r>
              <w:rPr>
                <w:rFonts w:hint="default" w:ascii="Times New Roman" w:hAnsi="Times New Roman" w:cs="Times New Roman"/>
                <w:color w:val="auto"/>
                <w:kern w:val="0"/>
                <w:sz w:val="18"/>
                <w:szCs w:val="18"/>
                <w:highlight w:val="none"/>
                <w:lang w:bidi="ar"/>
              </w:rPr>
              <w:t>废气处理</w:t>
            </w:r>
          </w:p>
        </w:tc>
        <w:tc>
          <w:tcPr>
            <w:tcW w:w="820" w:type="pct"/>
            <w:tcBorders>
              <w:tl2br w:val="nil"/>
              <w:tr2bl w:val="nil"/>
            </w:tcBorders>
            <w:noWrap/>
            <w:vAlign w:val="center"/>
          </w:tcPr>
          <w:p w14:paraId="62425FA5">
            <w:pPr>
              <w:widowControl/>
              <w:jc w:val="center"/>
              <w:textAlignment w:val="center"/>
              <w:rPr>
                <w:color w:val="auto"/>
                <w:sz w:val="18"/>
                <w:szCs w:val="18"/>
                <w:highlight w:val="none"/>
              </w:rPr>
            </w:pPr>
            <w:r>
              <w:rPr>
                <w:rFonts w:hint="default" w:ascii="Times New Roman" w:hAnsi="Times New Roman" w:cs="Times New Roman"/>
                <w:color w:val="auto"/>
                <w:kern w:val="0"/>
                <w:sz w:val="18"/>
                <w:szCs w:val="18"/>
                <w:highlight w:val="none"/>
                <w:lang w:bidi="ar"/>
              </w:rPr>
              <w:t>废活性炭</w:t>
            </w:r>
          </w:p>
        </w:tc>
        <w:tc>
          <w:tcPr>
            <w:tcW w:w="370" w:type="pct"/>
            <w:tcBorders>
              <w:tl2br w:val="nil"/>
              <w:tr2bl w:val="nil"/>
            </w:tcBorders>
            <w:vAlign w:val="center"/>
          </w:tcPr>
          <w:p w14:paraId="32D9191F">
            <w:pPr>
              <w:widowControl/>
              <w:jc w:val="center"/>
              <w:textAlignment w:val="center"/>
              <w:rPr>
                <w:color w:val="auto"/>
                <w:sz w:val="18"/>
                <w:szCs w:val="18"/>
                <w:highlight w:val="none"/>
              </w:rPr>
            </w:pPr>
            <w:r>
              <w:rPr>
                <w:rFonts w:hint="default" w:ascii="Times New Roman" w:hAnsi="Times New Roman" w:cs="Times New Roman"/>
                <w:color w:val="auto"/>
                <w:kern w:val="0"/>
                <w:sz w:val="18"/>
                <w:szCs w:val="18"/>
                <w:highlight w:val="none"/>
                <w:lang w:bidi="ar"/>
              </w:rPr>
              <w:t>固</w:t>
            </w:r>
          </w:p>
        </w:tc>
        <w:tc>
          <w:tcPr>
            <w:tcW w:w="1079" w:type="pct"/>
            <w:tcBorders>
              <w:tl2br w:val="nil"/>
              <w:tr2bl w:val="nil"/>
            </w:tcBorders>
            <w:noWrap/>
            <w:vAlign w:val="center"/>
          </w:tcPr>
          <w:p w14:paraId="66295DDE">
            <w:pPr>
              <w:widowControl/>
              <w:jc w:val="center"/>
              <w:textAlignment w:val="center"/>
              <w:rPr>
                <w:color w:val="auto"/>
                <w:sz w:val="18"/>
                <w:szCs w:val="18"/>
                <w:highlight w:val="none"/>
              </w:rPr>
            </w:pPr>
            <w:r>
              <w:rPr>
                <w:rFonts w:hint="default" w:ascii="Times New Roman" w:hAnsi="Times New Roman" w:cs="Times New Roman"/>
                <w:color w:val="auto"/>
                <w:kern w:val="0"/>
                <w:sz w:val="18"/>
                <w:szCs w:val="18"/>
                <w:highlight w:val="none"/>
                <w:lang w:bidi="ar"/>
              </w:rPr>
              <w:t>废活性炭</w:t>
            </w:r>
          </w:p>
        </w:tc>
        <w:tc>
          <w:tcPr>
            <w:tcW w:w="494" w:type="pct"/>
            <w:tcBorders>
              <w:tl2br w:val="nil"/>
              <w:tr2bl w:val="nil"/>
            </w:tcBorders>
            <w:noWrap/>
            <w:vAlign w:val="center"/>
          </w:tcPr>
          <w:p w14:paraId="408C3C25">
            <w:pPr>
              <w:widowControl/>
              <w:jc w:val="center"/>
              <w:textAlignment w:val="center"/>
              <w:rPr>
                <w:rFonts w:hint="default" w:eastAsia="宋体"/>
                <w:color w:val="auto"/>
                <w:sz w:val="18"/>
                <w:szCs w:val="18"/>
                <w:highlight w:val="none"/>
                <w:lang w:val="en-US" w:eastAsia="zh-CN"/>
              </w:rPr>
            </w:pPr>
            <w:r>
              <w:rPr>
                <w:rFonts w:hint="eastAsia"/>
                <w:color w:val="auto"/>
                <w:kern w:val="0"/>
                <w:sz w:val="18"/>
                <w:szCs w:val="18"/>
                <w:highlight w:val="none"/>
                <w:lang w:val="en-US" w:eastAsia="zh-CN" w:bidi="ar"/>
              </w:rPr>
              <w:t>1000</w:t>
            </w:r>
          </w:p>
        </w:tc>
        <w:tc>
          <w:tcPr>
            <w:tcW w:w="366" w:type="pct"/>
            <w:tcBorders>
              <w:tl2br w:val="nil"/>
              <w:tr2bl w:val="nil"/>
            </w:tcBorders>
            <w:vAlign w:val="center"/>
          </w:tcPr>
          <w:p w14:paraId="1DF241C4">
            <w:pPr>
              <w:widowControl/>
              <w:jc w:val="center"/>
              <w:textAlignment w:val="center"/>
              <w:rPr>
                <w:color w:val="auto"/>
                <w:sz w:val="18"/>
                <w:szCs w:val="18"/>
                <w:highlight w:val="none"/>
              </w:rPr>
            </w:pPr>
            <w:r>
              <w:rPr>
                <w:rFonts w:hint="default" w:ascii="Times New Roman" w:hAnsi="Times New Roman" w:cs="Times New Roman"/>
                <w:color w:val="auto"/>
                <w:kern w:val="0"/>
                <w:sz w:val="18"/>
                <w:szCs w:val="18"/>
                <w:highlight w:val="none"/>
                <w:lang w:bidi="ar"/>
              </w:rPr>
              <w:t>是</w:t>
            </w:r>
          </w:p>
        </w:tc>
        <w:tc>
          <w:tcPr>
            <w:tcW w:w="335" w:type="pct"/>
            <w:tcBorders>
              <w:tl2br w:val="nil"/>
              <w:tr2bl w:val="nil"/>
            </w:tcBorders>
            <w:vAlign w:val="center"/>
          </w:tcPr>
          <w:p w14:paraId="4230696C">
            <w:pPr>
              <w:widowControl/>
              <w:jc w:val="center"/>
              <w:textAlignment w:val="center"/>
              <w:rPr>
                <w:color w:val="auto"/>
                <w:sz w:val="18"/>
                <w:szCs w:val="18"/>
                <w:highlight w:val="none"/>
              </w:rPr>
            </w:pPr>
            <w:r>
              <w:rPr>
                <w:color w:val="auto"/>
                <w:kern w:val="0"/>
                <w:sz w:val="18"/>
                <w:szCs w:val="18"/>
                <w:highlight w:val="none"/>
                <w:lang w:bidi="ar"/>
              </w:rPr>
              <w:t>4.1 d</w:t>
            </w:r>
            <w:r>
              <w:rPr>
                <w:rFonts w:hint="default" w:ascii="Times New Roman" w:hAnsi="Times New Roman" w:cs="Times New Roman"/>
                <w:color w:val="auto"/>
                <w:kern w:val="0"/>
                <w:sz w:val="18"/>
                <w:szCs w:val="18"/>
                <w:highlight w:val="none"/>
                <w:lang w:bidi="ar"/>
              </w:rPr>
              <w:t>)</w:t>
            </w:r>
          </w:p>
        </w:tc>
      </w:tr>
      <w:tr w14:paraId="3B4A56B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253" w:type="pct"/>
            <w:tcBorders>
              <w:tl2br w:val="nil"/>
              <w:tr2bl w:val="nil"/>
            </w:tcBorders>
            <w:shd w:val="clear" w:color="auto" w:fill="auto"/>
            <w:vAlign w:val="center"/>
          </w:tcPr>
          <w:p w14:paraId="296E52D9">
            <w:pPr>
              <w:widowControl/>
              <w:jc w:val="center"/>
              <w:textAlignment w:val="center"/>
              <w:rPr>
                <w:rFonts w:hint="default" w:ascii="Times New Roman" w:hAnsi="Times New Roman" w:eastAsia="宋体" w:cs="Times New Roman"/>
                <w:color w:val="auto"/>
                <w:kern w:val="2"/>
                <w:sz w:val="18"/>
                <w:szCs w:val="18"/>
                <w:highlight w:val="none"/>
                <w:lang w:val="en-US" w:eastAsia="zh-CN" w:bidi="ar-SA"/>
              </w:rPr>
            </w:pPr>
            <w:r>
              <w:rPr>
                <w:color w:val="auto"/>
                <w:kern w:val="0"/>
                <w:sz w:val="18"/>
                <w:szCs w:val="18"/>
                <w:highlight w:val="none"/>
                <w:lang w:bidi="ar"/>
              </w:rPr>
              <w:t>S1</w:t>
            </w:r>
            <w:r>
              <w:rPr>
                <w:rFonts w:hint="default"/>
                <w:color w:val="auto"/>
                <w:kern w:val="0"/>
                <w:sz w:val="18"/>
                <w:szCs w:val="18"/>
                <w:highlight w:val="none"/>
                <w:lang w:val="en-US" w:eastAsia="zh-CN" w:bidi="ar"/>
              </w:rPr>
              <w:t>1</w:t>
            </w:r>
          </w:p>
        </w:tc>
        <w:tc>
          <w:tcPr>
            <w:tcW w:w="451" w:type="pct"/>
            <w:tcBorders>
              <w:tl2br w:val="nil"/>
              <w:tr2bl w:val="nil"/>
            </w:tcBorders>
            <w:noWrap/>
            <w:vAlign w:val="center"/>
          </w:tcPr>
          <w:p w14:paraId="67C26C66">
            <w:pPr>
              <w:widowControl/>
              <w:jc w:val="center"/>
              <w:textAlignment w:val="center"/>
              <w:rPr>
                <w:color w:val="auto"/>
                <w:sz w:val="18"/>
                <w:szCs w:val="18"/>
                <w:highlight w:val="none"/>
              </w:rPr>
            </w:pPr>
            <w:r>
              <w:rPr>
                <w:color w:val="auto"/>
                <w:kern w:val="0"/>
                <w:sz w:val="18"/>
                <w:szCs w:val="18"/>
                <w:highlight w:val="none"/>
                <w:lang w:bidi="ar"/>
              </w:rPr>
              <w:t>/</w:t>
            </w:r>
          </w:p>
        </w:tc>
        <w:tc>
          <w:tcPr>
            <w:tcW w:w="828" w:type="pct"/>
            <w:tcBorders>
              <w:tl2br w:val="nil"/>
              <w:tr2bl w:val="nil"/>
            </w:tcBorders>
            <w:noWrap/>
            <w:vAlign w:val="center"/>
          </w:tcPr>
          <w:p w14:paraId="52DAB4F8">
            <w:pPr>
              <w:widowControl/>
              <w:jc w:val="center"/>
              <w:textAlignment w:val="center"/>
              <w:rPr>
                <w:color w:val="auto"/>
                <w:sz w:val="18"/>
                <w:szCs w:val="18"/>
                <w:highlight w:val="none"/>
              </w:rPr>
            </w:pPr>
            <w:r>
              <w:rPr>
                <w:rFonts w:hint="default" w:ascii="Times New Roman" w:hAnsi="Times New Roman" w:cs="Times New Roman"/>
                <w:color w:val="auto"/>
                <w:kern w:val="0"/>
                <w:sz w:val="18"/>
                <w:szCs w:val="18"/>
                <w:highlight w:val="none"/>
                <w:lang w:bidi="ar"/>
              </w:rPr>
              <w:t>废水处理</w:t>
            </w:r>
          </w:p>
        </w:tc>
        <w:tc>
          <w:tcPr>
            <w:tcW w:w="820" w:type="pct"/>
            <w:tcBorders>
              <w:tl2br w:val="nil"/>
              <w:tr2bl w:val="nil"/>
            </w:tcBorders>
            <w:noWrap/>
            <w:vAlign w:val="center"/>
          </w:tcPr>
          <w:p w14:paraId="47DC60F3">
            <w:pPr>
              <w:widowControl/>
              <w:jc w:val="center"/>
              <w:textAlignment w:val="center"/>
              <w:rPr>
                <w:color w:val="auto"/>
                <w:sz w:val="18"/>
                <w:szCs w:val="18"/>
                <w:highlight w:val="none"/>
              </w:rPr>
            </w:pPr>
            <w:r>
              <w:rPr>
                <w:rFonts w:hint="default" w:ascii="Times New Roman" w:hAnsi="Times New Roman" w:cs="Times New Roman"/>
                <w:color w:val="auto"/>
                <w:kern w:val="0"/>
                <w:sz w:val="18"/>
                <w:szCs w:val="18"/>
                <w:highlight w:val="none"/>
                <w:lang w:bidi="ar"/>
              </w:rPr>
              <w:t>沉淀污泥</w:t>
            </w:r>
          </w:p>
        </w:tc>
        <w:tc>
          <w:tcPr>
            <w:tcW w:w="370" w:type="pct"/>
            <w:tcBorders>
              <w:tl2br w:val="nil"/>
              <w:tr2bl w:val="nil"/>
            </w:tcBorders>
            <w:noWrap/>
            <w:vAlign w:val="center"/>
          </w:tcPr>
          <w:p w14:paraId="1465760B">
            <w:pPr>
              <w:widowControl/>
              <w:jc w:val="center"/>
              <w:textAlignment w:val="center"/>
              <w:rPr>
                <w:color w:val="auto"/>
                <w:sz w:val="18"/>
                <w:szCs w:val="18"/>
                <w:highlight w:val="none"/>
              </w:rPr>
            </w:pPr>
            <w:r>
              <w:rPr>
                <w:rFonts w:hint="default" w:ascii="Times New Roman" w:hAnsi="Times New Roman" w:cs="Times New Roman"/>
                <w:color w:val="auto"/>
                <w:kern w:val="0"/>
                <w:sz w:val="18"/>
                <w:szCs w:val="18"/>
                <w:highlight w:val="none"/>
                <w:lang w:bidi="ar"/>
              </w:rPr>
              <w:t>液</w:t>
            </w:r>
          </w:p>
        </w:tc>
        <w:tc>
          <w:tcPr>
            <w:tcW w:w="1079" w:type="pct"/>
            <w:tcBorders>
              <w:tl2br w:val="nil"/>
              <w:tr2bl w:val="nil"/>
            </w:tcBorders>
            <w:noWrap/>
            <w:vAlign w:val="center"/>
          </w:tcPr>
          <w:p w14:paraId="50C8E3B2">
            <w:pPr>
              <w:widowControl/>
              <w:jc w:val="center"/>
              <w:textAlignment w:val="center"/>
              <w:rPr>
                <w:color w:val="auto"/>
                <w:sz w:val="18"/>
                <w:szCs w:val="18"/>
                <w:highlight w:val="none"/>
              </w:rPr>
            </w:pPr>
            <w:r>
              <w:rPr>
                <w:rFonts w:hint="default" w:ascii="Times New Roman" w:hAnsi="Times New Roman" w:cs="Times New Roman"/>
                <w:color w:val="auto"/>
                <w:kern w:val="0"/>
                <w:sz w:val="18"/>
                <w:szCs w:val="18"/>
                <w:highlight w:val="none"/>
                <w:lang w:bidi="ar"/>
              </w:rPr>
              <w:t>不溶性金属氧化物、磷酸盐</w:t>
            </w:r>
          </w:p>
        </w:tc>
        <w:tc>
          <w:tcPr>
            <w:tcW w:w="494" w:type="pct"/>
            <w:tcBorders>
              <w:tl2br w:val="nil"/>
              <w:tr2bl w:val="nil"/>
            </w:tcBorders>
            <w:noWrap/>
            <w:vAlign w:val="center"/>
          </w:tcPr>
          <w:p w14:paraId="59395620">
            <w:pPr>
              <w:widowControl/>
              <w:jc w:val="center"/>
              <w:textAlignment w:val="center"/>
              <w:rPr>
                <w:color w:val="auto"/>
                <w:sz w:val="18"/>
                <w:szCs w:val="18"/>
                <w:highlight w:val="none"/>
              </w:rPr>
            </w:pPr>
            <w:r>
              <w:rPr>
                <w:color w:val="auto"/>
                <w:kern w:val="0"/>
                <w:sz w:val="18"/>
                <w:szCs w:val="18"/>
                <w:highlight w:val="none"/>
                <w:lang w:bidi="ar"/>
              </w:rPr>
              <w:t>100</w:t>
            </w:r>
          </w:p>
        </w:tc>
        <w:tc>
          <w:tcPr>
            <w:tcW w:w="366" w:type="pct"/>
            <w:tcBorders>
              <w:tl2br w:val="nil"/>
              <w:tr2bl w:val="nil"/>
            </w:tcBorders>
            <w:vAlign w:val="center"/>
          </w:tcPr>
          <w:p w14:paraId="0065A5A6">
            <w:pPr>
              <w:widowControl/>
              <w:jc w:val="center"/>
              <w:textAlignment w:val="center"/>
              <w:rPr>
                <w:color w:val="auto"/>
                <w:sz w:val="18"/>
                <w:szCs w:val="18"/>
                <w:highlight w:val="none"/>
              </w:rPr>
            </w:pPr>
            <w:r>
              <w:rPr>
                <w:rFonts w:hint="default" w:ascii="Times New Roman" w:hAnsi="Times New Roman" w:cs="Times New Roman"/>
                <w:color w:val="auto"/>
                <w:kern w:val="0"/>
                <w:sz w:val="18"/>
                <w:szCs w:val="18"/>
                <w:highlight w:val="none"/>
                <w:lang w:bidi="ar"/>
              </w:rPr>
              <w:t>是</w:t>
            </w:r>
          </w:p>
        </w:tc>
        <w:tc>
          <w:tcPr>
            <w:tcW w:w="335" w:type="pct"/>
            <w:tcBorders>
              <w:tl2br w:val="nil"/>
              <w:tr2bl w:val="nil"/>
            </w:tcBorders>
            <w:noWrap/>
            <w:vAlign w:val="center"/>
          </w:tcPr>
          <w:p w14:paraId="30E513BD">
            <w:pPr>
              <w:widowControl/>
              <w:jc w:val="center"/>
              <w:textAlignment w:val="center"/>
              <w:rPr>
                <w:color w:val="auto"/>
                <w:sz w:val="18"/>
                <w:szCs w:val="18"/>
                <w:highlight w:val="none"/>
              </w:rPr>
            </w:pPr>
            <w:r>
              <w:rPr>
                <w:color w:val="auto"/>
                <w:kern w:val="0"/>
                <w:sz w:val="18"/>
                <w:szCs w:val="18"/>
                <w:highlight w:val="none"/>
                <w:lang w:bidi="ar"/>
              </w:rPr>
              <w:t>5.2 k)</w:t>
            </w:r>
          </w:p>
        </w:tc>
      </w:tr>
      <w:tr w14:paraId="4EEDFBC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253" w:type="pct"/>
            <w:tcBorders>
              <w:tl2br w:val="nil"/>
              <w:tr2bl w:val="nil"/>
            </w:tcBorders>
            <w:shd w:val="clear" w:color="auto" w:fill="auto"/>
            <w:vAlign w:val="center"/>
          </w:tcPr>
          <w:p w14:paraId="1D45ADE0">
            <w:pPr>
              <w:widowControl/>
              <w:jc w:val="center"/>
              <w:textAlignment w:val="center"/>
              <w:rPr>
                <w:rFonts w:hint="default" w:ascii="Times New Roman" w:hAnsi="Times New Roman" w:eastAsia="宋体" w:cs="Times New Roman"/>
                <w:color w:val="auto"/>
                <w:kern w:val="2"/>
                <w:sz w:val="18"/>
                <w:szCs w:val="18"/>
                <w:highlight w:val="none"/>
                <w:lang w:val="en-US" w:eastAsia="zh-CN" w:bidi="ar-SA"/>
              </w:rPr>
            </w:pPr>
            <w:r>
              <w:rPr>
                <w:color w:val="auto"/>
                <w:kern w:val="0"/>
                <w:sz w:val="18"/>
                <w:szCs w:val="18"/>
                <w:highlight w:val="none"/>
                <w:lang w:bidi="ar"/>
              </w:rPr>
              <w:t>S1</w:t>
            </w:r>
            <w:r>
              <w:rPr>
                <w:rFonts w:hint="default"/>
                <w:color w:val="auto"/>
                <w:kern w:val="0"/>
                <w:sz w:val="18"/>
                <w:szCs w:val="18"/>
                <w:highlight w:val="none"/>
                <w:lang w:val="en-US" w:eastAsia="zh-CN" w:bidi="ar"/>
              </w:rPr>
              <w:t>2</w:t>
            </w:r>
          </w:p>
        </w:tc>
        <w:tc>
          <w:tcPr>
            <w:tcW w:w="451" w:type="pct"/>
            <w:tcBorders>
              <w:tl2br w:val="nil"/>
              <w:tr2bl w:val="nil"/>
            </w:tcBorders>
            <w:noWrap/>
            <w:vAlign w:val="center"/>
          </w:tcPr>
          <w:p w14:paraId="21960331">
            <w:pPr>
              <w:widowControl/>
              <w:jc w:val="center"/>
              <w:textAlignment w:val="center"/>
              <w:rPr>
                <w:color w:val="auto"/>
                <w:sz w:val="18"/>
                <w:szCs w:val="18"/>
                <w:highlight w:val="none"/>
              </w:rPr>
            </w:pPr>
            <w:r>
              <w:rPr>
                <w:color w:val="auto"/>
                <w:kern w:val="0"/>
                <w:sz w:val="18"/>
                <w:szCs w:val="18"/>
                <w:highlight w:val="none"/>
                <w:lang w:bidi="ar"/>
              </w:rPr>
              <w:t>/</w:t>
            </w:r>
          </w:p>
        </w:tc>
        <w:tc>
          <w:tcPr>
            <w:tcW w:w="828" w:type="pct"/>
            <w:tcBorders>
              <w:tl2br w:val="nil"/>
              <w:tr2bl w:val="nil"/>
            </w:tcBorders>
            <w:noWrap/>
            <w:vAlign w:val="center"/>
          </w:tcPr>
          <w:p w14:paraId="7DB23072">
            <w:pPr>
              <w:widowControl/>
              <w:jc w:val="center"/>
              <w:textAlignment w:val="center"/>
              <w:rPr>
                <w:color w:val="auto"/>
                <w:sz w:val="18"/>
                <w:szCs w:val="18"/>
                <w:highlight w:val="none"/>
              </w:rPr>
            </w:pPr>
            <w:r>
              <w:rPr>
                <w:rFonts w:hint="default" w:ascii="Times New Roman" w:hAnsi="Times New Roman" w:cs="Times New Roman"/>
                <w:color w:val="auto"/>
                <w:kern w:val="0"/>
                <w:sz w:val="18"/>
                <w:szCs w:val="18"/>
                <w:highlight w:val="none"/>
                <w:lang w:bidi="ar"/>
              </w:rPr>
              <w:t>纯水制备</w:t>
            </w:r>
          </w:p>
        </w:tc>
        <w:tc>
          <w:tcPr>
            <w:tcW w:w="820" w:type="pct"/>
            <w:tcBorders>
              <w:tl2br w:val="nil"/>
              <w:tr2bl w:val="nil"/>
            </w:tcBorders>
            <w:noWrap/>
            <w:vAlign w:val="center"/>
          </w:tcPr>
          <w:p w14:paraId="5877AF26">
            <w:pPr>
              <w:widowControl/>
              <w:jc w:val="center"/>
              <w:textAlignment w:val="center"/>
              <w:rPr>
                <w:color w:val="auto"/>
                <w:sz w:val="18"/>
                <w:szCs w:val="18"/>
                <w:highlight w:val="none"/>
              </w:rPr>
            </w:pPr>
            <w:r>
              <w:rPr>
                <w:rFonts w:hint="default" w:ascii="Times New Roman" w:hAnsi="Times New Roman" w:cs="Times New Roman"/>
                <w:color w:val="auto"/>
                <w:kern w:val="0"/>
                <w:sz w:val="18"/>
                <w:szCs w:val="18"/>
                <w:highlight w:val="none"/>
                <w:lang w:bidi="ar"/>
              </w:rPr>
              <w:t>纯水制备过滤介质</w:t>
            </w:r>
          </w:p>
        </w:tc>
        <w:tc>
          <w:tcPr>
            <w:tcW w:w="370" w:type="pct"/>
            <w:tcBorders>
              <w:tl2br w:val="nil"/>
              <w:tr2bl w:val="nil"/>
            </w:tcBorders>
            <w:vAlign w:val="center"/>
          </w:tcPr>
          <w:p w14:paraId="54A30DE9">
            <w:pPr>
              <w:widowControl/>
              <w:jc w:val="center"/>
              <w:textAlignment w:val="center"/>
              <w:rPr>
                <w:color w:val="auto"/>
                <w:sz w:val="18"/>
                <w:szCs w:val="18"/>
                <w:highlight w:val="none"/>
              </w:rPr>
            </w:pPr>
            <w:r>
              <w:rPr>
                <w:rFonts w:hint="default" w:ascii="Times New Roman" w:hAnsi="Times New Roman" w:cs="Times New Roman"/>
                <w:color w:val="auto"/>
                <w:kern w:val="0"/>
                <w:sz w:val="18"/>
                <w:szCs w:val="18"/>
                <w:highlight w:val="none"/>
                <w:lang w:bidi="ar"/>
              </w:rPr>
              <w:t>固</w:t>
            </w:r>
          </w:p>
        </w:tc>
        <w:tc>
          <w:tcPr>
            <w:tcW w:w="1079" w:type="pct"/>
            <w:tcBorders>
              <w:tl2br w:val="nil"/>
              <w:tr2bl w:val="nil"/>
            </w:tcBorders>
            <w:noWrap/>
            <w:vAlign w:val="center"/>
          </w:tcPr>
          <w:p w14:paraId="634EFF35">
            <w:pPr>
              <w:widowControl/>
              <w:jc w:val="center"/>
              <w:textAlignment w:val="center"/>
              <w:rPr>
                <w:color w:val="auto"/>
                <w:sz w:val="18"/>
                <w:szCs w:val="18"/>
                <w:highlight w:val="none"/>
              </w:rPr>
            </w:pPr>
            <w:r>
              <w:rPr>
                <w:rFonts w:hint="default" w:ascii="Times New Roman" w:hAnsi="Times New Roman" w:cs="Times New Roman"/>
                <w:color w:val="auto"/>
                <w:kern w:val="0"/>
                <w:sz w:val="18"/>
                <w:szCs w:val="18"/>
                <w:highlight w:val="none"/>
                <w:lang w:bidi="ar"/>
              </w:rPr>
              <w:t>废</w:t>
            </w:r>
            <w:r>
              <w:rPr>
                <w:color w:val="auto"/>
                <w:kern w:val="0"/>
                <w:sz w:val="18"/>
                <w:szCs w:val="18"/>
                <w:highlight w:val="none"/>
                <w:lang w:bidi="ar"/>
              </w:rPr>
              <w:t>RO</w:t>
            </w:r>
            <w:r>
              <w:rPr>
                <w:rFonts w:hint="default" w:ascii="Times New Roman" w:hAnsi="Times New Roman" w:cs="Times New Roman"/>
                <w:color w:val="auto"/>
                <w:kern w:val="0"/>
                <w:sz w:val="18"/>
                <w:szCs w:val="18"/>
                <w:highlight w:val="none"/>
                <w:lang w:bidi="ar"/>
              </w:rPr>
              <w:t>膜</w:t>
            </w:r>
          </w:p>
        </w:tc>
        <w:tc>
          <w:tcPr>
            <w:tcW w:w="494" w:type="pct"/>
            <w:tcBorders>
              <w:tl2br w:val="nil"/>
              <w:tr2bl w:val="nil"/>
            </w:tcBorders>
            <w:noWrap/>
            <w:vAlign w:val="center"/>
          </w:tcPr>
          <w:p w14:paraId="2C49F931">
            <w:pPr>
              <w:widowControl/>
              <w:jc w:val="center"/>
              <w:textAlignment w:val="center"/>
              <w:rPr>
                <w:color w:val="auto"/>
                <w:sz w:val="18"/>
                <w:szCs w:val="18"/>
                <w:highlight w:val="none"/>
              </w:rPr>
            </w:pPr>
            <w:r>
              <w:rPr>
                <w:rFonts w:hint="default"/>
                <w:color w:val="auto"/>
                <w:kern w:val="0"/>
                <w:sz w:val="18"/>
                <w:szCs w:val="18"/>
                <w:highlight w:val="none"/>
                <w:lang w:bidi="ar"/>
              </w:rPr>
              <w:t>1</w:t>
            </w:r>
          </w:p>
        </w:tc>
        <w:tc>
          <w:tcPr>
            <w:tcW w:w="366" w:type="pct"/>
            <w:tcBorders>
              <w:tl2br w:val="nil"/>
              <w:tr2bl w:val="nil"/>
            </w:tcBorders>
            <w:vAlign w:val="center"/>
          </w:tcPr>
          <w:p w14:paraId="5D2164DC">
            <w:pPr>
              <w:widowControl/>
              <w:jc w:val="center"/>
              <w:textAlignment w:val="center"/>
              <w:rPr>
                <w:color w:val="auto"/>
                <w:sz w:val="18"/>
                <w:szCs w:val="18"/>
                <w:highlight w:val="none"/>
              </w:rPr>
            </w:pPr>
            <w:r>
              <w:rPr>
                <w:rFonts w:hint="default" w:ascii="Times New Roman" w:hAnsi="Times New Roman" w:cs="Times New Roman"/>
                <w:color w:val="auto"/>
                <w:kern w:val="0"/>
                <w:sz w:val="18"/>
                <w:szCs w:val="18"/>
                <w:highlight w:val="none"/>
                <w:lang w:bidi="ar"/>
              </w:rPr>
              <w:t>是</w:t>
            </w:r>
          </w:p>
        </w:tc>
        <w:tc>
          <w:tcPr>
            <w:tcW w:w="335" w:type="pct"/>
            <w:tcBorders>
              <w:tl2br w:val="nil"/>
              <w:tr2bl w:val="nil"/>
            </w:tcBorders>
            <w:vAlign w:val="center"/>
          </w:tcPr>
          <w:p w14:paraId="16F12248">
            <w:pPr>
              <w:widowControl/>
              <w:jc w:val="center"/>
              <w:textAlignment w:val="center"/>
              <w:rPr>
                <w:color w:val="auto"/>
                <w:sz w:val="18"/>
                <w:szCs w:val="18"/>
                <w:highlight w:val="none"/>
              </w:rPr>
            </w:pPr>
            <w:r>
              <w:rPr>
                <w:color w:val="auto"/>
                <w:kern w:val="0"/>
                <w:sz w:val="18"/>
                <w:szCs w:val="18"/>
                <w:highlight w:val="none"/>
                <w:lang w:bidi="ar"/>
              </w:rPr>
              <w:t>4.1 g</w:t>
            </w:r>
            <w:r>
              <w:rPr>
                <w:rFonts w:hint="default" w:ascii="Times New Roman" w:hAnsi="Times New Roman" w:cs="Times New Roman"/>
                <w:color w:val="auto"/>
                <w:kern w:val="0"/>
                <w:sz w:val="18"/>
                <w:szCs w:val="18"/>
                <w:highlight w:val="none"/>
                <w:lang w:bidi="ar"/>
              </w:rPr>
              <w:t>)</w:t>
            </w:r>
          </w:p>
        </w:tc>
      </w:tr>
      <w:tr w14:paraId="685F6B1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253" w:type="pct"/>
            <w:tcBorders>
              <w:tl2br w:val="nil"/>
              <w:tr2bl w:val="nil"/>
            </w:tcBorders>
            <w:shd w:val="clear" w:color="auto" w:fill="auto"/>
            <w:vAlign w:val="center"/>
          </w:tcPr>
          <w:p w14:paraId="35F00929">
            <w:pPr>
              <w:widowControl/>
              <w:jc w:val="center"/>
              <w:textAlignment w:val="center"/>
              <w:rPr>
                <w:rFonts w:hint="default" w:ascii="Times New Roman" w:hAnsi="Times New Roman" w:eastAsia="宋体" w:cs="Times New Roman"/>
                <w:color w:val="auto"/>
                <w:kern w:val="2"/>
                <w:sz w:val="18"/>
                <w:szCs w:val="18"/>
                <w:highlight w:val="none"/>
                <w:lang w:val="en-US" w:eastAsia="zh-CN" w:bidi="ar-SA"/>
              </w:rPr>
            </w:pPr>
            <w:r>
              <w:rPr>
                <w:color w:val="auto"/>
                <w:kern w:val="0"/>
                <w:sz w:val="18"/>
                <w:szCs w:val="18"/>
                <w:highlight w:val="none"/>
                <w:lang w:bidi="ar"/>
              </w:rPr>
              <w:t>S1</w:t>
            </w:r>
            <w:r>
              <w:rPr>
                <w:rFonts w:hint="default"/>
                <w:color w:val="auto"/>
                <w:kern w:val="0"/>
                <w:sz w:val="18"/>
                <w:szCs w:val="18"/>
                <w:highlight w:val="none"/>
                <w:lang w:val="en-US" w:eastAsia="zh-CN" w:bidi="ar"/>
              </w:rPr>
              <w:t>3</w:t>
            </w:r>
          </w:p>
        </w:tc>
        <w:tc>
          <w:tcPr>
            <w:tcW w:w="451" w:type="pct"/>
            <w:tcBorders>
              <w:tl2br w:val="nil"/>
              <w:tr2bl w:val="nil"/>
            </w:tcBorders>
            <w:noWrap/>
            <w:vAlign w:val="center"/>
          </w:tcPr>
          <w:p w14:paraId="401A560E">
            <w:pPr>
              <w:widowControl/>
              <w:jc w:val="center"/>
              <w:textAlignment w:val="center"/>
              <w:rPr>
                <w:color w:val="auto"/>
                <w:sz w:val="18"/>
                <w:szCs w:val="18"/>
                <w:highlight w:val="none"/>
              </w:rPr>
            </w:pPr>
            <w:r>
              <w:rPr>
                <w:color w:val="auto"/>
                <w:kern w:val="0"/>
                <w:sz w:val="18"/>
                <w:szCs w:val="18"/>
                <w:highlight w:val="none"/>
                <w:lang w:bidi="ar"/>
              </w:rPr>
              <w:t>/</w:t>
            </w:r>
          </w:p>
        </w:tc>
        <w:tc>
          <w:tcPr>
            <w:tcW w:w="828" w:type="pct"/>
            <w:tcBorders>
              <w:tl2br w:val="nil"/>
              <w:tr2bl w:val="nil"/>
            </w:tcBorders>
            <w:noWrap/>
            <w:vAlign w:val="center"/>
          </w:tcPr>
          <w:p w14:paraId="134D102F">
            <w:pPr>
              <w:widowControl/>
              <w:jc w:val="center"/>
              <w:textAlignment w:val="center"/>
              <w:rPr>
                <w:color w:val="auto"/>
                <w:sz w:val="18"/>
                <w:szCs w:val="18"/>
                <w:highlight w:val="none"/>
              </w:rPr>
            </w:pPr>
            <w:r>
              <w:rPr>
                <w:rFonts w:hint="default" w:ascii="Times New Roman" w:hAnsi="Times New Roman" w:cs="Times New Roman"/>
                <w:color w:val="auto"/>
                <w:kern w:val="0"/>
                <w:sz w:val="18"/>
                <w:szCs w:val="18"/>
                <w:highlight w:val="none"/>
                <w:lang w:bidi="ar"/>
              </w:rPr>
              <w:t>设备运行</w:t>
            </w:r>
          </w:p>
        </w:tc>
        <w:tc>
          <w:tcPr>
            <w:tcW w:w="820" w:type="pct"/>
            <w:tcBorders>
              <w:tl2br w:val="nil"/>
              <w:tr2bl w:val="nil"/>
            </w:tcBorders>
            <w:noWrap/>
            <w:vAlign w:val="center"/>
          </w:tcPr>
          <w:p w14:paraId="4D272932">
            <w:pPr>
              <w:widowControl/>
              <w:jc w:val="center"/>
              <w:textAlignment w:val="center"/>
              <w:rPr>
                <w:color w:val="auto"/>
                <w:sz w:val="18"/>
                <w:szCs w:val="18"/>
                <w:highlight w:val="none"/>
              </w:rPr>
            </w:pPr>
            <w:r>
              <w:rPr>
                <w:rFonts w:hint="default" w:ascii="Times New Roman" w:hAnsi="Times New Roman" w:cs="Times New Roman"/>
                <w:color w:val="auto"/>
                <w:kern w:val="0"/>
                <w:sz w:val="18"/>
                <w:szCs w:val="18"/>
                <w:highlight w:val="none"/>
                <w:lang w:bidi="ar"/>
              </w:rPr>
              <w:t>设备废滤料</w:t>
            </w:r>
          </w:p>
        </w:tc>
        <w:tc>
          <w:tcPr>
            <w:tcW w:w="370" w:type="pct"/>
            <w:tcBorders>
              <w:tl2br w:val="nil"/>
              <w:tr2bl w:val="nil"/>
            </w:tcBorders>
            <w:vAlign w:val="center"/>
          </w:tcPr>
          <w:p w14:paraId="33F255A7">
            <w:pPr>
              <w:widowControl/>
              <w:jc w:val="center"/>
              <w:textAlignment w:val="center"/>
              <w:rPr>
                <w:color w:val="auto"/>
                <w:sz w:val="18"/>
                <w:szCs w:val="18"/>
                <w:highlight w:val="none"/>
              </w:rPr>
            </w:pPr>
            <w:r>
              <w:rPr>
                <w:rFonts w:hint="default" w:ascii="Times New Roman" w:hAnsi="Times New Roman" w:cs="Times New Roman"/>
                <w:color w:val="auto"/>
                <w:kern w:val="0"/>
                <w:sz w:val="18"/>
                <w:szCs w:val="18"/>
                <w:highlight w:val="none"/>
                <w:lang w:bidi="ar"/>
              </w:rPr>
              <w:t>固</w:t>
            </w:r>
          </w:p>
        </w:tc>
        <w:tc>
          <w:tcPr>
            <w:tcW w:w="1079" w:type="pct"/>
            <w:tcBorders>
              <w:tl2br w:val="nil"/>
              <w:tr2bl w:val="nil"/>
            </w:tcBorders>
            <w:noWrap/>
            <w:vAlign w:val="center"/>
          </w:tcPr>
          <w:p w14:paraId="67986A8F">
            <w:pPr>
              <w:widowControl/>
              <w:jc w:val="center"/>
              <w:textAlignment w:val="center"/>
              <w:rPr>
                <w:color w:val="auto"/>
                <w:sz w:val="18"/>
                <w:szCs w:val="18"/>
                <w:highlight w:val="none"/>
              </w:rPr>
            </w:pPr>
            <w:r>
              <w:rPr>
                <w:rFonts w:hint="default" w:ascii="Times New Roman" w:hAnsi="Times New Roman" w:cs="Times New Roman"/>
                <w:color w:val="auto"/>
                <w:kern w:val="0"/>
                <w:sz w:val="18"/>
                <w:szCs w:val="18"/>
                <w:highlight w:val="none"/>
                <w:lang w:bidi="ar"/>
              </w:rPr>
              <w:t>废滤网、滤芯、碳分子筛</w:t>
            </w:r>
          </w:p>
        </w:tc>
        <w:tc>
          <w:tcPr>
            <w:tcW w:w="494" w:type="pct"/>
            <w:tcBorders>
              <w:tl2br w:val="nil"/>
              <w:tr2bl w:val="nil"/>
            </w:tcBorders>
            <w:noWrap/>
            <w:vAlign w:val="center"/>
          </w:tcPr>
          <w:p w14:paraId="6C81E444">
            <w:pPr>
              <w:widowControl/>
              <w:jc w:val="center"/>
              <w:textAlignment w:val="center"/>
              <w:rPr>
                <w:color w:val="auto"/>
                <w:sz w:val="18"/>
                <w:szCs w:val="18"/>
                <w:highlight w:val="none"/>
              </w:rPr>
            </w:pPr>
            <w:r>
              <w:rPr>
                <w:color w:val="auto"/>
                <w:kern w:val="0"/>
                <w:sz w:val="18"/>
                <w:szCs w:val="18"/>
                <w:highlight w:val="none"/>
                <w:lang w:bidi="ar"/>
              </w:rPr>
              <w:t>80</w:t>
            </w:r>
          </w:p>
        </w:tc>
        <w:tc>
          <w:tcPr>
            <w:tcW w:w="366" w:type="pct"/>
            <w:tcBorders>
              <w:tl2br w:val="nil"/>
              <w:tr2bl w:val="nil"/>
            </w:tcBorders>
            <w:vAlign w:val="center"/>
          </w:tcPr>
          <w:p w14:paraId="371065AF">
            <w:pPr>
              <w:widowControl/>
              <w:jc w:val="center"/>
              <w:textAlignment w:val="center"/>
              <w:rPr>
                <w:color w:val="auto"/>
                <w:sz w:val="18"/>
                <w:szCs w:val="18"/>
                <w:highlight w:val="none"/>
              </w:rPr>
            </w:pPr>
            <w:r>
              <w:rPr>
                <w:rFonts w:hint="default" w:ascii="Times New Roman" w:hAnsi="Times New Roman" w:cs="Times New Roman"/>
                <w:color w:val="auto"/>
                <w:kern w:val="0"/>
                <w:sz w:val="18"/>
                <w:szCs w:val="18"/>
                <w:highlight w:val="none"/>
                <w:lang w:bidi="ar"/>
              </w:rPr>
              <w:t>是</w:t>
            </w:r>
          </w:p>
        </w:tc>
        <w:tc>
          <w:tcPr>
            <w:tcW w:w="335" w:type="pct"/>
            <w:tcBorders>
              <w:tl2br w:val="nil"/>
              <w:tr2bl w:val="nil"/>
            </w:tcBorders>
            <w:vAlign w:val="center"/>
          </w:tcPr>
          <w:p w14:paraId="1177E5D1">
            <w:pPr>
              <w:widowControl/>
              <w:jc w:val="center"/>
              <w:textAlignment w:val="center"/>
              <w:rPr>
                <w:color w:val="auto"/>
                <w:sz w:val="18"/>
                <w:szCs w:val="18"/>
                <w:highlight w:val="none"/>
              </w:rPr>
            </w:pPr>
            <w:r>
              <w:rPr>
                <w:color w:val="auto"/>
                <w:kern w:val="0"/>
                <w:sz w:val="18"/>
                <w:szCs w:val="18"/>
                <w:highlight w:val="none"/>
                <w:lang w:bidi="ar"/>
              </w:rPr>
              <w:t>4.1 g</w:t>
            </w:r>
            <w:r>
              <w:rPr>
                <w:rFonts w:hint="default" w:ascii="Times New Roman" w:hAnsi="Times New Roman" w:cs="Times New Roman"/>
                <w:color w:val="auto"/>
                <w:kern w:val="0"/>
                <w:sz w:val="18"/>
                <w:szCs w:val="18"/>
                <w:highlight w:val="none"/>
                <w:lang w:bidi="ar"/>
              </w:rPr>
              <w:t>)</w:t>
            </w:r>
          </w:p>
        </w:tc>
      </w:tr>
      <w:tr w14:paraId="4A332A9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253" w:type="pct"/>
            <w:tcBorders>
              <w:tl2br w:val="nil"/>
              <w:tr2bl w:val="nil"/>
            </w:tcBorders>
            <w:shd w:val="clear" w:color="auto" w:fill="auto"/>
            <w:vAlign w:val="center"/>
          </w:tcPr>
          <w:p w14:paraId="2CD7AFFB">
            <w:pPr>
              <w:widowControl/>
              <w:jc w:val="center"/>
              <w:textAlignment w:val="center"/>
              <w:rPr>
                <w:rFonts w:hint="default" w:ascii="Times New Roman" w:hAnsi="Times New Roman" w:eastAsia="宋体" w:cs="Times New Roman"/>
                <w:color w:val="auto"/>
                <w:kern w:val="2"/>
                <w:sz w:val="18"/>
                <w:szCs w:val="18"/>
                <w:highlight w:val="none"/>
                <w:lang w:val="en-US" w:eastAsia="zh-CN" w:bidi="ar-SA"/>
              </w:rPr>
            </w:pPr>
            <w:r>
              <w:rPr>
                <w:color w:val="auto"/>
                <w:kern w:val="0"/>
                <w:sz w:val="18"/>
                <w:szCs w:val="18"/>
                <w:highlight w:val="none"/>
                <w:lang w:bidi="ar"/>
              </w:rPr>
              <w:t>S1</w:t>
            </w:r>
            <w:r>
              <w:rPr>
                <w:rFonts w:hint="default"/>
                <w:color w:val="auto"/>
                <w:kern w:val="0"/>
                <w:sz w:val="18"/>
                <w:szCs w:val="18"/>
                <w:highlight w:val="none"/>
                <w:lang w:val="en-US" w:eastAsia="zh-CN" w:bidi="ar"/>
              </w:rPr>
              <w:t>4</w:t>
            </w:r>
          </w:p>
        </w:tc>
        <w:tc>
          <w:tcPr>
            <w:tcW w:w="451" w:type="pct"/>
            <w:tcBorders>
              <w:tl2br w:val="nil"/>
              <w:tr2bl w:val="nil"/>
            </w:tcBorders>
            <w:noWrap/>
            <w:vAlign w:val="center"/>
          </w:tcPr>
          <w:p w14:paraId="5F3A7246">
            <w:pPr>
              <w:widowControl/>
              <w:jc w:val="center"/>
              <w:textAlignment w:val="center"/>
              <w:rPr>
                <w:color w:val="auto"/>
                <w:sz w:val="18"/>
                <w:szCs w:val="18"/>
                <w:highlight w:val="none"/>
              </w:rPr>
            </w:pPr>
            <w:r>
              <w:rPr>
                <w:color w:val="auto"/>
                <w:kern w:val="0"/>
                <w:sz w:val="18"/>
                <w:szCs w:val="18"/>
                <w:highlight w:val="none"/>
                <w:lang w:bidi="ar"/>
              </w:rPr>
              <w:t>/</w:t>
            </w:r>
          </w:p>
        </w:tc>
        <w:tc>
          <w:tcPr>
            <w:tcW w:w="828" w:type="pct"/>
            <w:tcBorders>
              <w:tl2br w:val="nil"/>
              <w:tr2bl w:val="nil"/>
            </w:tcBorders>
            <w:noWrap/>
            <w:vAlign w:val="center"/>
          </w:tcPr>
          <w:p w14:paraId="41ABB010">
            <w:pPr>
              <w:widowControl/>
              <w:jc w:val="center"/>
              <w:textAlignment w:val="center"/>
              <w:rPr>
                <w:color w:val="auto"/>
                <w:sz w:val="18"/>
                <w:szCs w:val="18"/>
                <w:highlight w:val="none"/>
              </w:rPr>
            </w:pPr>
            <w:r>
              <w:rPr>
                <w:rFonts w:hint="default" w:ascii="Times New Roman" w:hAnsi="Times New Roman" w:cs="Times New Roman"/>
                <w:color w:val="auto"/>
                <w:kern w:val="0"/>
                <w:sz w:val="18"/>
                <w:szCs w:val="18"/>
                <w:highlight w:val="none"/>
                <w:lang w:bidi="ar"/>
              </w:rPr>
              <w:t>设备运行</w:t>
            </w:r>
          </w:p>
        </w:tc>
        <w:tc>
          <w:tcPr>
            <w:tcW w:w="820" w:type="pct"/>
            <w:tcBorders>
              <w:tl2br w:val="nil"/>
              <w:tr2bl w:val="nil"/>
            </w:tcBorders>
            <w:noWrap/>
            <w:vAlign w:val="center"/>
          </w:tcPr>
          <w:p w14:paraId="7FD5454E">
            <w:pPr>
              <w:widowControl/>
              <w:jc w:val="center"/>
              <w:textAlignment w:val="center"/>
              <w:rPr>
                <w:color w:val="auto"/>
                <w:sz w:val="18"/>
                <w:szCs w:val="18"/>
                <w:highlight w:val="none"/>
              </w:rPr>
            </w:pPr>
            <w:r>
              <w:rPr>
                <w:rFonts w:hint="default" w:ascii="Times New Roman" w:hAnsi="Times New Roman" w:cs="Times New Roman"/>
                <w:color w:val="auto"/>
                <w:kern w:val="0"/>
                <w:sz w:val="18"/>
                <w:szCs w:val="18"/>
                <w:highlight w:val="none"/>
                <w:lang w:bidi="ar"/>
              </w:rPr>
              <w:t>废布袋</w:t>
            </w:r>
          </w:p>
        </w:tc>
        <w:tc>
          <w:tcPr>
            <w:tcW w:w="370" w:type="pct"/>
            <w:tcBorders>
              <w:tl2br w:val="nil"/>
              <w:tr2bl w:val="nil"/>
            </w:tcBorders>
            <w:vAlign w:val="center"/>
          </w:tcPr>
          <w:p w14:paraId="58260D47">
            <w:pPr>
              <w:widowControl/>
              <w:jc w:val="center"/>
              <w:textAlignment w:val="center"/>
              <w:rPr>
                <w:color w:val="auto"/>
                <w:sz w:val="18"/>
                <w:szCs w:val="18"/>
                <w:highlight w:val="none"/>
              </w:rPr>
            </w:pPr>
            <w:r>
              <w:rPr>
                <w:rFonts w:hint="default" w:ascii="Times New Roman" w:hAnsi="Times New Roman" w:cs="Times New Roman"/>
                <w:color w:val="auto"/>
                <w:kern w:val="0"/>
                <w:sz w:val="18"/>
                <w:szCs w:val="18"/>
                <w:highlight w:val="none"/>
                <w:lang w:bidi="ar"/>
              </w:rPr>
              <w:t>固</w:t>
            </w:r>
          </w:p>
        </w:tc>
        <w:tc>
          <w:tcPr>
            <w:tcW w:w="1079" w:type="pct"/>
            <w:tcBorders>
              <w:tl2br w:val="nil"/>
              <w:tr2bl w:val="nil"/>
            </w:tcBorders>
            <w:noWrap/>
            <w:vAlign w:val="center"/>
          </w:tcPr>
          <w:p w14:paraId="3F0F9DE3">
            <w:pPr>
              <w:widowControl/>
              <w:jc w:val="center"/>
              <w:textAlignment w:val="center"/>
              <w:rPr>
                <w:color w:val="auto"/>
                <w:sz w:val="18"/>
                <w:szCs w:val="18"/>
                <w:highlight w:val="none"/>
              </w:rPr>
            </w:pPr>
            <w:r>
              <w:rPr>
                <w:rFonts w:hint="default" w:ascii="Times New Roman" w:hAnsi="Times New Roman" w:cs="Times New Roman"/>
                <w:color w:val="auto"/>
                <w:kern w:val="0"/>
                <w:sz w:val="18"/>
                <w:szCs w:val="18"/>
                <w:highlight w:val="none"/>
                <w:lang w:bidi="ar"/>
              </w:rPr>
              <w:t>废布袋</w:t>
            </w:r>
          </w:p>
        </w:tc>
        <w:tc>
          <w:tcPr>
            <w:tcW w:w="494" w:type="pct"/>
            <w:tcBorders>
              <w:tl2br w:val="nil"/>
              <w:tr2bl w:val="nil"/>
            </w:tcBorders>
            <w:noWrap/>
            <w:vAlign w:val="center"/>
          </w:tcPr>
          <w:p w14:paraId="7E1AAA9A">
            <w:pPr>
              <w:widowControl/>
              <w:jc w:val="center"/>
              <w:textAlignment w:val="center"/>
              <w:rPr>
                <w:color w:val="auto"/>
                <w:sz w:val="18"/>
                <w:szCs w:val="18"/>
                <w:highlight w:val="none"/>
              </w:rPr>
            </w:pPr>
            <w:r>
              <w:rPr>
                <w:color w:val="auto"/>
                <w:kern w:val="0"/>
                <w:sz w:val="18"/>
                <w:szCs w:val="18"/>
                <w:highlight w:val="none"/>
                <w:lang w:bidi="ar"/>
              </w:rPr>
              <w:t>15</w:t>
            </w:r>
          </w:p>
        </w:tc>
        <w:tc>
          <w:tcPr>
            <w:tcW w:w="366" w:type="pct"/>
            <w:tcBorders>
              <w:tl2br w:val="nil"/>
              <w:tr2bl w:val="nil"/>
            </w:tcBorders>
            <w:vAlign w:val="center"/>
          </w:tcPr>
          <w:p w14:paraId="03160074">
            <w:pPr>
              <w:widowControl/>
              <w:jc w:val="center"/>
              <w:textAlignment w:val="center"/>
              <w:rPr>
                <w:color w:val="auto"/>
                <w:sz w:val="18"/>
                <w:szCs w:val="18"/>
                <w:highlight w:val="none"/>
              </w:rPr>
            </w:pPr>
            <w:r>
              <w:rPr>
                <w:rFonts w:hint="default" w:ascii="Times New Roman" w:hAnsi="Times New Roman" w:cs="Times New Roman"/>
                <w:color w:val="auto"/>
                <w:kern w:val="0"/>
                <w:sz w:val="18"/>
                <w:szCs w:val="18"/>
                <w:highlight w:val="none"/>
                <w:lang w:bidi="ar"/>
              </w:rPr>
              <w:t>是</w:t>
            </w:r>
          </w:p>
        </w:tc>
        <w:tc>
          <w:tcPr>
            <w:tcW w:w="335" w:type="pct"/>
            <w:tcBorders>
              <w:tl2br w:val="nil"/>
              <w:tr2bl w:val="nil"/>
            </w:tcBorders>
            <w:vAlign w:val="center"/>
          </w:tcPr>
          <w:p w14:paraId="71234C83">
            <w:pPr>
              <w:widowControl/>
              <w:jc w:val="center"/>
              <w:textAlignment w:val="center"/>
              <w:rPr>
                <w:color w:val="auto"/>
                <w:sz w:val="18"/>
                <w:szCs w:val="18"/>
                <w:highlight w:val="none"/>
              </w:rPr>
            </w:pPr>
            <w:r>
              <w:rPr>
                <w:color w:val="auto"/>
                <w:kern w:val="0"/>
                <w:sz w:val="18"/>
                <w:szCs w:val="18"/>
                <w:highlight w:val="none"/>
                <w:lang w:bidi="ar"/>
              </w:rPr>
              <w:t>4.1 g</w:t>
            </w:r>
            <w:r>
              <w:rPr>
                <w:rFonts w:hint="default" w:ascii="Times New Roman" w:hAnsi="Times New Roman" w:cs="Times New Roman"/>
                <w:color w:val="auto"/>
                <w:kern w:val="0"/>
                <w:sz w:val="18"/>
                <w:szCs w:val="18"/>
                <w:highlight w:val="none"/>
                <w:lang w:bidi="ar"/>
              </w:rPr>
              <w:t>)</w:t>
            </w:r>
          </w:p>
        </w:tc>
      </w:tr>
      <w:tr w14:paraId="6BB056E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253" w:type="pct"/>
            <w:tcBorders>
              <w:tl2br w:val="nil"/>
              <w:tr2bl w:val="nil"/>
            </w:tcBorders>
            <w:vAlign w:val="center"/>
          </w:tcPr>
          <w:p w14:paraId="6AF023CF">
            <w:pPr>
              <w:widowControl/>
              <w:jc w:val="center"/>
              <w:textAlignment w:val="center"/>
              <w:rPr>
                <w:rFonts w:hint="default" w:eastAsia="宋体"/>
                <w:color w:val="auto"/>
                <w:sz w:val="18"/>
                <w:szCs w:val="18"/>
                <w:highlight w:val="none"/>
                <w:lang w:val="en-US" w:eastAsia="zh-CN"/>
              </w:rPr>
            </w:pPr>
            <w:r>
              <w:rPr>
                <w:rFonts w:hint="default"/>
                <w:color w:val="auto"/>
                <w:sz w:val="18"/>
                <w:szCs w:val="18"/>
                <w:highlight w:val="none"/>
                <w:lang w:val="en-US" w:eastAsia="zh-CN"/>
              </w:rPr>
              <w:t>S15</w:t>
            </w:r>
          </w:p>
        </w:tc>
        <w:tc>
          <w:tcPr>
            <w:tcW w:w="451" w:type="pct"/>
            <w:tcBorders>
              <w:tl2br w:val="nil"/>
              <w:tr2bl w:val="nil"/>
            </w:tcBorders>
            <w:noWrap/>
            <w:vAlign w:val="center"/>
          </w:tcPr>
          <w:p w14:paraId="74290281">
            <w:pPr>
              <w:widowControl/>
              <w:jc w:val="center"/>
              <w:textAlignment w:val="center"/>
              <w:rPr>
                <w:color w:val="auto"/>
                <w:sz w:val="18"/>
                <w:szCs w:val="18"/>
                <w:highlight w:val="none"/>
              </w:rPr>
            </w:pPr>
            <w:r>
              <w:rPr>
                <w:color w:val="auto"/>
                <w:kern w:val="0"/>
                <w:sz w:val="18"/>
                <w:szCs w:val="18"/>
                <w:highlight w:val="none"/>
                <w:lang w:bidi="ar"/>
              </w:rPr>
              <w:t>/</w:t>
            </w:r>
          </w:p>
        </w:tc>
        <w:tc>
          <w:tcPr>
            <w:tcW w:w="828" w:type="pct"/>
            <w:tcBorders>
              <w:tl2br w:val="nil"/>
              <w:tr2bl w:val="nil"/>
            </w:tcBorders>
            <w:noWrap/>
            <w:vAlign w:val="center"/>
          </w:tcPr>
          <w:p w14:paraId="70A744AA">
            <w:pPr>
              <w:widowControl/>
              <w:jc w:val="center"/>
              <w:textAlignment w:val="center"/>
              <w:rPr>
                <w:color w:val="auto"/>
                <w:sz w:val="18"/>
                <w:szCs w:val="18"/>
                <w:highlight w:val="none"/>
              </w:rPr>
            </w:pPr>
            <w:r>
              <w:rPr>
                <w:rFonts w:hint="default" w:ascii="Times New Roman" w:hAnsi="Times New Roman" w:cs="Times New Roman"/>
                <w:color w:val="auto"/>
                <w:kern w:val="0"/>
                <w:sz w:val="18"/>
                <w:szCs w:val="18"/>
                <w:highlight w:val="none"/>
                <w:lang w:bidi="ar"/>
              </w:rPr>
              <w:t>员工生活</w:t>
            </w:r>
          </w:p>
        </w:tc>
        <w:tc>
          <w:tcPr>
            <w:tcW w:w="820" w:type="pct"/>
            <w:tcBorders>
              <w:tl2br w:val="nil"/>
              <w:tr2bl w:val="nil"/>
            </w:tcBorders>
            <w:noWrap/>
            <w:vAlign w:val="center"/>
          </w:tcPr>
          <w:p w14:paraId="52377E2E">
            <w:pPr>
              <w:widowControl/>
              <w:jc w:val="center"/>
              <w:textAlignment w:val="center"/>
              <w:rPr>
                <w:color w:val="auto"/>
                <w:sz w:val="18"/>
                <w:szCs w:val="18"/>
                <w:highlight w:val="none"/>
              </w:rPr>
            </w:pPr>
            <w:r>
              <w:rPr>
                <w:rFonts w:hint="default" w:ascii="Times New Roman" w:hAnsi="Times New Roman" w:cs="Times New Roman"/>
                <w:color w:val="auto"/>
                <w:kern w:val="0"/>
                <w:sz w:val="18"/>
                <w:szCs w:val="18"/>
                <w:highlight w:val="none"/>
                <w:lang w:bidi="ar"/>
              </w:rPr>
              <w:t>生活垃圾</w:t>
            </w:r>
          </w:p>
        </w:tc>
        <w:tc>
          <w:tcPr>
            <w:tcW w:w="370" w:type="pct"/>
            <w:tcBorders>
              <w:tl2br w:val="nil"/>
              <w:tr2bl w:val="nil"/>
            </w:tcBorders>
            <w:vAlign w:val="center"/>
          </w:tcPr>
          <w:p w14:paraId="612679E7">
            <w:pPr>
              <w:widowControl/>
              <w:jc w:val="center"/>
              <w:textAlignment w:val="center"/>
              <w:rPr>
                <w:color w:val="auto"/>
                <w:sz w:val="18"/>
                <w:szCs w:val="18"/>
                <w:highlight w:val="none"/>
              </w:rPr>
            </w:pPr>
            <w:r>
              <w:rPr>
                <w:rFonts w:hint="default" w:ascii="Times New Roman" w:hAnsi="Times New Roman" w:cs="Times New Roman"/>
                <w:color w:val="auto"/>
                <w:kern w:val="0"/>
                <w:sz w:val="18"/>
                <w:szCs w:val="18"/>
                <w:highlight w:val="none"/>
                <w:lang w:bidi="ar"/>
              </w:rPr>
              <w:t>固</w:t>
            </w:r>
          </w:p>
        </w:tc>
        <w:tc>
          <w:tcPr>
            <w:tcW w:w="1079" w:type="pct"/>
            <w:tcBorders>
              <w:tl2br w:val="nil"/>
              <w:tr2bl w:val="nil"/>
            </w:tcBorders>
            <w:noWrap/>
            <w:vAlign w:val="center"/>
          </w:tcPr>
          <w:p w14:paraId="22A9EE99">
            <w:pPr>
              <w:widowControl/>
              <w:jc w:val="center"/>
              <w:textAlignment w:val="center"/>
              <w:rPr>
                <w:color w:val="auto"/>
                <w:sz w:val="18"/>
                <w:szCs w:val="18"/>
                <w:highlight w:val="none"/>
              </w:rPr>
            </w:pPr>
            <w:r>
              <w:rPr>
                <w:rFonts w:hint="default" w:ascii="Times New Roman" w:hAnsi="Times New Roman" w:cs="Times New Roman"/>
                <w:color w:val="auto"/>
                <w:kern w:val="0"/>
                <w:sz w:val="18"/>
                <w:szCs w:val="18"/>
                <w:highlight w:val="none"/>
                <w:lang w:bidi="ar"/>
              </w:rPr>
              <w:t>生活垃圾</w:t>
            </w:r>
          </w:p>
        </w:tc>
        <w:tc>
          <w:tcPr>
            <w:tcW w:w="494" w:type="pct"/>
            <w:tcBorders>
              <w:tl2br w:val="nil"/>
              <w:tr2bl w:val="nil"/>
            </w:tcBorders>
            <w:noWrap/>
            <w:vAlign w:val="center"/>
          </w:tcPr>
          <w:p w14:paraId="6FE8CA5F">
            <w:pPr>
              <w:widowControl/>
              <w:jc w:val="center"/>
              <w:textAlignment w:val="center"/>
              <w:rPr>
                <w:color w:val="auto"/>
                <w:sz w:val="18"/>
                <w:szCs w:val="18"/>
                <w:highlight w:val="none"/>
              </w:rPr>
            </w:pPr>
            <w:r>
              <w:rPr>
                <w:color w:val="auto"/>
                <w:kern w:val="0"/>
                <w:sz w:val="18"/>
                <w:szCs w:val="18"/>
                <w:highlight w:val="none"/>
                <w:lang w:bidi="ar"/>
              </w:rPr>
              <w:t>1612</w:t>
            </w:r>
          </w:p>
        </w:tc>
        <w:tc>
          <w:tcPr>
            <w:tcW w:w="366" w:type="pct"/>
            <w:tcBorders>
              <w:tl2br w:val="nil"/>
              <w:tr2bl w:val="nil"/>
            </w:tcBorders>
            <w:vAlign w:val="center"/>
          </w:tcPr>
          <w:p w14:paraId="3F5780B5">
            <w:pPr>
              <w:widowControl/>
              <w:jc w:val="center"/>
              <w:textAlignment w:val="center"/>
              <w:rPr>
                <w:color w:val="auto"/>
                <w:sz w:val="18"/>
                <w:szCs w:val="18"/>
                <w:highlight w:val="none"/>
              </w:rPr>
            </w:pPr>
            <w:r>
              <w:rPr>
                <w:rFonts w:hint="default" w:ascii="Times New Roman" w:hAnsi="Times New Roman" w:cs="Times New Roman"/>
                <w:color w:val="auto"/>
                <w:kern w:val="0"/>
                <w:sz w:val="18"/>
                <w:szCs w:val="18"/>
                <w:highlight w:val="none"/>
                <w:lang w:bidi="ar"/>
              </w:rPr>
              <w:t>是</w:t>
            </w:r>
          </w:p>
        </w:tc>
        <w:tc>
          <w:tcPr>
            <w:tcW w:w="335" w:type="pct"/>
            <w:tcBorders>
              <w:tl2br w:val="nil"/>
              <w:tr2bl w:val="nil"/>
            </w:tcBorders>
            <w:noWrap/>
            <w:vAlign w:val="center"/>
          </w:tcPr>
          <w:p w14:paraId="468D0A36">
            <w:pPr>
              <w:widowControl/>
              <w:jc w:val="center"/>
              <w:textAlignment w:val="center"/>
              <w:rPr>
                <w:color w:val="auto"/>
                <w:sz w:val="18"/>
                <w:szCs w:val="18"/>
                <w:highlight w:val="none"/>
              </w:rPr>
            </w:pPr>
            <w:r>
              <w:rPr>
                <w:color w:val="auto"/>
                <w:kern w:val="0"/>
                <w:sz w:val="18"/>
                <w:szCs w:val="18"/>
                <w:highlight w:val="none"/>
                <w:lang w:bidi="ar"/>
              </w:rPr>
              <w:t>4.1 a)</w:t>
            </w:r>
          </w:p>
        </w:tc>
      </w:tr>
    </w:tbl>
    <w:p w14:paraId="053D3530">
      <w:pPr>
        <w:spacing w:line="360" w:lineRule="auto"/>
        <w:rPr>
          <w:b/>
          <w:bCs/>
          <w:color w:val="auto"/>
          <w:highlight w:val="none"/>
        </w:rPr>
      </w:pPr>
      <w:r>
        <w:rPr>
          <w:rFonts w:hint="default"/>
          <w:b/>
          <w:bCs/>
          <w:color w:val="auto"/>
          <w:highlight w:val="none"/>
        </w:rPr>
        <w:t>3、固废属性判定</w:t>
      </w:r>
    </w:p>
    <w:p w14:paraId="686A4D8C">
      <w:pPr>
        <w:spacing w:line="360" w:lineRule="auto"/>
        <w:ind w:firstLine="482"/>
        <w:rPr>
          <w:color w:val="auto"/>
          <w:szCs w:val="21"/>
          <w:highlight w:val="none"/>
        </w:rPr>
      </w:pPr>
      <w:r>
        <w:rPr>
          <w:rFonts w:hint="default"/>
          <w:color w:val="auto"/>
          <w:szCs w:val="21"/>
          <w:highlight w:val="none"/>
        </w:rPr>
        <w:t>根据《国家危险废物名录（2025年版）》、《危险废物鉴别标准》（GB5085.7-20</w:t>
      </w:r>
      <w:r>
        <w:rPr>
          <w:rFonts w:hint="default"/>
          <w:color w:val="auto"/>
          <w:szCs w:val="21"/>
          <w:highlight w:val="none"/>
          <w:lang w:val="en-US" w:eastAsia="zh-CN"/>
        </w:rPr>
        <w:t>19</w:t>
      </w:r>
      <w:r>
        <w:rPr>
          <w:rFonts w:hint="default"/>
          <w:color w:val="auto"/>
          <w:szCs w:val="21"/>
          <w:highlight w:val="none"/>
        </w:rPr>
        <w:t>）和《建设项目危险废物环境影响评价指南》（公告2017年第43号）、《固体废物分类与代码目录》(公告2024年第4号)中的相关规定，判定结果见表</w:t>
      </w:r>
      <w:r>
        <w:rPr>
          <w:rFonts w:hint="default"/>
          <w:color w:val="auto"/>
          <w:szCs w:val="21"/>
          <w:highlight w:val="none"/>
          <w:lang w:val="en-US" w:eastAsia="zh-CN"/>
        </w:rPr>
        <w:t>4-1</w:t>
      </w:r>
      <w:r>
        <w:rPr>
          <w:rFonts w:hint="eastAsia"/>
          <w:color w:val="auto"/>
          <w:szCs w:val="21"/>
          <w:highlight w:val="none"/>
          <w:lang w:val="en-US" w:eastAsia="zh-CN"/>
        </w:rPr>
        <w:t>7</w:t>
      </w:r>
      <w:r>
        <w:rPr>
          <w:rFonts w:hint="default"/>
          <w:color w:val="auto"/>
          <w:szCs w:val="21"/>
          <w:highlight w:val="none"/>
        </w:rPr>
        <w:t>：</w:t>
      </w:r>
    </w:p>
    <w:p w14:paraId="1E49F6ED">
      <w:pPr>
        <w:numPr>
          <w:ilvl w:val="0"/>
          <w:numId w:val="8"/>
        </w:numPr>
        <w:spacing w:line="360" w:lineRule="auto"/>
        <w:jc w:val="center"/>
        <w:rPr>
          <w:rFonts w:hint="default" w:ascii="Times New Roman" w:hAnsi="Times New Roman" w:eastAsia="黑体" w:cs="Times New Roman"/>
          <w:b w:val="0"/>
          <w:bCs w:val="0"/>
          <w:color w:val="auto"/>
          <w:spacing w:val="-10"/>
          <w:szCs w:val="21"/>
          <w:highlight w:val="none"/>
        </w:rPr>
      </w:pPr>
      <w:r>
        <w:rPr>
          <w:rFonts w:hint="default" w:ascii="Times New Roman" w:hAnsi="Times New Roman" w:eastAsia="黑体" w:cs="Times New Roman"/>
          <w:b w:val="0"/>
          <w:bCs w:val="0"/>
          <w:color w:val="auto"/>
          <w:spacing w:val="-10"/>
          <w:szCs w:val="21"/>
          <w:highlight w:val="none"/>
          <w:lang w:val="en-US" w:eastAsia="zh-CN"/>
        </w:rPr>
        <w:t xml:space="preserve"> </w:t>
      </w:r>
      <w:r>
        <w:rPr>
          <w:rFonts w:hint="default" w:ascii="Times New Roman" w:hAnsi="Times New Roman" w:eastAsia="黑体" w:cs="Times New Roman"/>
          <w:b w:val="0"/>
          <w:bCs w:val="0"/>
          <w:color w:val="auto"/>
          <w:spacing w:val="-10"/>
          <w:szCs w:val="21"/>
          <w:highlight w:val="none"/>
        </w:rPr>
        <w:t>项目固废属性判定</w:t>
      </w:r>
      <w:r>
        <w:rPr>
          <w:rFonts w:hint="default" w:ascii="Times New Roman" w:hAnsi="Times New Roman" w:eastAsia="黑体" w:cs="Times New Roman"/>
          <w:b w:val="0"/>
          <w:bCs w:val="0"/>
          <w:color w:val="auto"/>
          <w:spacing w:val="-10"/>
          <w:szCs w:val="21"/>
          <w:highlight w:val="none"/>
          <w:lang w:val="en-US" w:eastAsia="zh-CN"/>
        </w:rPr>
        <w:t>情况一览</w:t>
      </w:r>
      <w:r>
        <w:rPr>
          <w:rFonts w:hint="default" w:ascii="Times New Roman" w:hAnsi="Times New Roman" w:eastAsia="黑体" w:cs="Times New Roman"/>
          <w:b w:val="0"/>
          <w:bCs w:val="0"/>
          <w:color w:val="auto"/>
          <w:spacing w:val="-10"/>
          <w:szCs w:val="21"/>
          <w:highlight w:val="none"/>
        </w:rPr>
        <w:t>表</w:t>
      </w:r>
    </w:p>
    <w:tbl>
      <w:tblPr>
        <w:tblStyle w:val="24"/>
        <w:tblW w:w="4998" w:type="pct"/>
        <w:tblInd w:w="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autofit"/>
        <w:tblCellMar>
          <w:top w:w="0" w:type="dxa"/>
          <w:left w:w="108" w:type="dxa"/>
          <w:bottom w:w="0" w:type="dxa"/>
          <w:right w:w="108" w:type="dxa"/>
        </w:tblCellMar>
      </w:tblPr>
      <w:tblGrid>
        <w:gridCol w:w="893"/>
        <w:gridCol w:w="1770"/>
        <w:gridCol w:w="2920"/>
        <w:gridCol w:w="2695"/>
        <w:gridCol w:w="1429"/>
        <w:gridCol w:w="2033"/>
        <w:gridCol w:w="1661"/>
      </w:tblGrid>
      <w:tr w14:paraId="5757D14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333" w:type="pct"/>
            <w:tcBorders>
              <w:tl2br w:val="nil"/>
              <w:tr2bl w:val="nil"/>
            </w:tcBorders>
            <w:vAlign w:val="center"/>
          </w:tcPr>
          <w:p w14:paraId="0110EF81">
            <w:pPr>
              <w:widowControl/>
              <w:jc w:val="center"/>
              <w:textAlignment w:val="center"/>
              <w:rPr>
                <w:color w:val="auto"/>
                <w:sz w:val="18"/>
                <w:szCs w:val="18"/>
                <w:highlight w:val="none"/>
              </w:rPr>
            </w:pPr>
            <w:r>
              <w:rPr>
                <w:color w:val="auto"/>
                <w:kern w:val="0"/>
                <w:sz w:val="18"/>
                <w:szCs w:val="18"/>
                <w:highlight w:val="none"/>
                <w:lang w:bidi="ar"/>
              </w:rPr>
              <w:t>序号</w:t>
            </w:r>
          </w:p>
        </w:tc>
        <w:tc>
          <w:tcPr>
            <w:tcW w:w="660" w:type="pct"/>
            <w:tcBorders>
              <w:tl2br w:val="nil"/>
              <w:tr2bl w:val="nil"/>
            </w:tcBorders>
            <w:vAlign w:val="center"/>
          </w:tcPr>
          <w:p w14:paraId="616F2458">
            <w:pPr>
              <w:widowControl/>
              <w:jc w:val="center"/>
              <w:textAlignment w:val="center"/>
              <w:rPr>
                <w:color w:val="auto"/>
                <w:sz w:val="18"/>
                <w:szCs w:val="18"/>
                <w:highlight w:val="none"/>
              </w:rPr>
            </w:pPr>
            <w:r>
              <w:rPr>
                <w:color w:val="auto"/>
                <w:kern w:val="0"/>
                <w:sz w:val="18"/>
                <w:szCs w:val="18"/>
                <w:highlight w:val="none"/>
                <w:lang w:bidi="ar"/>
              </w:rPr>
              <w:t>生产线</w:t>
            </w:r>
          </w:p>
        </w:tc>
        <w:tc>
          <w:tcPr>
            <w:tcW w:w="1089" w:type="pct"/>
            <w:tcBorders>
              <w:tl2br w:val="nil"/>
              <w:tr2bl w:val="nil"/>
            </w:tcBorders>
            <w:vAlign w:val="center"/>
          </w:tcPr>
          <w:p w14:paraId="4FEB55A3">
            <w:pPr>
              <w:widowControl/>
              <w:jc w:val="center"/>
              <w:textAlignment w:val="center"/>
              <w:rPr>
                <w:color w:val="auto"/>
                <w:sz w:val="18"/>
                <w:szCs w:val="18"/>
                <w:highlight w:val="none"/>
              </w:rPr>
            </w:pPr>
            <w:r>
              <w:rPr>
                <w:color w:val="auto"/>
                <w:kern w:val="0"/>
                <w:sz w:val="18"/>
                <w:szCs w:val="18"/>
                <w:highlight w:val="none"/>
                <w:lang w:bidi="ar"/>
              </w:rPr>
              <w:t>产生工序</w:t>
            </w:r>
          </w:p>
        </w:tc>
        <w:tc>
          <w:tcPr>
            <w:tcW w:w="1005" w:type="pct"/>
            <w:tcBorders>
              <w:tl2br w:val="nil"/>
              <w:tr2bl w:val="nil"/>
            </w:tcBorders>
            <w:vAlign w:val="center"/>
          </w:tcPr>
          <w:p w14:paraId="2272AF56">
            <w:pPr>
              <w:widowControl/>
              <w:jc w:val="center"/>
              <w:textAlignment w:val="center"/>
              <w:rPr>
                <w:color w:val="auto"/>
                <w:sz w:val="18"/>
                <w:szCs w:val="18"/>
                <w:highlight w:val="none"/>
              </w:rPr>
            </w:pPr>
            <w:r>
              <w:rPr>
                <w:color w:val="auto"/>
                <w:kern w:val="0"/>
                <w:sz w:val="18"/>
                <w:szCs w:val="18"/>
                <w:highlight w:val="none"/>
                <w:lang w:bidi="ar"/>
              </w:rPr>
              <w:t>名称</w:t>
            </w:r>
          </w:p>
        </w:tc>
        <w:tc>
          <w:tcPr>
            <w:tcW w:w="533" w:type="pct"/>
            <w:tcBorders>
              <w:tl2br w:val="nil"/>
              <w:tr2bl w:val="nil"/>
            </w:tcBorders>
            <w:vAlign w:val="center"/>
          </w:tcPr>
          <w:p w14:paraId="0A8D64FD">
            <w:pPr>
              <w:widowControl/>
              <w:jc w:val="center"/>
              <w:textAlignment w:val="center"/>
              <w:rPr>
                <w:color w:val="auto"/>
                <w:sz w:val="18"/>
                <w:szCs w:val="18"/>
                <w:highlight w:val="none"/>
              </w:rPr>
            </w:pPr>
            <w:r>
              <w:rPr>
                <w:color w:val="auto"/>
                <w:kern w:val="0"/>
                <w:sz w:val="18"/>
                <w:szCs w:val="18"/>
                <w:highlight w:val="none"/>
                <w:lang w:bidi="ar"/>
              </w:rPr>
              <w:t>是否属于危险废物</w:t>
            </w:r>
          </w:p>
        </w:tc>
        <w:tc>
          <w:tcPr>
            <w:tcW w:w="758" w:type="pct"/>
            <w:tcBorders>
              <w:tl2br w:val="nil"/>
              <w:tr2bl w:val="nil"/>
            </w:tcBorders>
            <w:vAlign w:val="center"/>
          </w:tcPr>
          <w:p w14:paraId="11589E81">
            <w:pPr>
              <w:widowControl/>
              <w:jc w:val="center"/>
              <w:textAlignment w:val="center"/>
              <w:rPr>
                <w:color w:val="auto"/>
                <w:sz w:val="18"/>
                <w:szCs w:val="18"/>
                <w:highlight w:val="none"/>
              </w:rPr>
            </w:pPr>
            <w:r>
              <w:rPr>
                <w:color w:val="auto"/>
                <w:kern w:val="0"/>
                <w:sz w:val="18"/>
                <w:szCs w:val="18"/>
                <w:highlight w:val="none"/>
                <w:lang w:bidi="ar"/>
              </w:rPr>
              <w:t>废物类别及代码</w:t>
            </w:r>
          </w:p>
        </w:tc>
        <w:tc>
          <w:tcPr>
            <w:tcW w:w="619" w:type="pct"/>
            <w:tcBorders>
              <w:tl2br w:val="nil"/>
              <w:tr2bl w:val="nil"/>
            </w:tcBorders>
            <w:vAlign w:val="center"/>
          </w:tcPr>
          <w:p w14:paraId="07438917">
            <w:pPr>
              <w:widowControl/>
              <w:jc w:val="center"/>
              <w:textAlignment w:val="center"/>
              <w:rPr>
                <w:color w:val="auto"/>
                <w:sz w:val="18"/>
                <w:szCs w:val="18"/>
                <w:highlight w:val="none"/>
              </w:rPr>
            </w:pPr>
            <w:r>
              <w:rPr>
                <w:color w:val="auto"/>
                <w:kern w:val="0"/>
                <w:sz w:val="18"/>
                <w:szCs w:val="18"/>
                <w:highlight w:val="none"/>
                <w:lang w:bidi="ar"/>
              </w:rPr>
              <w:t>危险特性</w:t>
            </w:r>
          </w:p>
        </w:tc>
      </w:tr>
      <w:tr w14:paraId="364930E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333" w:type="pct"/>
            <w:tcBorders>
              <w:tl2br w:val="nil"/>
              <w:tr2bl w:val="nil"/>
            </w:tcBorders>
            <w:vAlign w:val="center"/>
          </w:tcPr>
          <w:p w14:paraId="5A8126A8">
            <w:pPr>
              <w:widowControl/>
              <w:jc w:val="center"/>
              <w:textAlignment w:val="center"/>
              <w:rPr>
                <w:color w:val="auto"/>
                <w:sz w:val="18"/>
                <w:szCs w:val="18"/>
                <w:highlight w:val="none"/>
              </w:rPr>
            </w:pPr>
            <w:r>
              <w:rPr>
                <w:color w:val="auto"/>
                <w:kern w:val="0"/>
                <w:sz w:val="18"/>
                <w:szCs w:val="18"/>
                <w:highlight w:val="none"/>
                <w:lang w:bidi="ar"/>
              </w:rPr>
              <w:t>S1</w:t>
            </w:r>
          </w:p>
        </w:tc>
        <w:tc>
          <w:tcPr>
            <w:tcW w:w="660" w:type="pct"/>
            <w:vMerge w:val="restart"/>
            <w:tcBorders>
              <w:tl2br w:val="nil"/>
              <w:tr2bl w:val="nil"/>
            </w:tcBorders>
            <w:vAlign w:val="center"/>
          </w:tcPr>
          <w:p w14:paraId="0AECBFA0">
            <w:pPr>
              <w:widowControl/>
              <w:jc w:val="center"/>
              <w:textAlignment w:val="center"/>
              <w:rPr>
                <w:color w:val="auto"/>
                <w:sz w:val="18"/>
                <w:szCs w:val="18"/>
                <w:highlight w:val="none"/>
              </w:rPr>
            </w:pPr>
            <w:r>
              <w:rPr>
                <w:color w:val="auto"/>
                <w:kern w:val="0"/>
                <w:sz w:val="18"/>
                <w:szCs w:val="18"/>
                <w:highlight w:val="none"/>
                <w:lang w:bidi="ar"/>
              </w:rPr>
              <w:t>正极材料制备</w:t>
            </w:r>
          </w:p>
        </w:tc>
        <w:tc>
          <w:tcPr>
            <w:tcW w:w="1089" w:type="pct"/>
            <w:tcBorders>
              <w:tl2br w:val="nil"/>
              <w:tr2bl w:val="nil"/>
            </w:tcBorders>
            <w:noWrap/>
            <w:vAlign w:val="center"/>
          </w:tcPr>
          <w:p w14:paraId="0A009579">
            <w:pPr>
              <w:widowControl/>
              <w:jc w:val="center"/>
              <w:textAlignment w:val="center"/>
              <w:rPr>
                <w:color w:val="auto"/>
                <w:sz w:val="18"/>
                <w:szCs w:val="18"/>
                <w:highlight w:val="none"/>
              </w:rPr>
            </w:pPr>
            <w:r>
              <w:rPr>
                <w:color w:val="auto"/>
                <w:kern w:val="0"/>
                <w:sz w:val="18"/>
                <w:szCs w:val="18"/>
                <w:highlight w:val="none"/>
                <w:lang w:bidi="ar"/>
              </w:rPr>
              <w:t>原材料投料</w:t>
            </w:r>
          </w:p>
        </w:tc>
        <w:tc>
          <w:tcPr>
            <w:tcW w:w="1005" w:type="pct"/>
            <w:tcBorders>
              <w:tl2br w:val="nil"/>
              <w:tr2bl w:val="nil"/>
            </w:tcBorders>
            <w:noWrap/>
            <w:vAlign w:val="center"/>
          </w:tcPr>
          <w:p w14:paraId="36FBCF66">
            <w:pPr>
              <w:widowControl/>
              <w:jc w:val="center"/>
              <w:textAlignment w:val="center"/>
              <w:rPr>
                <w:color w:val="auto"/>
                <w:sz w:val="18"/>
                <w:szCs w:val="18"/>
                <w:highlight w:val="none"/>
              </w:rPr>
            </w:pPr>
            <w:r>
              <w:rPr>
                <w:color w:val="auto"/>
                <w:kern w:val="0"/>
                <w:sz w:val="18"/>
                <w:szCs w:val="18"/>
                <w:highlight w:val="none"/>
                <w:lang w:bidi="ar"/>
              </w:rPr>
              <w:t>废包装材料</w:t>
            </w:r>
          </w:p>
        </w:tc>
        <w:tc>
          <w:tcPr>
            <w:tcW w:w="533" w:type="pct"/>
            <w:tcBorders>
              <w:tl2br w:val="nil"/>
              <w:tr2bl w:val="nil"/>
            </w:tcBorders>
            <w:vAlign w:val="center"/>
          </w:tcPr>
          <w:p w14:paraId="6B9F50B8">
            <w:pPr>
              <w:widowControl/>
              <w:jc w:val="center"/>
              <w:textAlignment w:val="center"/>
              <w:rPr>
                <w:color w:val="auto"/>
                <w:sz w:val="18"/>
                <w:szCs w:val="18"/>
                <w:highlight w:val="none"/>
              </w:rPr>
            </w:pPr>
            <w:r>
              <w:rPr>
                <w:color w:val="auto"/>
                <w:kern w:val="0"/>
                <w:sz w:val="18"/>
                <w:szCs w:val="18"/>
                <w:highlight w:val="none"/>
                <w:lang w:bidi="ar"/>
              </w:rPr>
              <w:t>否</w:t>
            </w:r>
          </w:p>
        </w:tc>
        <w:tc>
          <w:tcPr>
            <w:tcW w:w="758" w:type="pct"/>
            <w:tcBorders>
              <w:tl2br w:val="nil"/>
              <w:tr2bl w:val="nil"/>
            </w:tcBorders>
            <w:vAlign w:val="center"/>
          </w:tcPr>
          <w:p w14:paraId="6DFEB4A7">
            <w:pPr>
              <w:widowControl/>
              <w:jc w:val="center"/>
              <w:textAlignment w:val="center"/>
              <w:rPr>
                <w:color w:val="auto"/>
                <w:sz w:val="18"/>
                <w:szCs w:val="18"/>
                <w:highlight w:val="none"/>
              </w:rPr>
            </w:pPr>
            <w:r>
              <w:rPr>
                <w:color w:val="auto"/>
                <w:kern w:val="0"/>
                <w:sz w:val="18"/>
                <w:szCs w:val="18"/>
                <w:highlight w:val="none"/>
                <w:lang w:bidi="ar"/>
              </w:rPr>
              <w:t>SW17/900-003-S17</w:t>
            </w:r>
          </w:p>
        </w:tc>
        <w:tc>
          <w:tcPr>
            <w:tcW w:w="619" w:type="pct"/>
            <w:tcBorders>
              <w:tl2br w:val="nil"/>
              <w:tr2bl w:val="nil"/>
            </w:tcBorders>
            <w:vAlign w:val="center"/>
          </w:tcPr>
          <w:p w14:paraId="24B51FF5">
            <w:pPr>
              <w:widowControl/>
              <w:jc w:val="center"/>
              <w:textAlignment w:val="center"/>
              <w:rPr>
                <w:color w:val="auto"/>
                <w:sz w:val="18"/>
                <w:szCs w:val="18"/>
                <w:highlight w:val="none"/>
              </w:rPr>
            </w:pPr>
            <w:r>
              <w:rPr>
                <w:color w:val="auto"/>
                <w:kern w:val="0"/>
                <w:sz w:val="18"/>
                <w:szCs w:val="18"/>
                <w:highlight w:val="none"/>
                <w:lang w:bidi="ar"/>
              </w:rPr>
              <w:t>/</w:t>
            </w:r>
          </w:p>
        </w:tc>
      </w:tr>
      <w:tr w14:paraId="5086082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333" w:type="pct"/>
            <w:tcBorders>
              <w:tl2br w:val="nil"/>
              <w:tr2bl w:val="nil"/>
            </w:tcBorders>
            <w:vAlign w:val="center"/>
          </w:tcPr>
          <w:p w14:paraId="02C76340">
            <w:pPr>
              <w:widowControl/>
              <w:jc w:val="center"/>
              <w:textAlignment w:val="center"/>
              <w:rPr>
                <w:color w:val="auto"/>
                <w:sz w:val="18"/>
                <w:szCs w:val="18"/>
                <w:highlight w:val="none"/>
              </w:rPr>
            </w:pPr>
            <w:r>
              <w:rPr>
                <w:color w:val="auto"/>
                <w:kern w:val="0"/>
                <w:sz w:val="18"/>
                <w:szCs w:val="18"/>
                <w:highlight w:val="none"/>
                <w:lang w:bidi="ar"/>
              </w:rPr>
              <w:t>S2</w:t>
            </w:r>
          </w:p>
        </w:tc>
        <w:tc>
          <w:tcPr>
            <w:tcW w:w="660" w:type="pct"/>
            <w:vMerge w:val="continue"/>
            <w:tcBorders>
              <w:tl2br w:val="nil"/>
              <w:tr2bl w:val="nil"/>
            </w:tcBorders>
            <w:vAlign w:val="center"/>
          </w:tcPr>
          <w:p w14:paraId="79214033">
            <w:pPr>
              <w:jc w:val="center"/>
              <w:rPr>
                <w:color w:val="auto"/>
                <w:sz w:val="18"/>
                <w:szCs w:val="18"/>
                <w:highlight w:val="none"/>
              </w:rPr>
            </w:pPr>
          </w:p>
        </w:tc>
        <w:tc>
          <w:tcPr>
            <w:tcW w:w="1089" w:type="pct"/>
            <w:tcBorders>
              <w:tl2br w:val="nil"/>
              <w:tr2bl w:val="nil"/>
            </w:tcBorders>
            <w:noWrap/>
            <w:vAlign w:val="center"/>
          </w:tcPr>
          <w:p w14:paraId="01ED7CA8">
            <w:pPr>
              <w:widowControl/>
              <w:jc w:val="center"/>
              <w:textAlignment w:val="center"/>
              <w:rPr>
                <w:color w:val="auto"/>
                <w:sz w:val="18"/>
                <w:szCs w:val="18"/>
                <w:highlight w:val="none"/>
              </w:rPr>
            </w:pPr>
            <w:r>
              <w:rPr>
                <w:color w:val="auto"/>
                <w:kern w:val="0"/>
                <w:sz w:val="18"/>
                <w:szCs w:val="18"/>
                <w:highlight w:val="none"/>
                <w:lang w:bidi="ar"/>
              </w:rPr>
              <w:t>混合、研磨</w:t>
            </w:r>
          </w:p>
        </w:tc>
        <w:tc>
          <w:tcPr>
            <w:tcW w:w="1005" w:type="pct"/>
            <w:tcBorders>
              <w:tl2br w:val="nil"/>
              <w:tr2bl w:val="nil"/>
            </w:tcBorders>
            <w:noWrap/>
            <w:vAlign w:val="center"/>
          </w:tcPr>
          <w:p w14:paraId="5D7AC693">
            <w:pPr>
              <w:widowControl/>
              <w:jc w:val="center"/>
              <w:textAlignment w:val="center"/>
              <w:rPr>
                <w:color w:val="auto"/>
                <w:sz w:val="18"/>
                <w:szCs w:val="18"/>
                <w:highlight w:val="none"/>
              </w:rPr>
            </w:pPr>
            <w:r>
              <w:rPr>
                <w:color w:val="auto"/>
                <w:kern w:val="0"/>
                <w:sz w:val="18"/>
                <w:szCs w:val="18"/>
                <w:highlight w:val="none"/>
                <w:lang w:bidi="ar"/>
              </w:rPr>
              <w:t>废弃研磨介质</w:t>
            </w:r>
          </w:p>
        </w:tc>
        <w:tc>
          <w:tcPr>
            <w:tcW w:w="533" w:type="pct"/>
            <w:tcBorders>
              <w:tl2br w:val="nil"/>
              <w:tr2bl w:val="nil"/>
            </w:tcBorders>
            <w:noWrap/>
            <w:vAlign w:val="center"/>
          </w:tcPr>
          <w:p w14:paraId="2E4FF19B">
            <w:pPr>
              <w:widowControl/>
              <w:jc w:val="center"/>
              <w:textAlignment w:val="center"/>
              <w:rPr>
                <w:color w:val="auto"/>
                <w:sz w:val="18"/>
                <w:szCs w:val="18"/>
                <w:highlight w:val="none"/>
              </w:rPr>
            </w:pPr>
            <w:r>
              <w:rPr>
                <w:color w:val="auto"/>
                <w:kern w:val="0"/>
                <w:sz w:val="18"/>
                <w:szCs w:val="18"/>
                <w:highlight w:val="none"/>
                <w:lang w:bidi="ar"/>
              </w:rPr>
              <w:t>否</w:t>
            </w:r>
          </w:p>
        </w:tc>
        <w:tc>
          <w:tcPr>
            <w:tcW w:w="758" w:type="pct"/>
            <w:tcBorders>
              <w:tl2br w:val="nil"/>
              <w:tr2bl w:val="nil"/>
            </w:tcBorders>
            <w:noWrap/>
            <w:vAlign w:val="center"/>
          </w:tcPr>
          <w:p w14:paraId="2AC15065">
            <w:pPr>
              <w:widowControl/>
              <w:jc w:val="center"/>
              <w:textAlignment w:val="center"/>
              <w:rPr>
                <w:color w:val="auto"/>
                <w:sz w:val="18"/>
                <w:szCs w:val="18"/>
                <w:highlight w:val="none"/>
              </w:rPr>
            </w:pPr>
            <w:r>
              <w:rPr>
                <w:color w:val="auto"/>
                <w:kern w:val="0"/>
                <w:sz w:val="18"/>
                <w:szCs w:val="18"/>
                <w:highlight w:val="none"/>
                <w:lang w:bidi="ar"/>
              </w:rPr>
              <w:t>SW17/900-013-S17</w:t>
            </w:r>
          </w:p>
        </w:tc>
        <w:tc>
          <w:tcPr>
            <w:tcW w:w="619" w:type="pct"/>
            <w:tcBorders>
              <w:tl2br w:val="nil"/>
              <w:tr2bl w:val="nil"/>
            </w:tcBorders>
            <w:vAlign w:val="center"/>
          </w:tcPr>
          <w:p w14:paraId="64B42266">
            <w:pPr>
              <w:widowControl/>
              <w:jc w:val="center"/>
              <w:textAlignment w:val="center"/>
              <w:rPr>
                <w:color w:val="auto"/>
                <w:sz w:val="18"/>
                <w:szCs w:val="18"/>
                <w:highlight w:val="none"/>
              </w:rPr>
            </w:pPr>
            <w:r>
              <w:rPr>
                <w:color w:val="auto"/>
                <w:kern w:val="0"/>
                <w:sz w:val="18"/>
                <w:szCs w:val="18"/>
                <w:highlight w:val="none"/>
                <w:lang w:bidi="ar"/>
              </w:rPr>
              <w:t>/</w:t>
            </w:r>
          </w:p>
        </w:tc>
      </w:tr>
      <w:tr w14:paraId="1D9889A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333" w:type="pct"/>
            <w:tcBorders>
              <w:tl2br w:val="nil"/>
              <w:tr2bl w:val="nil"/>
            </w:tcBorders>
            <w:vAlign w:val="center"/>
          </w:tcPr>
          <w:p w14:paraId="187AD08E">
            <w:pPr>
              <w:widowControl/>
              <w:jc w:val="center"/>
              <w:textAlignment w:val="center"/>
              <w:rPr>
                <w:color w:val="auto"/>
                <w:sz w:val="18"/>
                <w:szCs w:val="18"/>
                <w:highlight w:val="none"/>
              </w:rPr>
            </w:pPr>
            <w:r>
              <w:rPr>
                <w:color w:val="auto"/>
                <w:kern w:val="0"/>
                <w:sz w:val="18"/>
                <w:szCs w:val="18"/>
                <w:highlight w:val="none"/>
                <w:lang w:bidi="ar"/>
              </w:rPr>
              <w:t>S3</w:t>
            </w:r>
          </w:p>
        </w:tc>
        <w:tc>
          <w:tcPr>
            <w:tcW w:w="660" w:type="pct"/>
            <w:vMerge w:val="continue"/>
            <w:tcBorders>
              <w:tl2br w:val="nil"/>
              <w:tr2bl w:val="nil"/>
            </w:tcBorders>
            <w:vAlign w:val="center"/>
          </w:tcPr>
          <w:p w14:paraId="0EB1EFB0">
            <w:pPr>
              <w:jc w:val="center"/>
              <w:rPr>
                <w:color w:val="auto"/>
                <w:sz w:val="18"/>
                <w:szCs w:val="18"/>
                <w:highlight w:val="none"/>
              </w:rPr>
            </w:pPr>
          </w:p>
        </w:tc>
        <w:tc>
          <w:tcPr>
            <w:tcW w:w="1089" w:type="pct"/>
            <w:tcBorders>
              <w:tl2br w:val="nil"/>
              <w:tr2bl w:val="nil"/>
            </w:tcBorders>
            <w:noWrap/>
            <w:vAlign w:val="center"/>
          </w:tcPr>
          <w:p w14:paraId="64A10EE0">
            <w:pPr>
              <w:widowControl/>
              <w:jc w:val="center"/>
              <w:textAlignment w:val="center"/>
              <w:rPr>
                <w:color w:val="auto"/>
                <w:sz w:val="18"/>
                <w:szCs w:val="18"/>
                <w:highlight w:val="none"/>
              </w:rPr>
            </w:pPr>
            <w:r>
              <w:rPr>
                <w:color w:val="auto"/>
                <w:kern w:val="0"/>
                <w:sz w:val="18"/>
                <w:szCs w:val="18"/>
                <w:highlight w:val="none"/>
                <w:lang w:bidi="ar"/>
              </w:rPr>
              <w:t>喷雾干燥</w:t>
            </w:r>
          </w:p>
        </w:tc>
        <w:tc>
          <w:tcPr>
            <w:tcW w:w="1005" w:type="pct"/>
            <w:tcBorders>
              <w:tl2br w:val="nil"/>
              <w:tr2bl w:val="nil"/>
            </w:tcBorders>
            <w:noWrap/>
            <w:vAlign w:val="center"/>
          </w:tcPr>
          <w:p w14:paraId="12BE1C57">
            <w:pPr>
              <w:widowControl/>
              <w:jc w:val="center"/>
              <w:textAlignment w:val="center"/>
              <w:rPr>
                <w:color w:val="auto"/>
                <w:sz w:val="18"/>
                <w:szCs w:val="18"/>
                <w:highlight w:val="none"/>
              </w:rPr>
            </w:pPr>
            <w:r>
              <w:rPr>
                <w:color w:val="auto"/>
                <w:kern w:val="0"/>
                <w:sz w:val="18"/>
                <w:szCs w:val="18"/>
                <w:highlight w:val="none"/>
                <w:lang w:bidi="ar"/>
              </w:rPr>
              <w:t>集尘</w:t>
            </w:r>
          </w:p>
        </w:tc>
        <w:tc>
          <w:tcPr>
            <w:tcW w:w="533" w:type="pct"/>
            <w:tcBorders>
              <w:tl2br w:val="nil"/>
              <w:tr2bl w:val="nil"/>
            </w:tcBorders>
            <w:vAlign w:val="center"/>
          </w:tcPr>
          <w:p w14:paraId="13DC948D">
            <w:pPr>
              <w:widowControl/>
              <w:jc w:val="center"/>
              <w:textAlignment w:val="center"/>
              <w:rPr>
                <w:color w:val="auto"/>
                <w:sz w:val="18"/>
                <w:szCs w:val="18"/>
                <w:highlight w:val="none"/>
              </w:rPr>
            </w:pPr>
            <w:r>
              <w:rPr>
                <w:color w:val="auto"/>
                <w:kern w:val="0"/>
                <w:sz w:val="18"/>
                <w:szCs w:val="18"/>
                <w:highlight w:val="none"/>
                <w:lang w:bidi="ar"/>
              </w:rPr>
              <w:t>否</w:t>
            </w:r>
          </w:p>
        </w:tc>
        <w:tc>
          <w:tcPr>
            <w:tcW w:w="758" w:type="pct"/>
            <w:tcBorders>
              <w:tl2br w:val="nil"/>
              <w:tr2bl w:val="nil"/>
            </w:tcBorders>
            <w:noWrap/>
            <w:vAlign w:val="center"/>
          </w:tcPr>
          <w:p w14:paraId="27616A2E">
            <w:pPr>
              <w:widowControl/>
              <w:jc w:val="center"/>
              <w:textAlignment w:val="center"/>
              <w:rPr>
                <w:color w:val="auto"/>
                <w:sz w:val="18"/>
                <w:szCs w:val="18"/>
                <w:highlight w:val="none"/>
              </w:rPr>
            </w:pPr>
            <w:r>
              <w:rPr>
                <w:color w:val="auto"/>
                <w:kern w:val="0"/>
                <w:sz w:val="18"/>
                <w:szCs w:val="18"/>
                <w:highlight w:val="none"/>
                <w:lang w:bidi="ar"/>
              </w:rPr>
              <w:t>SW17/900-012-S17</w:t>
            </w:r>
          </w:p>
        </w:tc>
        <w:tc>
          <w:tcPr>
            <w:tcW w:w="619" w:type="pct"/>
            <w:tcBorders>
              <w:tl2br w:val="nil"/>
              <w:tr2bl w:val="nil"/>
            </w:tcBorders>
            <w:vAlign w:val="center"/>
          </w:tcPr>
          <w:p w14:paraId="16EB16BF">
            <w:pPr>
              <w:widowControl/>
              <w:jc w:val="center"/>
              <w:textAlignment w:val="center"/>
              <w:rPr>
                <w:color w:val="auto"/>
                <w:sz w:val="18"/>
                <w:szCs w:val="18"/>
                <w:highlight w:val="none"/>
              </w:rPr>
            </w:pPr>
            <w:r>
              <w:rPr>
                <w:color w:val="auto"/>
                <w:kern w:val="0"/>
                <w:sz w:val="18"/>
                <w:szCs w:val="18"/>
                <w:highlight w:val="none"/>
                <w:lang w:bidi="ar"/>
              </w:rPr>
              <w:t>/</w:t>
            </w:r>
          </w:p>
        </w:tc>
      </w:tr>
      <w:tr w14:paraId="48A818C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333" w:type="pct"/>
            <w:tcBorders>
              <w:tl2br w:val="nil"/>
              <w:tr2bl w:val="nil"/>
            </w:tcBorders>
            <w:vAlign w:val="center"/>
          </w:tcPr>
          <w:p w14:paraId="456386D4">
            <w:pPr>
              <w:widowControl/>
              <w:jc w:val="center"/>
              <w:textAlignment w:val="center"/>
              <w:rPr>
                <w:color w:val="auto"/>
                <w:sz w:val="18"/>
                <w:szCs w:val="18"/>
                <w:highlight w:val="none"/>
              </w:rPr>
            </w:pPr>
            <w:r>
              <w:rPr>
                <w:color w:val="auto"/>
                <w:kern w:val="0"/>
                <w:sz w:val="18"/>
                <w:szCs w:val="18"/>
                <w:highlight w:val="none"/>
                <w:lang w:bidi="ar"/>
              </w:rPr>
              <w:t>S4</w:t>
            </w:r>
          </w:p>
        </w:tc>
        <w:tc>
          <w:tcPr>
            <w:tcW w:w="660" w:type="pct"/>
            <w:vMerge w:val="continue"/>
            <w:tcBorders>
              <w:tl2br w:val="nil"/>
              <w:tr2bl w:val="nil"/>
            </w:tcBorders>
            <w:vAlign w:val="center"/>
          </w:tcPr>
          <w:p w14:paraId="5DFC1EF4">
            <w:pPr>
              <w:jc w:val="center"/>
              <w:rPr>
                <w:color w:val="auto"/>
                <w:sz w:val="18"/>
                <w:szCs w:val="18"/>
                <w:highlight w:val="none"/>
              </w:rPr>
            </w:pPr>
          </w:p>
        </w:tc>
        <w:tc>
          <w:tcPr>
            <w:tcW w:w="1089" w:type="pct"/>
            <w:tcBorders>
              <w:tl2br w:val="nil"/>
              <w:tr2bl w:val="nil"/>
            </w:tcBorders>
            <w:noWrap/>
            <w:vAlign w:val="center"/>
          </w:tcPr>
          <w:p w14:paraId="59021D56">
            <w:pPr>
              <w:widowControl/>
              <w:jc w:val="center"/>
              <w:textAlignment w:val="center"/>
              <w:rPr>
                <w:color w:val="auto"/>
                <w:sz w:val="18"/>
                <w:szCs w:val="18"/>
                <w:highlight w:val="none"/>
              </w:rPr>
            </w:pPr>
            <w:r>
              <w:rPr>
                <w:color w:val="auto"/>
                <w:kern w:val="0"/>
                <w:sz w:val="18"/>
                <w:szCs w:val="18"/>
                <w:highlight w:val="none"/>
                <w:lang w:bidi="ar"/>
              </w:rPr>
              <w:t>喷雾干燥</w:t>
            </w:r>
          </w:p>
        </w:tc>
        <w:tc>
          <w:tcPr>
            <w:tcW w:w="1005" w:type="pct"/>
            <w:tcBorders>
              <w:tl2br w:val="nil"/>
              <w:tr2bl w:val="nil"/>
            </w:tcBorders>
            <w:noWrap/>
            <w:vAlign w:val="center"/>
          </w:tcPr>
          <w:p w14:paraId="0FE2831E">
            <w:pPr>
              <w:widowControl/>
              <w:jc w:val="center"/>
              <w:textAlignment w:val="center"/>
              <w:rPr>
                <w:color w:val="auto"/>
                <w:sz w:val="18"/>
                <w:szCs w:val="18"/>
                <w:highlight w:val="none"/>
              </w:rPr>
            </w:pPr>
            <w:r>
              <w:rPr>
                <w:color w:val="auto"/>
                <w:kern w:val="0"/>
                <w:sz w:val="18"/>
                <w:szCs w:val="18"/>
                <w:highlight w:val="none"/>
                <w:lang w:bidi="ar"/>
              </w:rPr>
              <w:t>不合格粉体</w:t>
            </w:r>
          </w:p>
        </w:tc>
        <w:tc>
          <w:tcPr>
            <w:tcW w:w="533" w:type="pct"/>
            <w:tcBorders>
              <w:tl2br w:val="nil"/>
              <w:tr2bl w:val="nil"/>
            </w:tcBorders>
            <w:noWrap/>
            <w:vAlign w:val="center"/>
          </w:tcPr>
          <w:p w14:paraId="7F8BE493">
            <w:pPr>
              <w:widowControl/>
              <w:jc w:val="center"/>
              <w:textAlignment w:val="center"/>
              <w:rPr>
                <w:color w:val="auto"/>
                <w:sz w:val="18"/>
                <w:szCs w:val="18"/>
                <w:highlight w:val="none"/>
              </w:rPr>
            </w:pPr>
            <w:r>
              <w:rPr>
                <w:color w:val="auto"/>
                <w:kern w:val="0"/>
                <w:sz w:val="18"/>
                <w:szCs w:val="18"/>
                <w:highlight w:val="none"/>
                <w:lang w:bidi="ar"/>
              </w:rPr>
              <w:t>否</w:t>
            </w:r>
          </w:p>
        </w:tc>
        <w:tc>
          <w:tcPr>
            <w:tcW w:w="758" w:type="pct"/>
            <w:tcBorders>
              <w:tl2br w:val="nil"/>
              <w:tr2bl w:val="nil"/>
            </w:tcBorders>
            <w:noWrap/>
            <w:vAlign w:val="center"/>
          </w:tcPr>
          <w:p w14:paraId="6678B360">
            <w:pPr>
              <w:widowControl/>
              <w:jc w:val="center"/>
              <w:textAlignment w:val="center"/>
              <w:rPr>
                <w:color w:val="auto"/>
                <w:sz w:val="18"/>
                <w:szCs w:val="18"/>
                <w:highlight w:val="none"/>
              </w:rPr>
            </w:pPr>
            <w:r>
              <w:rPr>
                <w:color w:val="auto"/>
                <w:kern w:val="0"/>
                <w:sz w:val="18"/>
                <w:szCs w:val="18"/>
                <w:highlight w:val="none"/>
                <w:lang w:bidi="ar"/>
              </w:rPr>
              <w:t>SW17/900-012-S17</w:t>
            </w:r>
          </w:p>
        </w:tc>
        <w:tc>
          <w:tcPr>
            <w:tcW w:w="619" w:type="pct"/>
            <w:tcBorders>
              <w:tl2br w:val="nil"/>
              <w:tr2bl w:val="nil"/>
            </w:tcBorders>
            <w:vAlign w:val="center"/>
          </w:tcPr>
          <w:p w14:paraId="5989704B">
            <w:pPr>
              <w:widowControl/>
              <w:jc w:val="center"/>
              <w:textAlignment w:val="center"/>
              <w:rPr>
                <w:color w:val="auto"/>
                <w:sz w:val="18"/>
                <w:szCs w:val="18"/>
                <w:highlight w:val="none"/>
              </w:rPr>
            </w:pPr>
            <w:r>
              <w:rPr>
                <w:color w:val="auto"/>
                <w:kern w:val="0"/>
                <w:sz w:val="18"/>
                <w:szCs w:val="18"/>
                <w:highlight w:val="none"/>
                <w:lang w:bidi="ar"/>
              </w:rPr>
              <w:t>/</w:t>
            </w:r>
          </w:p>
        </w:tc>
      </w:tr>
      <w:tr w14:paraId="00EF092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333" w:type="pct"/>
            <w:tcBorders>
              <w:tl2br w:val="nil"/>
              <w:tr2bl w:val="nil"/>
            </w:tcBorders>
            <w:vAlign w:val="center"/>
          </w:tcPr>
          <w:p w14:paraId="408D4BE7">
            <w:pPr>
              <w:widowControl/>
              <w:jc w:val="center"/>
              <w:textAlignment w:val="center"/>
              <w:rPr>
                <w:color w:val="auto"/>
                <w:sz w:val="18"/>
                <w:szCs w:val="18"/>
                <w:highlight w:val="none"/>
              </w:rPr>
            </w:pPr>
            <w:r>
              <w:rPr>
                <w:color w:val="auto"/>
                <w:kern w:val="0"/>
                <w:sz w:val="18"/>
                <w:szCs w:val="18"/>
                <w:highlight w:val="none"/>
                <w:lang w:bidi="ar"/>
              </w:rPr>
              <w:t>S5</w:t>
            </w:r>
          </w:p>
        </w:tc>
        <w:tc>
          <w:tcPr>
            <w:tcW w:w="660" w:type="pct"/>
            <w:vMerge w:val="continue"/>
            <w:tcBorders>
              <w:tl2br w:val="nil"/>
              <w:tr2bl w:val="nil"/>
            </w:tcBorders>
            <w:vAlign w:val="center"/>
          </w:tcPr>
          <w:p w14:paraId="766E93E2">
            <w:pPr>
              <w:jc w:val="center"/>
              <w:rPr>
                <w:color w:val="auto"/>
                <w:sz w:val="18"/>
                <w:szCs w:val="18"/>
                <w:highlight w:val="none"/>
              </w:rPr>
            </w:pPr>
          </w:p>
        </w:tc>
        <w:tc>
          <w:tcPr>
            <w:tcW w:w="1089" w:type="pct"/>
            <w:tcBorders>
              <w:tl2br w:val="nil"/>
              <w:tr2bl w:val="nil"/>
            </w:tcBorders>
            <w:noWrap/>
            <w:vAlign w:val="center"/>
          </w:tcPr>
          <w:p w14:paraId="08053FAE">
            <w:pPr>
              <w:widowControl/>
              <w:jc w:val="center"/>
              <w:textAlignment w:val="center"/>
              <w:rPr>
                <w:color w:val="auto"/>
                <w:sz w:val="18"/>
                <w:szCs w:val="18"/>
                <w:highlight w:val="none"/>
              </w:rPr>
            </w:pPr>
            <w:r>
              <w:rPr>
                <w:color w:val="auto"/>
                <w:kern w:val="0"/>
                <w:sz w:val="18"/>
                <w:szCs w:val="18"/>
                <w:highlight w:val="none"/>
                <w:lang w:bidi="ar"/>
              </w:rPr>
              <w:t>气流粉碎</w:t>
            </w:r>
          </w:p>
        </w:tc>
        <w:tc>
          <w:tcPr>
            <w:tcW w:w="1005" w:type="pct"/>
            <w:tcBorders>
              <w:tl2br w:val="nil"/>
              <w:tr2bl w:val="nil"/>
            </w:tcBorders>
            <w:noWrap/>
            <w:vAlign w:val="center"/>
          </w:tcPr>
          <w:p w14:paraId="7B0AF6FD">
            <w:pPr>
              <w:widowControl/>
              <w:jc w:val="center"/>
              <w:textAlignment w:val="center"/>
              <w:rPr>
                <w:color w:val="auto"/>
                <w:sz w:val="18"/>
                <w:szCs w:val="18"/>
                <w:highlight w:val="none"/>
              </w:rPr>
            </w:pPr>
            <w:r>
              <w:rPr>
                <w:color w:val="auto"/>
                <w:kern w:val="0"/>
                <w:sz w:val="18"/>
                <w:szCs w:val="18"/>
                <w:highlight w:val="none"/>
                <w:lang w:bidi="ar"/>
              </w:rPr>
              <w:t>集尘</w:t>
            </w:r>
          </w:p>
        </w:tc>
        <w:tc>
          <w:tcPr>
            <w:tcW w:w="533" w:type="pct"/>
            <w:tcBorders>
              <w:tl2br w:val="nil"/>
              <w:tr2bl w:val="nil"/>
            </w:tcBorders>
            <w:vAlign w:val="center"/>
          </w:tcPr>
          <w:p w14:paraId="6785794F">
            <w:pPr>
              <w:widowControl/>
              <w:jc w:val="center"/>
              <w:textAlignment w:val="center"/>
              <w:rPr>
                <w:color w:val="auto"/>
                <w:sz w:val="18"/>
                <w:szCs w:val="18"/>
                <w:highlight w:val="none"/>
              </w:rPr>
            </w:pPr>
            <w:r>
              <w:rPr>
                <w:color w:val="auto"/>
                <w:kern w:val="0"/>
                <w:sz w:val="18"/>
                <w:szCs w:val="18"/>
                <w:highlight w:val="none"/>
                <w:lang w:bidi="ar"/>
              </w:rPr>
              <w:t>否</w:t>
            </w:r>
          </w:p>
        </w:tc>
        <w:tc>
          <w:tcPr>
            <w:tcW w:w="758" w:type="pct"/>
            <w:tcBorders>
              <w:tl2br w:val="nil"/>
              <w:tr2bl w:val="nil"/>
            </w:tcBorders>
            <w:noWrap/>
            <w:vAlign w:val="center"/>
          </w:tcPr>
          <w:p w14:paraId="01CAE7EF">
            <w:pPr>
              <w:widowControl/>
              <w:jc w:val="center"/>
              <w:textAlignment w:val="center"/>
              <w:rPr>
                <w:color w:val="auto"/>
                <w:sz w:val="18"/>
                <w:szCs w:val="18"/>
                <w:highlight w:val="none"/>
              </w:rPr>
            </w:pPr>
            <w:r>
              <w:rPr>
                <w:color w:val="auto"/>
                <w:kern w:val="0"/>
                <w:sz w:val="18"/>
                <w:szCs w:val="18"/>
                <w:highlight w:val="none"/>
                <w:lang w:bidi="ar"/>
              </w:rPr>
              <w:t>SW17/900-012-S17</w:t>
            </w:r>
          </w:p>
        </w:tc>
        <w:tc>
          <w:tcPr>
            <w:tcW w:w="619" w:type="pct"/>
            <w:tcBorders>
              <w:tl2br w:val="nil"/>
              <w:tr2bl w:val="nil"/>
            </w:tcBorders>
            <w:vAlign w:val="center"/>
          </w:tcPr>
          <w:p w14:paraId="2117FF99">
            <w:pPr>
              <w:widowControl/>
              <w:jc w:val="center"/>
              <w:textAlignment w:val="center"/>
              <w:rPr>
                <w:color w:val="auto"/>
                <w:sz w:val="18"/>
                <w:szCs w:val="18"/>
                <w:highlight w:val="none"/>
              </w:rPr>
            </w:pPr>
            <w:r>
              <w:rPr>
                <w:color w:val="auto"/>
                <w:kern w:val="0"/>
                <w:sz w:val="18"/>
                <w:szCs w:val="18"/>
                <w:highlight w:val="none"/>
                <w:lang w:bidi="ar"/>
              </w:rPr>
              <w:t>/</w:t>
            </w:r>
          </w:p>
        </w:tc>
      </w:tr>
      <w:tr w14:paraId="04FD870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333" w:type="pct"/>
            <w:tcBorders>
              <w:tl2br w:val="nil"/>
              <w:tr2bl w:val="nil"/>
            </w:tcBorders>
            <w:vAlign w:val="center"/>
          </w:tcPr>
          <w:p w14:paraId="6E195BF2">
            <w:pPr>
              <w:widowControl/>
              <w:jc w:val="center"/>
              <w:textAlignment w:val="center"/>
              <w:rPr>
                <w:color w:val="auto"/>
                <w:sz w:val="18"/>
                <w:szCs w:val="18"/>
                <w:highlight w:val="none"/>
              </w:rPr>
            </w:pPr>
            <w:r>
              <w:rPr>
                <w:color w:val="auto"/>
                <w:kern w:val="0"/>
                <w:sz w:val="18"/>
                <w:szCs w:val="18"/>
                <w:highlight w:val="none"/>
                <w:lang w:bidi="ar"/>
              </w:rPr>
              <w:t>S6</w:t>
            </w:r>
          </w:p>
        </w:tc>
        <w:tc>
          <w:tcPr>
            <w:tcW w:w="660" w:type="pct"/>
            <w:vMerge w:val="continue"/>
            <w:tcBorders>
              <w:tl2br w:val="nil"/>
              <w:tr2bl w:val="nil"/>
            </w:tcBorders>
            <w:vAlign w:val="center"/>
          </w:tcPr>
          <w:p w14:paraId="690B3034">
            <w:pPr>
              <w:jc w:val="center"/>
              <w:rPr>
                <w:color w:val="auto"/>
                <w:sz w:val="18"/>
                <w:szCs w:val="18"/>
                <w:highlight w:val="none"/>
              </w:rPr>
            </w:pPr>
          </w:p>
        </w:tc>
        <w:tc>
          <w:tcPr>
            <w:tcW w:w="1089" w:type="pct"/>
            <w:tcBorders>
              <w:tl2br w:val="nil"/>
              <w:tr2bl w:val="nil"/>
            </w:tcBorders>
            <w:noWrap/>
            <w:vAlign w:val="center"/>
          </w:tcPr>
          <w:p w14:paraId="17C555BA">
            <w:pPr>
              <w:widowControl/>
              <w:jc w:val="center"/>
              <w:textAlignment w:val="center"/>
              <w:rPr>
                <w:color w:val="auto"/>
                <w:sz w:val="18"/>
                <w:szCs w:val="18"/>
                <w:highlight w:val="none"/>
              </w:rPr>
            </w:pPr>
            <w:r>
              <w:rPr>
                <w:color w:val="auto"/>
                <w:kern w:val="0"/>
                <w:sz w:val="18"/>
                <w:szCs w:val="18"/>
                <w:highlight w:val="none"/>
                <w:lang w:bidi="ar"/>
              </w:rPr>
              <w:t>振动筛分</w:t>
            </w:r>
          </w:p>
        </w:tc>
        <w:tc>
          <w:tcPr>
            <w:tcW w:w="1005" w:type="pct"/>
            <w:tcBorders>
              <w:tl2br w:val="nil"/>
              <w:tr2bl w:val="nil"/>
            </w:tcBorders>
            <w:noWrap/>
            <w:vAlign w:val="center"/>
          </w:tcPr>
          <w:p w14:paraId="39CC2526">
            <w:pPr>
              <w:widowControl/>
              <w:jc w:val="center"/>
              <w:textAlignment w:val="center"/>
              <w:rPr>
                <w:color w:val="auto"/>
                <w:sz w:val="18"/>
                <w:szCs w:val="18"/>
                <w:highlight w:val="none"/>
              </w:rPr>
            </w:pPr>
            <w:r>
              <w:rPr>
                <w:color w:val="auto"/>
                <w:kern w:val="0"/>
                <w:sz w:val="18"/>
                <w:szCs w:val="18"/>
                <w:highlight w:val="none"/>
                <w:lang w:bidi="ar"/>
              </w:rPr>
              <w:t>不合格粉体</w:t>
            </w:r>
          </w:p>
        </w:tc>
        <w:tc>
          <w:tcPr>
            <w:tcW w:w="533" w:type="pct"/>
            <w:tcBorders>
              <w:tl2br w:val="nil"/>
              <w:tr2bl w:val="nil"/>
            </w:tcBorders>
            <w:noWrap/>
            <w:vAlign w:val="center"/>
          </w:tcPr>
          <w:p w14:paraId="286C84B2">
            <w:pPr>
              <w:widowControl/>
              <w:jc w:val="center"/>
              <w:textAlignment w:val="center"/>
              <w:rPr>
                <w:color w:val="auto"/>
                <w:sz w:val="18"/>
                <w:szCs w:val="18"/>
                <w:highlight w:val="none"/>
              </w:rPr>
            </w:pPr>
            <w:r>
              <w:rPr>
                <w:color w:val="auto"/>
                <w:kern w:val="0"/>
                <w:sz w:val="18"/>
                <w:szCs w:val="18"/>
                <w:highlight w:val="none"/>
                <w:lang w:bidi="ar"/>
              </w:rPr>
              <w:t>否</w:t>
            </w:r>
          </w:p>
        </w:tc>
        <w:tc>
          <w:tcPr>
            <w:tcW w:w="758" w:type="pct"/>
            <w:tcBorders>
              <w:tl2br w:val="nil"/>
              <w:tr2bl w:val="nil"/>
            </w:tcBorders>
            <w:noWrap/>
            <w:vAlign w:val="center"/>
          </w:tcPr>
          <w:p w14:paraId="1F23A679">
            <w:pPr>
              <w:widowControl/>
              <w:jc w:val="center"/>
              <w:textAlignment w:val="center"/>
              <w:rPr>
                <w:color w:val="auto"/>
                <w:sz w:val="18"/>
                <w:szCs w:val="18"/>
                <w:highlight w:val="none"/>
              </w:rPr>
            </w:pPr>
            <w:r>
              <w:rPr>
                <w:color w:val="auto"/>
                <w:kern w:val="0"/>
                <w:sz w:val="18"/>
                <w:szCs w:val="18"/>
                <w:highlight w:val="none"/>
                <w:lang w:bidi="ar"/>
              </w:rPr>
              <w:t>SW17/900-012-S17</w:t>
            </w:r>
          </w:p>
        </w:tc>
        <w:tc>
          <w:tcPr>
            <w:tcW w:w="619" w:type="pct"/>
            <w:tcBorders>
              <w:tl2br w:val="nil"/>
              <w:tr2bl w:val="nil"/>
            </w:tcBorders>
            <w:vAlign w:val="center"/>
          </w:tcPr>
          <w:p w14:paraId="09502B48">
            <w:pPr>
              <w:widowControl/>
              <w:jc w:val="center"/>
              <w:textAlignment w:val="center"/>
              <w:rPr>
                <w:color w:val="auto"/>
                <w:sz w:val="18"/>
                <w:szCs w:val="18"/>
                <w:highlight w:val="none"/>
              </w:rPr>
            </w:pPr>
            <w:r>
              <w:rPr>
                <w:color w:val="auto"/>
                <w:kern w:val="0"/>
                <w:sz w:val="18"/>
                <w:szCs w:val="18"/>
                <w:highlight w:val="none"/>
                <w:lang w:bidi="ar"/>
              </w:rPr>
              <w:t>/</w:t>
            </w:r>
          </w:p>
        </w:tc>
      </w:tr>
      <w:tr w14:paraId="1736A9D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333" w:type="pct"/>
            <w:tcBorders>
              <w:tl2br w:val="nil"/>
              <w:tr2bl w:val="nil"/>
            </w:tcBorders>
            <w:vAlign w:val="center"/>
          </w:tcPr>
          <w:p w14:paraId="7CC99029">
            <w:pPr>
              <w:widowControl/>
              <w:jc w:val="center"/>
              <w:textAlignment w:val="center"/>
              <w:rPr>
                <w:color w:val="auto"/>
                <w:sz w:val="18"/>
                <w:szCs w:val="18"/>
                <w:highlight w:val="none"/>
              </w:rPr>
            </w:pPr>
            <w:r>
              <w:rPr>
                <w:color w:val="auto"/>
                <w:kern w:val="0"/>
                <w:sz w:val="18"/>
                <w:szCs w:val="18"/>
                <w:highlight w:val="none"/>
                <w:lang w:bidi="ar"/>
              </w:rPr>
              <w:t>S7</w:t>
            </w:r>
          </w:p>
        </w:tc>
        <w:tc>
          <w:tcPr>
            <w:tcW w:w="660" w:type="pct"/>
            <w:vMerge w:val="restart"/>
            <w:tcBorders>
              <w:tl2br w:val="nil"/>
              <w:tr2bl w:val="nil"/>
            </w:tcBorders>
            <w:vAlign w:val="center"/>
          </w:tcPr>
          <w:p w14:paraId="403AE903">
            <w:pPr>
              <w:widowControl/>
              <w:jc w:val="center"/>
              <w:textAlignment w:val="center"/>
              <w:rPr>
                <w:color w:val="auto"/>
                <w:sz w:val="18"/>
                <w:szCs w:val="18"/>
                <w:highlight w:val="none"/>
              </w:rPr>
            </w:pPr>
            <w:r>
              <w:rPr>
                <w:color w:val="auto"/>
                <w:kern w:val="0"/>
                <w:sz w:val="18"/>
                <w:szCs w:val="18"/>
                <w:highlight w:val="none"/>
                <w:lang w:bidi="ar"/>
              </w:rPr>
              <w:t>扣电组装测试</w:t>
            </w:r>
          </w:p>
        </w:tc>
        <w:tc>
          <w:tcPr>
            <w:tcW w:w="1089" w:type="pct"/>
            <w:tcBorders>
              <w:tl2br w:val="nil"/>
              <w:tr2bl w:val="nil"/>
            </w:tcBorders>
            <w:noWrap/>
            <w:vAlign w:val="center"/>
          </w:tcPr>
          <w:p w14:paraId="7A6180D3">
            <w:pPr>
              <w:widowControl/>
              <w:jc w:val="center"/>
              <w:textAlignment w:val="center"/>
              <w:rPr>
                <w:color w:val="auto"/>
                <w:sz w:val="18"/>
                <w:szCs w:val="18"/>
                <w:highlight w:val="none"/>
              </w:rPr>
            </w:pPr>
            <w:r>
              <w:rPr>
                <w:color w:val="auto"/>
                <w:kern w:val="0"/>
                <w:sz w:val="18"/>
                <w:szCs w:val="18"/>
                <w:highlight w:val="none"/>
                <w:lang w:bidi="ar"/>
              </w:rPr>
              <w:t>粉体理化性质测定</w:t>
            </w:r>
          </w:p>
        </w:tc>
        <w:tc>
          <w:tcPr>
            <w:tcW w:w="1005" w:type="pct"/>
            <w:tcBorders>
              <w:tl2br w:val="nil"/>
              <w:tr2bl w:val="nil"/>
            </w:tcBorders>
            <w:noWrap/>
            <w:vAlign w:val="center"/>
          </w:tcPr>
          <w:p w14:paraId="2A184993">
            <w:pPr>
              <w:widowControl/>
              <w:jc w:val="center"/>
              <w:textAlignment w:val="center"/>
              <w:rPr>
                <w:color w:val="auto"/>
                <w:sz w:val="18"/>
                <w:szCs w:val="18"/>
                <w:highlight w:val="none"/>
              </w:rPr>
            </w:pPr>
            <w:r>
              <w:rPr>
                <w:color w:val="auto"/>
                <w:kern w:val="0"/>
                <w:sz w:val="18"/>
                <w:szCs w:val="18"/>
                <w:highlight w:val="none"/>
                <w:lang w:bidi="ar"/>
              </w:rPr>
              <w:t>测试废料</w:t>
            </w:r>
          </w:p>
        </w:tc>
        <w:tc>
          <w:tcPr>
            <w:tcW w:w="533" w:type="pct"/>
            <w:tcBorders>
              <w:tl2br w:val="nil"/>
              <w:tr2bl w:val="nil"/>
            </w:tcBorders>
            <w:vAlign w:val="center"/>
          </w:tcPr>
          <w:p w14:paraId="4B0BB22D">
            <w:pPr>
              <w:widowControl/>
              <w:jc w:val="center"/>
              <w:textAlignment w:val="center"/>
              <w:rPr>
                <w:color w:val="auto"/>
                <w:sz w:val="18"/>
                <w:szCs w:val="18"/>
                <w:highlight w:val="none"/>
              </w:rPr>
            </w:pPr>
            <w:r>
              <w:rPr>
                <w:color w:val="auto"/>
                <w:kern w:val="0"/>
                <w:sz w:val="18"/>
                <w:szCs w:val="18"/>
                <w:highlight w:val="none"/>
                <w:lang w:bidi="ar"/>
              </w:rPr>
              <w:t>否</w:t>
            </w:r>
          </w:p>
        </w:tc>
        <w:tc>
          <w:tcPr>
            <w:tcW w:w="758" w:type="pct"/>
            <w:tcBorders>
              <w:tl2br w:val="nil"/>
              <w:tr2bl w:val="nil"/>
            </w:tcBorders>
            <w:noWrap/>
            <w:vAlign w:val="center"/>
          </w:tcPr>
          <w:p w14:paraId="57EC1BE8">
            <w:pPr>
              <w:widowControl/>
              <w:jc w:val="center"/>
              <w:textAlignment w:val="center"/>
              <w:rPr>
                <w:color w:val="auto"/>
                <w:sz w:val="18"/>
                <w:szCs w:val="18"/>
                <w:highlight w:val="none"/>
              </w:rPr>
            </w:pPr>
            <w:r>
              <w:rPr>
                <w:color w:val="auto"/>
                <w:kern w:val="0"/>
                <w:sz w:val="18"/>
                <w:szCs w:val="18"/>
                <w:highlight w:val="none"/>
                <w:lang w:bidi="ar"/>
              </w:rPr>
              <w:t>SW17/900-012-S17</w:t>
            </w:r>
          </w:p>
        </w:tc>
        <w:tc>
          <w:tcPr>
            <w:tcW w:w="619" w:type="pct"/>
            <w:tcBorders>
              <w:tl2br w:val="nil"/>
              <w:tr2bl w:val="nil"/>
            </w:tcBorders>
            <w:vAlign w:val="center"/>
          </w:tcPr>
          <w:p w14:paraId="6FEBA5E0">
            <w:pPr>
              <w:widowControl/>
              <w:jc w:val="center"/>
              <w:textAlignment w:val="center"/>
              <w:rPr>
                <w:color w:val="auto"/>
                <w:sz w:val="18"/>
                <w:szCs w:val="18"/>
                <w:highlight w:val="none"/>
              </w:rPr>
            </w:pPr>
            <w:r>
              <w:rPr>
                <w:color w:val="auto"/>
                <w:kern w:val="0"/>
                <w:sz w:val="18"/>
                <w:szCs w:val="18"/>
                <w:highlight w:val="none"/>
                <w:lang w:bidi="ar"/>
              </w:rPr>
              <w:t>/</w:t>
            </w:r>
          </w:p>
        </w:tc>
      </w:tr>
      <w:tr w14:paraId="01D2A01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333" w:type="pct"/>
            <w:tcBorders>
              <w:tl2br w:val="nil"/>
              <w:tr2bl w:val="nil"/>
            </w:tcBorders>
            <w:vAlign w:val="center"/>
          </w:tcPr>
          <w:p w14:paraId="154AB210">
            <w:pPr>
              <w:widowControl/>
              <w:jc w:val="center"/>
              <w:textAlignment w:val="center"/>
              <w:rPr>
                <w:color w:val="auto"/>
                <w:sz w:val="18"/>
                <w:szCs w:val="18"/>
                <w:highlight w:val="none"/>
              </w:rPr>
            </w:pPr>
            <w:r>
              <w:rPr>
                <w:color w:val="auto"/>
                <w:kern w:val="0"/>
                <w:sz w:val="18"/>
                <w:szCs w:val="18"/>
                <w:highlight w:val="none"/>
                <w:lang w:bidi="ar"/>
              </w:rPr>
              <w:t>S8</w:t>
            </w:r>
          </w:p>
        </w:tc>
        <w:tc>
          <w:tcPr>
            <w:tcW w:w="660" w:type="pct"/>
            <w:vMerge w:val="continue"/>
            <w:tcBorders>
              <w:tl2br w:val="nil"/>
              <w:tr2bl w:val="nil"/>
            </w:tcBorders>
            <w:vAlign w:val="center"/>
          </w:tcPr>
          <w:p w14:paraId="4F614B55">
            <w:pPr>
              <w:jc w:val="center"/>
              <w:rPr>
                <w:color w:val="auto"/>
                <w:sz w:val="18"/>
                <w:szCs w:val="18"/>
                <w:highlight w:val="none"/>
              </w:rPr>
            </w:pPr>
          </w:p>
        </w:tc>
        <w:tc>
          <w:tcPr>
            <w:tcW w:w="1089" w:type="pct"/>
            <w:tcBorders>
              <w:tl2br w:val="nil"/>
              <w:tr2bl w:val="nil"/>
            </w:tcBorders>
            <w:noWrap/>
            <w:vAlign w:val="center"/>
          </w:tcPr>
          <w:p w14:paraId="07A69800">
            <w:pPr>
              <w:widowControl/>
              <w:jc w:val="center"/>
              <w:textAlignment w:val="center"/>
              <w:rPr>
                <w:color w:val="auto"/>
                <w:sz w:val="18"/>
                <w:szCs w:val="18"/>
                <w:highlight w:val="none"/>
              </w:rPr>
            </w:pPr>
            <w:r>
              <w:rPr>
                <w:color w:val="auto"/>
                <w:kern w:val="0"/>
                <w:sz w:val="18"/>
                <w:szCs w:val="18"/>
                <w:highlight w:val="none"/>
                <w:lang w:bidi="ar"/>
              </w:rPr>
              <w:t>制胶、匀浆</w:t>
            </w:r>
          </w:p>
        </w:tc>
        <w:tc>
          <w:tcPr>
            <w:tcW w:w="1005" w:type="pct"/>
            <w:tcBorders>
              <w:tl2br w:val="nil"/>
              <w:tr2bl w:val="nil"/>
            </w:tcBorders>
            <w:noWrap/>
            <w:vAlign w:val="center"/>
          </w:tcPr>
          <w:p w14:paraId="447E6363">
            <w:pPr>
              <w:widowControl/>
              <w:jc w:val="center"/>
              <w:textAlignment w:val="center"/>
              <w:rPr>
                <w:color w:val="auto"/>
                <w:sz w:val="18"/>
                <w:szCs w:val="18"/>
                <w:highlight w:val="none"/>
              </w:rPr>
            </w:pPr>
            <w:r>
              <w:rPr>
                <w:color w:val="auto"/>
                <w:kern w:val="0"/>
                <w:sz w:val="18"/>
                <w:szCs w:val="18"/>
                <w:highlight w:val="none"/>
                <w:lang w:bidi="ar"/>
              </w:rPr>
              <w:t>沾染化学品的废包装材料</w:t>
            </w:r>
          </w:p>
        </w:tc>
        <w:tc>
          <w:tcPr>
            <w:tcW w:w="533" w:type="pct"/>
            <w:tcBorders>
              <w:tl2br w:val="nil"/>
              <w:tr2bl w:val="nil"/>
            </w:tcBorders>
            <w:noWrap/>
            <w:vAlign w:val="center"/>
          </w:tcPr>
          <w:p w14:paraId="1A96F40C">
            <w:pPr>
              <w:widowControl/>
              <w:jc w:val="center"/>
              <w:textAlignment w:val="center"/>
              <w:rPr>
                <w:color w:val="auto"/>
                <w:sz w:val="18"/>
                <w:szCs w:val="18"/>
                <w:highlight w:val="none"/>
              </w:rPr>
            </w:pPr>
            <w:r>
              <w:rPr>
                <w:color w:val="auto"/>
                <w:kern w:val="0"/>
                <w:sz w:val="18"/>
                <w:szCs w:val="18"/>
                <w:highlight w:val="none"/>
                <w:lang w:bidi="ar"/>
              </w:rPr>
              <w:t>是</w:t>
            </w:r>
          </w:p>
        </w:tc>
        <w:tc>
          <w:tcPr>
            <w:tcW w:w="758" w:type="pct"/>
            <w:tcBorders>
              <w:tl2br w:val="nil"/>
              <w:tr2bl w:val="nil"/>
            </w:tcBorders>
            <w:noWrap/>
            <w:vAlign w:val="center"/>
          </w:tcPr>
          <w:p w14:paraId="682BFE90">
            <w:pPr>
              <w:widowControl/>
              <w:jc w:val="center"/>
              <w:textAlignment w:val="center"/>
              <w:rPr>
                <w:color w:val="auto"/>
                <w:sz w:val="18"/>
                <w:szCs w:val="18"/>
                <w:highlight w:val="none"/>
              </w:rPr>
            </w:pPr>
            <w:r>
              <w:rPr>
                <w:color w:val="auto"/>
                <w:kern w:val="0"/>
                <w:sz w:val="18"/>
                <w:szCs w:val="18"/>
                <w:highlight w:val="none"/>
                <w:lang w:bidi="ar"/>
              </w:rPr>
              <w:t>HW49/900-041-49</w:t>
            </w:r>
          </w:p>
        </w:tc>
        <w:tc>
          <w:tcPr>
            <w:tcW w:w="619" w:type="pct"/>
            <w:tcBorders>
              <w:tl2br w:val="nil"/>
              <w:tr2bl w:val="nil"/>
            </w:tcBorders>
            <w:noWrap/>
            <w:vAlign w:val="center"/>
          </w:tcPr>
          <w:p w14:paraId="7E01CC63">
            <w:pPr>
              <w:widowControl/>
              <w:jc w:val="center"/>
              <w:textAlignment w:val="center"/>
              <w:rPr>
                <w:color w:val="auto"/>
                <w:sz w:val="18"/>
                <w:szCs w:val="18"/>
                <w:highlight w:val="none"/>
              </w:rPr>
            </w:pPr>
            <w:r>
              <w:rPr>
                <w:color w:val="auto"/>
                <w:kern w:val="0"/>
                <w:sz w:val="18"/>
                <w:szCs w:val="18"/>
                <w:highlight w:val="none"/>
                <w:lang w:bidi="ar"/>
              </w:rPr>
              <w:t>T</w:t>
            </w:r>
          </w:p>
        </w:tc>
      </w:tr>
      <w:tr w14:paraId="5DEEA99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333" w:type="pct"/>
            <w:tcBorders>
              <w:tl2br w:val="nil"/>
              <w:tr2bl w:val="nil"/>
            </w:tcBorders>
            <w:vAlign w:val="center"/>
          </w:tcPr>
          <w:p w14:paraId="7F45736B">
            <w:pPr>
              <w:widowControl/>
              <w:jc w:val="center"/>
              <w:textAlignment w:val="center"/>
              <w:rPr>
                <w:color w:val="auto"/>
                <w:sz w:val="18"/>
                <w:szCs w:val="18"/>
                <w:highlight w:val="none"/>
              </w:rPr>
            </w:pPr>
            <w:r>
              <w:rPr>
                <w:color w:val="auto"/>
                <w:kern w:val="0"/>
                <w:sz w:val="18"/>
                <w:szCs w:val="18"/>
                <w:highlight w:val="none"/>
                <w:lang w:bidi="ar"/>
              </w:rPr>
              <w:t>S9</w:t>
            </w:r>
          </w:p>
        </w:tc>
        <w:tc>
          <w:tcPr>
            <w:tcW w:w="660" w:type="pct"/>
            <w:vMerge w:val="continue"/>
            <w:tcBorders>
              <w:tl2br w:val="nil"/>
              <w:tr2bl w:val="nil"/>
            </w:tcBorders>
            <w:vAlign w:val="center"/>
          </w:tcPr>
          <w:p w14:paraId="161DC613">
            <w:pPr>
              <w:jc w:val="center"/>
              <w:rPr>
                <w:color w:val="auto"/>
                <w:sz w:val="18"/>
                <w:szCs w:val="18"/>
                <w:highlight w:val="none"/>
              </w:rPr>
            </w:pPr>
          </w:p>
        </w:tc>
        <w:tc>
          <w:tcPr>
            <w:tcW w:w="1089" w:type="pct"/>
            <w:tcBorders>
              <w:tl2br w:val="nil"/>
              <w:tr2bl w:val="nil"/>
            </w:tcBorders>
            <w:noWrap/>
            <w:vAlign w:val="center"/>
          </w:tcPr>
          <w:p w14:paraId="00E82F20">
            <w:pPr>
              <w:widowControl/>
              <w:jc w:val="center"/>
              <w:textAlignment w:val="center"/>
              <w:rPr>
                <w:color w:val="auto"/>
                <w:sz w:val="18"/>
                <w:szCs w:val="18"/>
                <w:highlight w:val="none"/>
              </w:rPr>
            </w:pPr>
            <w:r>
              <w:rPr>
                <w:color w:val="auto"/>
                <w:kern w:val="0"/>
                <w:sz w:val="18"/>
                <w:szCs w:val="18"/>
                <w:highlight w:val="none"/>
                <w:lang w:bidi="ar"/>
              </w:rPr>
              <w:t>扣电性能测试</w:t>
            </w:r>
          </w:p>
        </w:tc>
        <w:tc>
          <w:tcPr>
            <w:tcW w:w="1005" w:type="pct"/>
            <w:tcBorders>
              <w:tl2br w:val="nil"/>
              <w:tr2bl w:val="nil"/>
            </w:tcBorders>
            <w:noWrap/>
            <w:vAlign w:val="center"/>
          </w:tcPr>
          <w:p w14:paraId="4F513881">
            <w:pPr>
              <w:widowControl/>
              <w:jc w:val="center"/>
              <w:textAlignment w:val="center"/>
              <w:rPr>
                <w:color w:val="auto"/>
                <w:sz w:val="18"/>
                <w:szCs w:val="18"/>
                <w:highlight w:val="none"/>
              </w:rPr>
            </w:pPr>
            <w:r>
              <w:rPr>
                <w:color w:val="auto"/>
                <w:kern w:val="0"/>
                <w:sz w:val="18"/>
                <w:szCs w:val="18"/>
                <w:highlight w:val="none"/>
                <w:lang w:bidi="ar"/>
              </w:rPr>
              <w:t>测试废电池</w:t>
            </w:r>
          </w:p>
        </w:tc>
        <w:tc>
          <w:tcPr>
            <w:tcW w:w="533" w:type="pct"/>
            <w:tcBorders>
              <w:tl2br w:val="nil"/>
              <w:tr2bl w:val="nil"/>
            </w:tcBorders>
            <w:vAlign w:val="center"/>
          </w:tcPr>
          <w:p w14:paraId="0D172739">
            <w:pPr>
              <w:widowControl/>
              <w:jc w:val="center"/>
              <w:textAlignment w:val="center"/>
              <w:rPr>
                <w:rFonts w:hint="default" w:eastAsia="宋体"/>
                <w:color w:val="auto"/>
                <w:sz w:val="18"/>
                <w:szCs w:val="18"/>
                <w:highlight w:val="none"/>
                <w:lang w:eastAsia="zh-CN"/>
              </w:rPr>
            </w:pPr>
            <w:r>
              <w:rPr>
                <w:rFonts w:hint="default"/>
                <w:color w:val="auto"/>
                <w:kern w:val="0"/>
                <w:sz w:val="18"/>
                <w:szCs w:val="18"/>
                <w:highlight w:val="none"/>
                <w:lang w:val="en-US" w:eastAsia="zh-CN" w:bidi="ar"/>
              </w:rPr>
              <w:t>是</w:t>
            </w:r>
          </w:p>
        </w:tc>
        <w:tc>
          <w:tcPr>
            <w:tcW w:w="758" w:type="pct"/>
            <w:tcBorders>
              <w:tl2br w:val="nil"/>
              <w:tr2bl w:val="nil"/>
            </w:tcBorders>
            <w:noWrap/>
            <w:vAlign w:val="center"/>
          </w:tcPr>
          <w:p w14:paraId="6F6BBAD6">
            <w:pPr>
              <w:widowControl/>
              <w:jc w:val="center"/>
              <w:textAlignment w:val="center"/>
              <w:rPr>
                <w:rFonts w:hint="default" w:eastAsia="宋体"/>
                <w:color w:val="auto"/>
                <w:sz w:val="18"/>
                <w:szCs w:val="18"/>
                <w:highlight w:val="none"/>
                <w:lang w:val="en-US" w:eastAsia="zh-CN"/>
              </w:rPr>
            </w:pPr>
            <w:r>
              <w:rPr>
                <w:rFonts w:hint="default"/>
                <w:color w:val="auto"/>
                <w:kern w:val="0"/>
                <w:sz w:val="18"/>
                <w:szCs w:val="18"/>
                <w:highlight w:val="none"/>
                <w:lang w:val="en-US" w:eastAsia="zh-CN" w:bidi="ar"/>
              </w:rPr>
              <w:t>HW49/900-047-49</w:t>
            </w:r>
          </w:p>
        </w:tc>
        <w:tc>
          <w:tcPr>
            <w:tcW w:w="619" w:type="pct"/>
            <w:tcBorders>
              <w:tl2br w:val="nil"/>
              <w:tr2bl w:val="nil"/>
            </w:tcBorders>
            <w:noWrap/>
            <w:vAlign w:val="center"/>
          </w:tcPr>
          <w:p w14:paraId="0EBFDC04">
            <w:pPr>
              <w:widowControl/>
              <w:jc w:val="center"/>
              <w:textAlignment w:val="center"/>
              <w:rPr>
                <w:rFonts w:hint="default" w:eastAsia="宋体"/>
                <w:color w:val="auto"/>
                <w:sz w:val="18"/>
                <w:szCs w:val="18"/>
                <w:highlight w:val="none"/>
                <w:lang w:val="en-US" w:eastAsia="zh-CN"/>
              </w:rPr>
            </w:pPr>
            <w:r>
              <w:rPr>
                <w:rFonts w:hint="default"/>
                <w:color w:val="auto"/>
                <w:sz w:val="18"/>
                <w:szCs w:val="18"/>
                <w:highlight w:val="none"/>
                <w:lang w:val="en-US" w:eastAsia="zh-CN"/>
              </w:rPr>
              <w:t>T/C/I/R</w:t>
            </w:r>
          </w:p>
        </w:tc>
      </w:tr>
      <w:tr w14:paraId="725CEEE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333" w:type="pct"/>
            <w:tcBorders>
              <w:tl2br w:val="nil"/>
              <w:tr2bl w:val="nil"/>
            </w:tcBorders>
            <w:shd w:val="clear" w:color="auto" w:fill="auto"/>
            <w:vAlign w:val="center"/>
          </w:tcPr>
          <w:p w14:paraId="499CDD1F">
            <w:pPr>
              <w:widowControl/>
              <w:jc w:val="center"/>
              <w:textAlignment w:val="center"/>
              <w:rPr>
                <w:rFonts w:ascii="Times New Roman" w:hAnsi="Times New Roman" w:eastAsia="宋体" w:cs="Times New Roman"/>
                <w:color w:val="auto"/>
                <w:kern w:val="2"/>
                <w:sz w:val="18"/>
                <w:szCs w:val="18"/>
                <w:highlight w:val="none"/>
                <w:lang w:val="en-US" w:eastAsia="zh-CN" w:bidi="ar-SA"/>
              </w:rPr>
            </w:pPr>
            <w:r>
              <w:rPr>
                <w:color w:val="auto"/>
                <w:kern w:val="0"/>
                <w:sz w:val="18"/>
                <w:szCs w:val="18"/>
                <w:highlight w:val="none"/>
                <w:lang w:bidi="ar"/>
              </w:rPr>
              <w:t>S1</w:t>
            </w:r>
            <w:r>
              <w:rPr>
                <w:rFonts w:hint="default"/>
                <w:color w:val="auto"/>
                <w:kern w:val="0"/>
                <w:sz w:val="18"/>
                <w:szCs w:val="18"/>
                <w:highlight w:val="none"/>
                <w:lang w:val="en-US" w:eastAsia="zh-CN" w:bidi="ar"/>
              </w:rPr>
              <w:t>0</w:t>
            </w:r>
          </w:p>
        </w:tc>
        <w:tc>
          <w:tcPr>
            <w:tcW w:w="660" w:type="pct"/>
            <w:tcBorders>
              <w:tl2br w:val="nil"/>
              <w:tr2bl w:val="nil"/>
            </w:tcBorders>
            <w:noWrap/>
            <w:vAlign w:val="center"/>
          </w:tcPr>
          <w:p w14:paraId="77CFFF34">
            <w:pPr>
              <w:widowControl/>
              <w:jc w:val="center"/>
              <w:textAlignment w:val="center"/>
              <w:rPr>
                <w:color w:val="auto"/>
                <w:sz w:val="18"/>
                <w:szCs w:val="18"/>
                <w:highlight w:val="none"/>
              </w:rPr>
            </w:pPr>
            <w:r>
              <w:rPr>
                <w:color w:val="auto"/>
                <w:kern w:val="0"/>
                <w:sz w:val="18"/>
                <w:szCs w:val="18"/>
                <w:highlight w:val="none"/>
                <w:lang w:bidi="ar"/>
              </w:rPr>
              <w:t>/</w:t>
            </w:r>
          </w:p>
        </w:tc>
        <w:tc>
          <w:tcPr>
            <w:tcW w:w="1089" w:type="pct"/>
            <w:tcBorders>
              <w:tl2br w:val="nil"/>
              <w:tr2bl w:val="nil"/>
            </w:tcBorders>
            <w:noWrap/>
            <w:vAlign w:val="center"/>
          </w:tcPr>
          <w:p w14:paraId="4593C5DC">
            <w:pPr>
              <w:widowControl/>
              <w:jc w:val="center"/>
              <w:textAlignment w:val="center"/>
              <w:rPr>
                <w:color w:val="auto"/>
                <w:sz w:val="18"/>
                <w:szCs w:val="18"/>
                <w:highlight w:val="none"/>
              </w:rPr>
            </w:pPr>
            <w:r>
              <w:rPr>
                <w:color w:val="auto"/>
                <w:kern w:val="0"/>
                <w:sz w:val="18"/>
                <w:szCs w:val="18"/>
                <w:highlight w:val="none"/>
                <w:lang w:bidi="ar"/>
              </w:rPr>
              <w:t>废气处理</w:t>
            </w:r>
          </w:p>
        </w:tc>
        <w:tc>
          <w:tcPr>
            <w:tcW w:w="1005" w:type="pct"/>
            <w:tcBorders>
              <w:tl2br w:val="nil"/>
              <w:tr2bl w:val="nil"/>
            </w:tcBorders>
            <w:noWrap/>
            <w:vAlign w:val="center"/>
          </w:tcPr>
          <w:p w14:paraId="63167085">
            <w:pPr>
              <w:widowControl/>
              <w:jc w:val="center"/>
              <w:textAlignment w:val="center"/>
              <w:rPr>
                <w:color w:val="auto"/>
                <w:sz w:val="18"/>
                <w:szCs w:val="18"/>
                <w:highlight w:val="none"/>
              </w:rPr>
            </w:pPr>
            <w:r>
              <w:rPr>
                <w:color w:val="auto"/>
                <w:kern w:val="0"/>
                <w:sz w:val="18"/>
                <w:szCs w:val="18"/>
                <w:highlight w:val="none"/>
                <w:lang w:bidi="ar"/>
              </w:rPr>
              <w:t>废活性炭</w:t>
            </w:r>
          </w:p>
        </w:tc>
        <w:tc>
          <w:tcPr>
            <w:tcW w:w="533" w:type="pct"/>
            <w:tcBorders>
              <w:tl2br w:val="nil"/>
              <w:tr2bl w:val="nil"/>
            </w:tcBorders>
            <w:noWrap/>
            <w:vAlign w:val="center"/>
          </w:tcPr>
          <w:p w14:paraId="598FFD09">
            <w:pPr>
              <w:widowControl/>
              <w:jc w:val="center"/>
              <w:textAlignment w:val="center"/>
              <w:rPr>
                <w:color w:val="auto"/>
                <w:sz w:val="18"/>
                <w:szCs w:val="18"/>
                <w:highlight w:val="none"/>
              </w:rPr>
            </w:pPr>
            <w:r>
              <w:rPr>
                <w:color w:val="auto"/>
                <w:kern w:val="0"/>
                <w:sz w:val="18"/>
                <w:szCs w:val="18"/>
                <w:highlight w:val="none"/>
                <w:lang w:bidi="ar"/>
              </w:rPr>
              <w:t>是</w:t>
            </w:r>
          </w:p>
        </w:tc>
        <w:tc>
          <w:tcPr>
            <w:tcW w:w="758" w:type="pct"/>
            <w:tcBorders>
              <w:tl2br w:val="nil"/>
              <w:tr2bl w:val="nil"/>
            </w:tcBorders>
            <w:noWrap/>
            <w:vAlign w:val="center"/>
          </w:tcPr>
          <w:p w14:paraId="73578C9D">
            <w:pPr>
              <w:widowControl/>
              <w:jc w:val="center"/>
              <w:textAlignment w:val="center"/>
              <w:rPr>
                <w:color w:val="auto"/>
                <w:sz w:val="18"/>
                <w:szCs w:val="18"/>
                <w:highlight w:val="none"/>
              </w:rPr>
            </w:pPr>
            <w:r>
              <w:rPr>
                <w:color w:val="auto"/>
                <w:kern w:val="0"/>
                <w:sz w:val="18"/>
                <w:szCs w:val="18"/>
                <w:highlight w:val="none"/>
                <w:lang w:bidi="ar"/>
              </w:rPr>
              <w:t>HW49/900-039-49</w:t>
            </w:r>
          </w:p>
        </w:tc>
        <w:tc>
          <w:tcPr>
            <w:tcW w:w="619" w:type="pct"/>
            <w:tcBorders>
              <w:tl2br w:val="nil"/>
              <w:tr2bl w:val="nil"/>
            </w:tcBorders>
            <w:noWrap/>
            <w:vAlign w:val="center"/>
          </w:tcPr>
          <w:p w14:paraId="6EFB07B9">
            <w:pPr>
              <w:widowControl/>
              <w:jc w:val="center"/>
              <w:textAlignment w:val="center"/>
              <w:rPr>
                <w:color w:val="auto"/>
                <w:sz w:val="18"/>
                <w:szCs w:val="18"/>
                <w:highlight w:val="none"/>
              </w:rPr>
            </w:pPr>
            <w:r>
              <w:rPr>
                <w:color w:val="auto"/>
                <w:kern w:val="0"/>
                <w:sz w:val="18"/>
                <w:szCs w:val="18"/>
                <w:highlight w:val="none"/>
                <w:lang w:bidi="ar"/>
              </w:rPr>
              <w:t>T</w:t>
            </w:r>
          </w:p>
        </w:tc>
      </w:tr>
      <w:tr w14:paraId="5352280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333" w:type="pct"/>
            <w:tcBorders>
              <w:tl2br w:val="nil"/>
              <w:tr2bl w:val="nil"/>
            </w:tcBorders>
            <w:shd w:val="clear" w:color="auto" w:fill="auto"/>
            <w:vAlign w:val="center"/>
          </w:tcPr>
          <w:p w14:paraId="2F8684E5">
            <w:pPr>
              <w:widowControl/>
              <w:jc w:val="center"/>
              <w:textAlignment w:val="center"/>
              <w:rPr>
                <w:rFonts w:ascii="Times New Roman" w:hAnsi="Times New Roman" w:eastAsia="宋体" w:cs="Times New Roman"/>
                <w:color w:val="auto"/>
                <w:kern w:val="2"/>
                <w:sz w:val="18"/>
                <w:szCs w:val="18"/>
                <w:highlight w:val="none"/>
                <w:lang w:val="en-US" w:eastAsia="zh-CN" w:bidi="ar-SA"/>
              </w:rPr>
            </w:pPr>
            <w:r>
              <w:rPr>
                <w:color w:val="auto"/>
                <w:kern w:val="0"/>
                <w:sz w:val="18"/>
                <w:szCs w:val="18"/>
                <w:highlight w:val="none"/>
                <w:lang w:bidi="ar"/>
              </w:rPr>
              <w:t>S1</w:t>
            </w:r>
            <w:r>
              <w:rPr>
                <w:rFonts w:hint="default"/>
                <w:color w:val="auto"/>
                <w:kern w:val="0"/>
                <w:sz w:val="18"/>
                <w:szCs w:val="18"/>
                <w:highlight w:val="none"/>
                <w:lang w:val="en-US" w:eastAsia="zh-CN" w:bidi="ar"/>
              </w:rPr>
              <w:t>1</w:t>
            </w:r>
          </w:p>
        </w:tc>
        <w:tc>
          <w:tcPr>
            <w:tcW w:w="660" w:type="pct"/>
            <w:tcBorders>
              <w:tl2br w:val="nil"/>
              <w:tr2bl w:val="nil"/>
            </w:tcBorders>
            <w:noWrap/>
            <w:vAlign w:val="center"/>
          </w:tcPr>
          <w:p w14:paraId="05BB2710">
            <w:pPr>
              <w:widowControl/>
              <w:jc w:val="center"/>
              <w:textAlignment w:val="center"/>
              <w:rPr>
                <w:color w:val="auto"/>
                <w:sz w:val="18"/>
                <w:szCs w:val="18"/>
                <w:highlight w:val="none"/>
              </w:rPr>
            </w:pPr>
            <w:r>
              <w:rPr>
                <w:color w:val="auto"/>
                <w:kern w:val="0"/>
                <w:sz w:val="18"/>
                <w:szCs w:val="18"/>
                <w:highlight w:val="none"/>
                <w:lang w:bidi="ar"/>
              </w:rPr>
              <w:t>/</w:t>
            </w:r>
          </w:p>
        </w:tc>
        <w:tc>
          <w:tcPr>
            <w:tcW w:w="1089" w:type="pct"/>
            <w:tcBorders>
              <w:tl2br w:val="nil"/>
              <w:tr2bl w:val="nil"/>
            </w:tcBorders>
            <w:noWrap/>
            <w:vAlign w:val="center"/>
          </w:tcPr>
          <w:p w14:paraId="0ADA440A">
            <w:pPr>
              <w:widowControl/>
              <w:jc w:val="center"/>
              <w:textAlignment w:val="center"/>
              <w:rPr>
                <w:color w:val="auto"/>
                <w:sz w:val="18"/>
                <w:szCs w:val="18"/>
                <w:highlight w:val="none"/>
              </w:rPr>
            </w:pPr>
            <w:r>
              <w:rPr>
                <w:color w:val="auto"/>
                <w:kern w:val="0"/>
                <w:sz w:val="18"/>
                <w:szCs w:val="18"/>
                <w:highlight w:val="none"/>
                <w:lang w:bidi="ar"/>
              </w:rPr>
              <w:t>废水处理</w:t>
            </w:r>
          </w:p>
        </w:tc>
        <w:tc>
          <w:tcPr>
            <w:tcW w:w="1005" w:type="pct"/>
            <w:tcBorders>
              <w:tl2br w:val="nil"/>
              <w:tr2bl w:val="nil"/>
            </w:tcBorders>
            <w:noWrap/>
            <w:vAlign w:val="center"/>
          </w:tcPr>
          <w:p w14:paraId="522C8862">
            <w:pPr>
              <w:widowControl/>
              <w:jc w:val="center"/>
              <w:textAlignment w:val="center"/>
              <w:rPr>
                <w:color w:val="auto"/>
                <w:sz w:val="18"/>
                <w:szCs w:val="18"/>
                <w:highlight w:val="none"/>
              </w:rPr>
            </w:pPr>
            <w:r>
              <w:rPr>
                <w:color w:val="auto"/>
                <w:kern w:val="0"/>
                <w:sz w:val="18"/>
                <w:szCs w:val="18"/>
                <w:highlight w:val="none"/>
                <w:lang w:bidi="ar"/>
              </w:rPr>
              <w:t>沉淀污泥</w:t>
            </w:r>
          </w:p>
        </w:tc>
        <w:tc>
          <w:tcPr>
            <w:tcW w:w="533" w:type="pct"/>
            <w:tcBorders>
              <w:tl2br w:val="nil"/>
              <w:tr2bl w:val="nil"/>
            </w:tcBorders>
            <w:vAlign w:val="center"/>
          </w:tcPr>
          <w:p w14:paraId="01A35893">
            <w:pPr>
              <w:widowControl/>
              <w:jc w:val="center"/>
              <w:textAlignment w:val="center"/>
              <w:rPr>
                <w:color w:val="auto"/>
                <w:sz w:val="18"/>
                <w:szCs w:val="18"/>
                <w:highlight w:val="none"/>
              </w:rPr>
            </w:pPr>
            <w:r>
              <w:rPr>
                <w:color w:val="auto"/>
                <w:kern w:val="0"/>
                <w:sz w:val="18"/>
                <w:szCs w:val="18"/>
                <w:highlight w:val="none"/>
                <w:lang w:bidi="ar"/>
              </w:rPr>
              <w:t>否</w:t>
            </w:r>
          </w:p>
        </w:tc>
        <w:tc>
          <w:tcPr>
            <w:tcW w:w="758" w:type="pct"/>
            <w:tcBorders>
              <w:tl2br w:val="nil"/>
              <w:tr2bl w:val="nil"/>
            </w:tcBorders>
            <w:noWrap/>
            <w:vAlign w:val="center"/>
          </w:tcPr>
          <w:p w14:paraId="459EA78B">
            <w:pPr>
              <w:widowControl/>
              <w:jc w:val="center"/>
              <w:textAlignment w:val="center"/>
              <w:rPr>
                <w:color w:val="auto"/>
                <w:sz w:val="18"/>
                <w:szCs w:val="18"/>
                <w:highlight w:val="none"/>
              </w:rPr>
            </w:pPr>
            <w:r>
              <w:rPr>
                <w:color w:val="auto"/>
                <w:kern w:val="0"/>
                <w:sz w:val="18"/>
                <w:szCs w:val="18"/>
                <w:highlight w:val="none"/>
                <w:lang w:bidi="ar"/>
              </w:rPr>
              <w:t>SW07/397-004-S07</w:t>
            </w:r>
          </w:p>
        </w:tc>
        <w:tc>
          <w:tcPr>
            <w:tcW w:w="619" w:type="pct"/>
            <w:tcBorders>
              <w:tl2br w:val="nil"/>
              <w:tr2bl w:val="nil"/>
            </w:tcBorders>
            <w:vAlign w:val="center"/>
          </w:tcPr>
          <w:p w14:paraId="78307AC9">
            <w:pPr>
              <w:widowControl/>
              <w:jc w:val="center"/>
              <w:textAlignment w:val="center"/>
              <w:rPr>
                <w:color w:val="auto"/>
                <w:sz w:val="18"/>
                <w:szCs w:val="18"/>
                <w:highlight w:val="none"/>
              </w:rPr>
            </w:pPr>
            <w:r>
              <w:rPr>
                <w:color w:val="auto"/>
                <w:kern w:val="0"/>
                <w:sz w:val="18"/>
                <w:szCs w:val="18"/>
                <w:highlight w:val="none"/>
                <w:lang w:bidi="ar"/>
              </w:rPr>
              <w:t>/</w:t>
            </w:r>
          </w:p>
        </w:tc>
      </w:tr>
      <w:tr w14:paraId="2B20E46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333" w:type="pct"/>
            <w:tcBorders>
              <w:tl2br w:val="nil"/>
              <w:tr2bl w:val="nil"/>
            </w:tcBorders>
            <w:shd w:val="clear" w:color="auto" w:fill="auto"/>
            <w:vAlign w:val="center"/>
          </w:tcPr>
          <w:p w14:paraId="789B5448">
            <w:pPr>
              <w:widowControl/>
              <w:jc w:val="center"/>
              <w:textAlignment w:val="center"/>
              <w:rPr>
                <w:rFonts w:ascii="Times New Roman" w:hAnsi="Times New Roman" w:eastAsia="宋体" w:cs="Times New Roman"/>
                <w:color w:val="auto"/>
                <w:kern w:val="2"/>
                <w:sz w:val="18"/>
                <w:szCs w:val="18"/>
                <w:highlight w:val="none"/>
                <w:lang w:val="en-US" w:eastAsia="zh-CN" w:bidi="ar-SA"/>
              </w:rPr>
            </w:pPr>
            <w:r>
              <w:rPr>
                <w:color w:val="auto"/>
                <w:kern w:val="0"/>
                <w:sz w:val="18"/>
                <w:szCs w:val="18"/>
                <w:highlight w:val="none"/>
                <w:lang w:bidi="ar"/>
              </w:rPr>
              <w:t>S1</w:t>
            </w:r>
            <w:r>
              <w:rPr>
                <w:rFonts w:hint="default"/>
                <w:color w:val="auto"/>
                <w:kern w:val="0"/>
                <w:sz w:val="18"/>
                <w:szCs w:val="18"/>
                <w:highlight w:val="none"/>
                <w:lang w:val="en-US" w:eastAsia="zh-CN" w:bidi="ar"/>
              </w:rPr>
              <w:t>2</w:t>
            </w:r>
          </w:p>
        </w:tc>
        <w:tc>
          <w:tcPr>
            <w:tcW w:w="660" w:type="pct"/>
            <w:tcBorders>
              <w:tl2br w:val="nil"/>
              <w:tr2bl w:val="nil"/>
            </w:tcBorders>
            <w:noWrap/>
            <w:vAlign w:val="center"/>
          </w:tcPr>
          <w:p w14:paraId="62DB3F9A">
            <w:pPr>
              <w:widowControl/>
              <w:jc w:val="center"/>
              <w:textAlignment w:val="center"/>
              <w:rPr>
                <w:color w:val="auto"/>
                <w:sz w:val="18"/>
                <w:szCs w:val="18"/>
                <w:highlight w:val="none"/>
              </w:rPr>
            </w:pPr>
            <w:r>
              <w:rPr>
                <w:color w:val="auto"/>
                <w:kern w:val="0"/>
                <w:sz w:val="18"/>
                <w:szCs w:val="18"/>
                <w:highlight w:val="none"/>
                <w:lang w:bidi="ar"/>
              </w:rPr>
              <w:t>/</w:t>
            </w:r>
          </w:p>
        </w:tc>
        <w:tc>
          <w:tcPr>
            <w:tcW w:w="1089" w:type="pct"/>
            <w:tcBorders>
              <w:tl2br w:val="nil"/>
              <w:tr2bl w:val="nil"/>
            </w:tcBorders>
            <w:noWrap/>
            <w:vAlign w:val="center"/>
          </w:tcPr>
          <w:p w14:paraId="7E9D6630">
            <w:pPr>
              <w:widowControl/>
              <w:jc w:val="center"/>
              <w:textAlignment w:val="center"/>
              <w:rPr>
                <w:color w:val="auto"/>
                <w:sz w:val="18"/>
                <w:szCs w:val="18"/>
                <w:highlight w:val="none"/>
              </w:rPr>
            </w:pPr>
            <w:r>
              <w:rPr>
                <w:color w:val="auto"/>
                <w:kern w:val="0"/>
                <w:sz w:val="18"/>
                <w:szCs w:val="18"/>
                <w:highlight w:val="none"/>
                <w:lang w:bidi="ar"/>
              </w:rPr>
              <w:t>纯水制备</w:t>
            </w:r>
          </w:p>
        </w:tc>
        <w:tc>
          <w:tcPr>
            <w:tcW w:w="1005" w:type="pct"/>
            <w:tcBorders>
              <w:tl2br w:val="nil"/>
              <w:tr2bl w:val="nil"/>
            </w:tcBorders>
            <w:noWrap/>
            <w:vAlign w:val="center"/>
          </w:tcPr>
          <w:p w14:paraId="3E0413A9">
            <w:pPr>
              <w:widowControl/>
              <w:jc w:val="center"/>
              <w:textAlignment w:val="center"/>
              <w:rPr>
                <w:color w:val="auto"/>
                <w:sz w:val="18"/>
                <w:szCs w:val="18"/>
                <w:highlight w:val="none"/>
              </w:rPr>
            </w:pPr>
            <w:r>
              <w:rPr>
                <w:color w:val="auto"/>
                <w:kern w:val="0"/>
                <w:sz w:val="18"/>
                <w:szCs w:val="18"/>
                <w:highlight w:val="none"/>
                <w:lang w:bidi="ar"/>
              </w:rPr>
              <w:t>纯水制备过滤介质</w:t>
            </w:r>
          </w:p>
        </w:tc>
        <w:tc>
          <w:tcPr>
            <w:tcW w:w="533" w:type="pct"/>
            <w:tcBorders>
              <w:tl2br w:val="nil"/>
              <w:tr2bl w:val="nil"/>
            </w:tcBorders>
            <w:noWrap/>
            <w:vAlign w:val="center"/>
          </w:tcPr>
          <w:p w14:paraId="5CBFC582">
            <w:pPr>
              <w:widowControl/>
              <w:jc w:val="center"/>
              <w:textAlignment w:val="center"/>
              <w:rPr>
                <w:color w:val="auto"/>
                <w:sz w:val="18"/>
                <w:szCs w:val="18"/>
                <w:highlight w:val="none"/>
              </w:rPr>
            </w:pPr>
            <w:r>
              <w:rPr>
                <w:color w:val="auto"/>
                <w:kern w:val="0"/>
                <w:sz w:val="18"/>
                <w:szCs w:val="18"/>
                <w:highlight w:val="none"/>
                <w:lang w:bidi="ar"/>
              </w:rPr>
              <w:t>否</w:t>
            </w:r>
          </w:p>
        </w:tc>
        <w:tc>
          <w:tcPr>
            <w:tcW w:w="758" w:type="pct"/>
            <w:tcBorders>
              <w:tl2br w:val="nil"/>
              <w:tr2bl w:val="nil"/>
            </w:tcBorders>
            <w:noWrap/>
            <w:vAlign w:val="center"/>
          </w:tcPr>
          <w:p w14:paraId="56FCCE2F">
            <w:pPr>
              <w:widowControl/>
              <w:jc w:val="center"/>
              <w:textAlignment w:val="center"/>
              <w:rPr>
                <w:color w:val="auto"/>
                <w:sz w:val="18"/>
                <w:szCs w:val="18"/>
                <w:highlight w:val="none"/>
              </w:rPr>
            </w:pPr>
            <w:r>
              <w:rPr>
                <w:color w:val="auto"/>
                <w:kern w:val="0"/>
                <w:sz w:val="18"/>
                <w:szCs w:val="18"/>
                <w:highlight w:val="none"/>
                <w:lang w:bidi="ar"/>
              </w:rPr>
              <w:t>SW59/900-009-S59</w:t>
            </w:r>
          </w:p>
        </w:tc>
        <w:tc>
          <w:tcPr>
            <w:tcW w:w="619" w:type="pct"/>
            <w:tcBorders>
              <w:tl2br w:val="nil"/>
              <w:tr2bl w:val="nil"/>
            </w:tcBorders>
            <w:vAlign w:val="center"/>
          </w:tcPr>
          <w:p w14:paraId="66A8CA67">
            <w:pPr>
              <w:widowControl/>
              <w:jc w:val="center"/>
              <w:textAlignment w:val="center"/>
              <w:rPr>
                <w:color w:val="auto"/>
                <w:sz w:val="18"/>
                <w:szCs w:val="18"/>
                <w:highlight w:val="none"/>
              </w:rPr>
            </w:pPr>
            <w:r>
              <w:rPr>
                <w:color w:val="auto"/>
                <w:kern w:val="0"/>
                <w:sz w:val="18"/>
                <w:szCs w:val="18"/>
                <w:highlight w:val="none"/>
                <w:lang w:bidi="ar"/>
              </w:rPr>
              <w:t>/</w:t>
            </w:r>
          </w:p>
        </w:tc>
      </w:tr>
      <w:tr w14:paraId="6CCC146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333" w:type="pct"/>
            <w:tcBorders>
              <w:tl2br w:val="nil"/>
              <w:tr2bl w:val="nil"/>
            </w:tcBorders>
            <w:shd w:val="clear" w:color="auto" w:fill="auto"/>
            <w:vAlign w:val="center"/>
          </w:tcPr>
          <w:p w14:paraId="63AD30E1">
            <w:pPr>
              <w:widowControl/>
              <w:jc w:val="center"/>
              <w:textAlignment w:val="center"/>
              <w:rPr>
                <w:rFonts w:ascii="Times New Roman" w:hAnsi="Times New Roman" w:eastAsia="宋体" w:cs="Times New Roman"/>
                <w:color w:val="auto"/>
                <w:kern w:val="2"/>
                <w:sz w:val="18"/>
                <w:szCs w:val="18"/>
                <w:highlight w:val="none"/>
                <w:lang w:val="en-US" w:eastAsia="zh-CN" w:bidi="ar-SA"/>
              </w:rPr>
            </w:pPr>
            <w:r>
              <w:rPr>
                <w:color w:val="auto"/>
                <w:kern w:val="0"/>
                <w:sz w:val="18"/>
                <w:szCs w:val="18"/>
                <w:highlight w:val="none"/>
                <w:lang w:bidi="ar"/>
              </w:rPr>
              <w:t>S1</w:t>
            </w:r>
            <w:r>
              <w:rPr>
                <w:rFonts w:hint="default"/>
                <w:color w:val="auto"/>
                <w:kern w:val="0"/>
                <w:sz w:val="18"/>
                <w:szCs w:val="18"/>
                <w:highlight w:val="none"/>
                <w:lang w:val="en-US" w:eastAsia="zh-CN" w:bidi="ar"/>
              </w:rPr>
              <w:t>3</w:t>
            </w:r>
          </w:p>
        </w:tc>
        <w:tc>
          <w:tcPr>
            <w:tcW w:w="660" w:type="pct"/>
            <w:tcBorders>
              <w:tl2br w:val="nil"/>
              <w:tr2bl w:val="nil"/>
            </w:tcBorders>
            <w:noWrap/>
            <w:vAlign w:val="center"/>
          </w:tcPr>
          <w:p w14:paraId="73D6FEEA">
            <w:pPr>
              <w:widowControl/>
              <w:jc w:val="center"/>
              <w:textAlignment w:val="center"/>
              <w:rPr>
                <w:color w:val="auto"/>
                <w:sz w:val="18"/>
                <w:szCs w:val="18"/>
                <w:highlight w:val="none"/>
              </w:rPr>
            </w:pPr>
            <w:r>
              <w:rPr>
                <w:color w:val="auto"/>
                <w:kern w:val="0"/>
                <w:sz w:val="18"/>
                <w:szCs w:val="18"/>
                <w:highlight w:val="none"/>
                <w:lang w:bidi="ar"/>
              </w:rPr>
              <w:t>/</w:t>
            </w:r>
          </w:p>
        </w:tc>
        <w:tc>
          <w:tcPr>
            <w:tcW w:w="1089" w:type="pct"/>
            <w:tcBorders>
              <w:tl2br w:val="nil"/>
              <w:tr2bl w:val="nil"/>
            </w:tcBorders>
            <w:noWrap/>
            <w:vAlign w:val="center"/>
          </w:tcPr>
          <w:p w14:paraId="7E6E963E">
            <w:pPr>
              <w:widowControl/>
              <w:jc w:val="center"/>
              <w:textAlignment w:val="center"/>
              <w:rPr>
                <w:color w:val="auto"/>
                <w:sz w:val="18"/>
                <w:szCs w:val="18"/>
                <w:highlight w:val="none"/>
              </w:rPr>
            </w:pPr>
            <w:r>
              <w:rPr>
                <w:color w:val="auto"/>
                <w:kern w:val="0"/>
                <w:sz w:val="18"/>
                <w:szCs w:val="18"/>
                <w:highlight w:val="none"/>
                <w:lang w:bidi="ar"/>
              </w:rPr>
              <w:t>设备运行</w:t>
            </w:r>
          </w:p>
        </w:tc>
        <w:tc>
          <w:tcPr>
            <w:tcW w:w="1005" w:type="pct"/>
            <w:tcBorders>
              <w:tl2br w:val="nil"/>
              <w:tr2bl w:val="nil"/>
            </w:tcBorders>
            <w:noWrap/>
            <w:vAlign w:val="center"/>
          </w:tcPr>
          <w:p w14:paraId="3BD866B6">
            <w:pPr>
              <w:widowControl/>
              <w:jc w:val="center"/>
              <w:textAlignment w:val="center"/>
              <w:rPr>
                <w:color w:val="auto"/>
                <w:sz w:val="18"/>
                <w:szCs w:val="18"/>
                <w:highlight w:val="none"/>
              </w:rPr>
            </w:pPr>
            <w:r>
              <w:rPr>
                <w:color w:val="auto"/>
                <w:kern w:val="0"/>
                <w:sz w:val="18"/>
                <w:szCs w:val="18"/>
                <w:highlight w:val="none"/>
                <w:lang w:bidi="ar"/>
              </w:rPr>
              <w:t>设备废滤料</w:t>
            </w:r>
          </w:p>
        </w:tc>
        <w:tc>
          <w:tcPr>
            <w:tcW w:w="533" w:type="pct"/>
            <w:tcBorders>
              <w:tl2br w:val="nil"/>
              <w:tr2bl w:val="nil"/>
            </w:tcBorders>
            <w:vAlign w:val="center"/>
          </w:tcPr>
          <w:p w14:paraId="4B0E80A4">
            <w:pPr>
              <w:widowControl/>
              <w:jc w:val="center"/>
              <w:textAlignment w:val="center"/>
              <w:rPr>
                <w:color w:val="auto"/>
                <w:sz w:val="18"/>
                <w:szCs w:val="18"/>
                <w:highlight w:val="none"/>
              </w:rPr>
            </w:pPr>
            <w:r>
              <w:rPr>
                <w:color w:val="auto"/>
                <w:kern w:val="0"/>
                <w:sz w:val="18"/>
                <w:szCs w:val="18"/>
                <w:highlight w:val="none"/>
                <w:lang w:bidi="ar"/>
              </w:rPr>
              <w:t>否</w:t>
            </w:r>
          </w:p>
        </w:tc>
        <w:tc>
          <w:tcPr>
            <w:tcW w:w="758" w:type="pct"/>
            <w:tcBorders>
              <w:tl2br w:val="nil"/>
              <w:tr2bl w:val="nil"/>
            </w:tcBorders>
            <w:noWrap/>
            <w:vAlign w:val="center"/>
          </w:tcPr>
          <w:p w14:paraId="310417D2">
            <w:pPr>
              <w:widowControl/>
              <w:jc w:val="center"/>
              <w:textAlignment w:val="center"/>
              <w:rPr>
                <w:color w:val="auto"/>
                <w:sz w:val="18"/>
                <w:szCs w:val="18"/>
                <w:highlight w:val="none"/>
              </w:rPr>
            </w:pPr>
            <w:r>
              <w:rPr>
                <w:color w:val="auto"/>
                <w:kern w:val="0"/>
                <w:sz w:val="18"/>
                <w:szCs w:val="18"/>
                <w:highlight w:val="none"/>
                <w:lang w:bidi="ar"/>
              </w:rPr>
              <w:t>SW59/900-009-S59</w:t>
            </w:r>
          </w:p>
        </w:tc>
        <w:tc>
          <w:tcPr>
            <w:tcW w:w="619" w:type="pct"/>
            <w:tcBorders>
              <w:tl2br w:val="nil"/>
              <w:tr2bl w:val="nil"/>
            </w:tcBorders>
            <w:vAlign w:val="center"/>
          </w:tcPr>
          <w:p w14:paraId="0039DC3D">
            <w:pPr>
              <w:widowControl/>
              <w:jc w:val="center"/>
              <w:textAlignment w:val="center"/>
              <w:rPr>
                <w:color w:val="auto"/>
                <w:sz w:val="18"/>
                <w:szCs w:val="18"/>
                <w:highlight w:val="none"/>
              </w:rPr>
            </w:pPr>
            <w:r>
              <w:rPr>
                <w:color w:val="auto"/>
                <w:kern w:val="0"/>
                <w:sz w:val="18"/>
                <w:szCs w:val="18"/>
                <w:highlight w:val="none"/>
                <w:lang w:bidi="ar"/>
              </w:rPr>
              <w:t>/</w:t>
            </w:r>
          </w:p>
        </w:tc>
      </w:tr>
      <w:tr w14:paraId="7B05AA5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333" w:type="pct"/>
            <w:tcBorders>
              <w:tl2br w:val="nil"/>
              <w:tr2bl w:val="nil"/>
            </w:tcBorders>
            <w:shd w:val="clear" w:color="auto" w:fill="auto"/>
            <w:vAlign w:val="center"/>
          </w:tcPr>
          <w:p w14:paraId="159C6F05">
            <w:pPr>
              <w:widowControl/>
              <w:jc w:val="center"/>
              <w:textAlignment w:val="center"/>
              <w:rPr>
                <w:rFonts w:ascii="Times New Roman" w:hAnsi="Times New Roman" w:eastAsia="宋体" w:cs="Times New Roman"/>
                <w:color w:val="auto"/>
                <w:kern w:val="2"/>
                <w:sz w:val="18"/>
                <w:szCs w:val="18"/>
                <w:highlight w:val="none"/>
                <w:lang w:val="en-US" w:eastAsia="zh-CN" w:bidi="ar-SA"/>
              </w:rPr>
            </w:pPr>
            <w:r>
              <w:rPr>
                <w:color w:val="auto"/>
                <w:kern w:val="0"/>
                <w:sz w:val="18"/>
                <w:szCs w:val="18"/>
                <w:highlight w:val="none"/>
                <w:lang w:bidi="ar"/>
              </w:rPr>
              <w:t>S1</w:t>
            </w:r>
            <w:r>
              <w:rPr>
                <w:rFonts w:hint="default"/>
                <w:color w:val="auto"/>
                <w:kern w:val="0"/>
                <w:sz w:val="18"/>
                <w:szCs w:val="18"/>
                <w:highlight w:val="none"/>
                <w:lang w:val="en-US" w:eastAsia="zh-CN" w:bidi="ar"/>
              </w:rPr>
              <w:t>4</w:t>
            </w:r>
          </w:p>
        </w:tc>
        <w:tc>
          <w:tcPr>
            <w:tcW w:w="660" w:type="pct"/>
            <w:tcBorders>
              <w:tl2br w:val="nil"/>
              <w:tr2bl w:val="nil"/>
            </w:tcBorders>
            <w:noWrap/>
            <w:vAlign w:val="center"/>
          </w:tcPr>
          <w:p w14:paraId="734F8958">
            <w:pPr>
              <w:widowControl/>
              <w:jc w:val="center"/>
              <w:textAlignment w:val="center"/>
              <w:rPr>
                <w:color w:val="auto"/>
                <w:sz w:val="18"/>
                <w:szCs w:val="18"/>
                <w:highlight w:val="none"/>
              </w:rPr>
            </w:pPr>
            <w:r>
              <w:rPr>
                <w:color w:val="auto"/>
                <w:kern w:val="0"/>
                <w:sz w:val="18"/>
                <w:szCs w:val="18"/>
                <w:highlight w:val="none"/>
                <w:lang w:bidi="ar"/>
              </w:rPr>
              <w:t>/</w:t>
            </w:r>
          </w:p>
        </w:tc>
        <w:tc>
          <w:tcPr>
            <w:tcW w:w="1089" w:type="pct"/>
            <w:tcBorders>
              <w:tl2br w:val="nil"/>
              <w:tr2bl w:val="nil"/>
            </w:tcBorders>
            <w:noWrap/>
            <w:vAlign w:val="center"/>
          </w:tcPr>
          <w:p w14:paraId="47F11A14">
            <w:pPr>
              <w:widowControl/>
              <w:jc w:val="center"/>
              <w:textAlignment w:val="center"/>
              <w:rPr>
                <w:color w:val="auto"/>
                <w:sz w:val="18"/>
                <w:szCs w:val="18"/>
                <w:highlight w:val="none"/>
              </w:rPr>
            </w:pPr>
            <w:r>
              <w:rPr>
                <w:color w:val="auto"/>
                <w:kern w:val="0"/>
                <w:sz w:val="18"/>
                <w:szCs w:val="18"/>
                <w:highlight w:val="none"/>
                <w:lang w:bidi="ar"/>
              </w:rPr>
              <w:t>设备运行</w:t>
            </w:r>
          </w:p>
        </w:tc>
        <w:tc>
          <w:tcPr>
            <w:tcW w:w="1005" w:type="pct"/>
            <w:tcBorders>
              <w:tl2br w:val="nil"/>
              <w:tr2bl w:val="nil"/>
            </w:tcBorders>
            <w:noWrap/>
            <w:vAlign w:val="center"/>
          </w:tcPr>
          <w:p w14:paraId="02D0E0AE">
            <w:pPr>
              <w:widowControl/>
              <w:jc w:val="center"/>
              <w:textAlignment w:val="center"/>
              <w:rPr>
                <w:color w:val="auto"/>
                <w:sz w:val="18"/>
                <w:szCs w:val="18"/>
                <w:highlight w:val="none"/>
              </w:rPr>
            </w:pPr>
            <w:r>
              <w:rPr>
                <w:color w:val="auto"/>
                <w:kern w:val="0"/>
                <w:sz w:val="18"/>
                <w:szCs w:val="18"/>
                <w:highlight w:val="none"/>
                <w:lang w:bidi="ar"/>
              </w:rPr>
              <w:t>废布袋</w:t>
            </w:r>
          </w:p>
        </w:tc>
        <w:tc>
          <w:tcPr>
            <w:tcW w:w="533" w:type="pct"/>
            <w:tcBorders>
              <w:tl2br w:val="nil"/>
              <w:tr2bl w:val="nil"/>
            </w:tcBorders>
            <w:noWrap/>
            <w:vAlign w:val="center"/>
          </w:tcPr>
          <w:p w14:paraId="0B578114">
            <w:pPr>
              <w:widowControl/>
              <w:jc w:val="center"/>
              <w:textAlignment w:val="center"/>
              <w:rPr>
                <w:color w:val="auto"/>
                <w:sz w:val="18"/>
                <w:szCs w:val="18"/>
                <w:highlight w:val="none"/>
              </w:rPr>
            </w:pPr>
            <w:r>
              <w:rPr>
                <w:color w:val="auto"/>
                <w:kern w:val="0"/>
                <w:sz w:val="18"/>
                <w:szCs w:val="18"/>
                <w:highlight w:val="none"/>
                <w:lang w:bidi="ar"/>
              </w:rPr>
              <w:t>否</w:t>
            </w:r>
          </w:p>
        </w:tc>
        <w:tc>
          <w:tcPr>
            <w:tcW w:w="758" w:type="pct"/>
            <w:tcBorders>
              <w:tl2br w:val="nil"/>
              <w:tr2bl w:val="nil"/>
            </w:tcBorders>
            <w:noWrap/>
            <w:vAlign w:val="center"/>
          </w:tcPr>
          <w:p w14:paraId="35D4BF1A">
            <w:pPr>
              <w:widowControl/>
              <w:jc w:val="center"/>
              <w:textAlignment w:val="center"/>
              <w:rPr>
                <w:color w:val="auto"/>
                <w:sz w:val="18"/>
                <w:szCs w:val="18"/>
                <w:highlight w:val="none"/>
              </w:rPr>
            </w:pPr>
            <w:r>
              <w:rPr>
                <w:color w:val="auto"/>
                <w:kern w:val="0"/>
                <w:sz w:val="18"/>
                <w:szCs w:val="18"/>
                <w:highlight w:val="none"/>
                <w:lang w:bidi="ar"/>
              </w:rPr>
              <w:t>SW59/900-009-S59</w:t>
            </w:r>
          </w:p>
        </w:tc>
        <w:tc>
          <w:tcPr>
            <w:tcW w:w="619" w:type="pct"/>
            <w:tcBorders>
              <w:tl2br w:val="nil"/>
              <w:tr2bl w:val="nil"/>
            </w:tcBorders>
            <w:vAlign w:val="center"/>
          </w:tcPr>
          <w:p w14:paraId="33F97D96">
            <w:pPr>
              <w:widowControl/>
              <w:jc w:val="center"/>
              <w:textAlignment w:val="center"/>
              <w:rPr>
                <w:color w:val="auto"/>
                <w:sz w:val="18"/>
                <w:szCs w:val="18"/>
                <w:highlight w:val="none"/>
              </w:rPr>
            </w:pPr>
            <w:r>
              <w:rPr>
                <w:color w:val="auto"/>
                <w:kern w:val="0"/>
                <w:sz w:val="18"/>
                <w:szCs w:val="18"/>
                <w:highlight w:val="none"/>
                <w:lang w:bidi="ar"/>
              </w:rPr>
              <w:t>/</w:t>
            </w:r>
          </w:p>
        </w:tc>
      </w:tr>
      <w:tr w14:paraId="70DE322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333" w:type="pct"/>
            <w:tcBorders>
              <w:tl2br w:val="nil"/>
              <w:tr2bl w:val="nil"/>
            </w:tcBorders>
            <w:vAlign w:val="center"/>
          </w:tcPr>
          <w:p w14:paraId="730FB9FD">
            <w:pPr>
              <w:widowControl/>
              <w:jc w:val="center"/>
              <w:textAlignment w:val="center"/>
              <w:rPr>
                <w:rFonts w:hint="default" w:eastAsia="宋体"/>
                <w:color w:val="auto"/>
                <w:sz w:val="18"/>
                <w:szCs w:val="18"/>
                <w:highlight w:val="none"/>
                <w:lang w:val="en-US" w:eastAsia="zh-CN"/>
              </w:rPr>
            </w:pPr>
            <w:r>
              <w:rPr>
                <w:rFonts w:hint="default"/>
                <w:color w:val="auto"/>
                <w:sz w:val="18"/>
                <w:szCs w:val="18"/>
                <w:highlight w:val="none"/>
                <w:lang w:val="en-US" w:eastAsia="zh-CN"/>
              </w:rPr>
              <w:t>S15</w:t>
            </w:r>
          </w:p>
        </w:tc>
        <w:tc>
          <w:tcPr>
            <w:tcW w:w="660" w:type="pct"/>
            <w:tcBorders>
              <w:tl2br w:val="nil"/>
              <w:tr2bl w:val="nil"/>
            </w:tcBorders>
            <w:noWrap/>
            <w:vAlign w:val="center"/>
          </w:tcPr>
          <w:p w14:paraId="03C8B1B6">
            <w:pPr>
              <w:widowControl/>
              <w:jc w:val="center"/>
              <w:textAlignment w:val="center"/>
              <w:rPr>
                <w:color w:val="auto"/>
                <w:sz w:val="18"/>
                <w:szCs w:val="18"/>
                <w:highlight w:val="none"/>
              </w:rPr>
            </w:pPr>
            <w:r>
              <w:rPr>
                <w:color w:val="auto"/>
                <w:kern w:val="0"/>
                <w:sz w:val="18"/>
                <w:szCs w:val="18"/>
                <w:highlight w:val="none"/>
                <w:lang w:bidi="ar"/>
              </w:rPr>
              <w:t>/</w:t>
            </w:r>
          </w:p>
        </w:tc>
        <w:tc>
          <w:tcPr>
            <w:tcW w:w="1089" w:type="pct"/>
            <w:tcBorders>
              <w:tl2br w:val="nil"/>
              <w:tr2bl w:val="nil"/>
            </w:tcBorders>
            <w:noWrap/>
            <w:vAlign w:val="center"/>
          </w:tcPr>
          <w:p w14:paraId="1454811A">
            <w:pPr>
              <w:widowControl/>
              <w:jc w:val="center"/>
              <w:textAlignment w:val="center"/>
              <w:rPr>
                <w:color w:val="auto"/>
                <w:sz w:val="18"/>
                <w:szCs w:val="18"/>
                <w:highlight w:val="none"/>
              </w:rPr>
            </w:pPr>
            <w:r>
              <w:rPr>
                <w:color w:val="auto"/>
                <w:kern w:val="0"/>
                <w:sz w:val="18"/>
                <w:szCs w:val="18"/>
                <w:highlight w:val="none"/>
                <w:lang w:bidi="ar"/>
              </w:rPr>
              <w:t>员工生活</w:t>
            </w:r>
          </w:p>
        </w:tc>
        <w:tc>
          <w:tcPr>
            <w:tcW w:w="1005" w:type="pct"/>
            <w:tcBorders>
              <w:tl2br w:val="nil"/>
              <w:tr2bl w:val="nil"/>
            </w:tcBorders>
            <w:noWrap/>
            <w:vAlign w:val="center"/>
          </w:tcPr>
          <w:p w14:paraId="015C5741">
            <w:pPr>
              <w:widowControl/>
              <w:jc w:val="center"/>
              <w:textAlignment w:val="center"/>
              <w:rPr>
                <w:color w:val="auto"/>
                <w:sz w:val="18"/>
                <w:szCs w:val="18"/>
                <w:highlight w:val="none"/>
              </w:rPr>
            </w:pPr>
            <w:r>
              <w:rPr>
                <w:color w:val="auto"/>
                <w:kern w:val="0"/>
                <w:sz w:val="18"/>
                <w:szCs w:val="18"/>
                <w:highlight w:val="none"/>
                <w:lang w:bidi="ar"/>
              </w:rPr>
              <w:t>生活垃圾</w:t>
            </w:r>
          </w:p>
        </w:tc>
        <w:tc>
          <w:tcPr>
            <w:tcW w:w="533" w:type="pct"/>
            <w:tcBorders>
              <w:tl2br w:val="nil"/>
              <w:tr2bl w:val="nil"/>
            </w:tcBorders>
            <w:vAlign w:val="center"/>
          </w:tcPr>
          <w:p w14:paraId="66ABBD2D">
            <w:pPr>
              <w:widowControl/>
              <w:jc w:val="center"/>
              <w:textAlignment w:val="center"/>
              <w:rPr>
                <w:color w:val="auto"/>
                <w:sz w:val="18"/>
                <w:szCs w:val="18"/>
                <w:highlight w:val="none"/>
              </w:rPr>
            </w:pPr>
            <w:r>
              <w:rPr>
                <w:color w:val="auto"/>
                <w:kern w:val="0"/>
                <w:sz w:val="18"/>
                <w:szCs w:val="18"/>
                <w:highlight w:val="none"/>
                <w:lang w:bidi="ar"/>
              </w:rPr>
              <w:t>否</w:t>
            </w:r>
          </w:p>
        </w:tc>
        <w:tc>
          <w:tcPr>
            <w:tcW w:w="758" w:type="pct"/>
            <w:tcBorders>
              <w:tl2br w:val="nil"/>
              <w:tr2bl w:val="nil"/>
            </w:tcBorders>
            <w:noWrap/>
            <w:vAlign w:val="center"/>
          </w:tcPr>
          <w:p w14:paraId="3D08C167">
            <w:pPr>
              <w:widowControl/>
              <w:jc w:val="center"/>
              <w:textAlignment w:val="center"/>
              <w:rPr>
                <w:color w:val="auto"/>
                <w:sz w:val="18"/>
                <w:szCs w:val="18"/>
                <w:highlight w:val="none"/>
              </w:rPr>
            </w:pPr>
            <w:r>
              <w:rPr>
                <w:color w:val="auto"/>
                <w:kern w:val="0"/>
                <w:sz w:val="18"/>
                <w:szCs w:val="18"/>
                <w:highlight w:val="none"/>
                <w:lang w:bidi="ar"/>
              </w:rPr>
              <w:t>SW64/900-099-S64</w:t>
            </w:r>
          </w:p>
        </w:tc>
        <w:tc>
          <w:tcPr>
            <w:tcW w:w="619" w:type="pct"/>
            <w:tcBorders>
              <w:tl2br w:val="nil"/>
              <w:tr2bl w:val="nil"/>
            </w:tcBorders>
            <w:vAlign w:val="center"/>
          </w:tcPr>
          <w:p w14:paraId="18B10286">
            <w:pPr>
              <w:widowControl/>
              <w:jc w:val="center"/>
              <w:textAlignment w:val="center"/>
              <w:rPr>
                <w:color w:val="auto"/>
                <w:sz w:val="18"/>
                <w:szCs w:val="18"/>
                <w:highlight w:val="none"/>
              </w:rPr>
            </w:pPr>
            <w:r>
              <w:rPr>
                <w:color w:val="auto"/>
                <w:kern w:val="0"/>
                <w:sz w:val="18"/>
                <w:szCs w:val="18"/>
                <w:highlight w:val="none"/>
                <w:lang w:bidi="ar"/>
              </w:rPr>
              <w:t>/</w:t>
            </w:r>
          </w:p>
        </w:tc>
      </w:tr>
    </w:tbl>
    <w:p w14:paraId="21D9C5B7">
      <w:pPr>
        <w:spacing w:line="360" w:lineRule="auto"/>
        <w:rPr>
          <w:rFonts w:hint="default"/>
          <w:b/>
          <w:bCs/>
          <w:color w:val="auto"/>
          <w:szCs w:val="21"/>
          <w:highlight w:val="none"/>
        </w:rPr>
      </w:pPr>
      <w:r>
        <w:rPr>
          <w:rFonts w:hint="default"/>
          <w:b/>
          <w:bCs/>
          <w:color w:val="auto"/>
          <w:szCs w:val="21"/>
          <w:highlight w:val="none"/>
        </w:rPr>
        <w:t>4、固废污染源源强核算结果</w:t>
      </w:r>
    </w:p>
    <w:p w14:paraId="139EFA87">
      <w:pPr>
        <w:spacing w:line="360" w:lineRule="auto"/>
        <w:ind w:firstLine="420" w:firstLineChars="200"/>
        <w:rPr>
          <w:rFonts w:hint="default" w:eastAsia="宋体"/>
          <w:b/>
          <w:bCs/>
          <w:color w:val="auto"/>
          <w:szCs w:val="21"/>
          <w:highlight w:val="none"/>
          <w:lang w:val="en-US" w:eastAsia="zh-CN"/>
        </w:rPr>
      </w:pPr>
      <w:r>
        <w:rPr>
          <w:rFonts w:hint="default"/>
          <w:b w:val="0"/>
          <w:bCs w:val="0"/>
          <w:color w:val="auto"/>
          <w:szCs w:val="21"/>
          <w:highlight w:val="none"/>
          <w:lang w:val="en-US" w:eastAsia="zh-CN"/>
        </w:rPr>
        <w:t>本项目固体废物污染源源强核算结果如表4-1</w:t>
      </w:r>
      <w:r>
        <w:rPr>
          <w:rFonts w:hint="eastAsia"/>
          <w:b w:val="0"/>
          <w:bCs w:val="0"/>
          <w:color w:val="auto"/>
          <w:szCs w:val="21"/>
          <w:highlight w:val="none"/>
          <w:lang w:val="en-US" w:eastAsia="zh-CN"/>
        </w:rPr>
        <w:t>8</w:t>
      </w:r>
      <w:r>
        <w:rPr>
          <w:rFonts w:hint="default"/>
          <w:b w:val="0"/>
          <w:bCs w:val="0"/>
          <w:color w:val="auto"/>
          <w:szCs w:val="21"/>
          <w:highlight w:val="none"/>
          <w:lang w:val="en-US" w:eastAsia="zh-CN"/>
        </w:rPr>
        <w:t>所示</w:t>
      </w:r>
      <w:r>
        <w:rPr>
          <w:rFonts w:hint="default"/>
          <w:b/>
          <w:bCs/>
          <w:color w:val="auto"/>
          <w:szCs w:val="21"/>
          <w:highlight w:val="none"/>
          <w:lang w:val="en-US" w:eastAsia="zh-CN"/>
        </w:rPr>
        <w:t>。</w:t>
      </w:r>
    </w:p>
    <w:p w14:paraId="07934AA5">
      <w:pPr>
        <w:numPr>
          <w:ilvl w:val="0"/>
          <w:numId w:val="8"/>
        </w:numPr>
        <w:spacing w:line="360" w:lineRule="auto"/>
        <w:jc w:val="center"/>
        <w:rPr>
          <w:rFonts w:hint="default" w:ascii="Times New Roman" w:hAnsi="Times New Roman" w:eastAsia="黑体" w:cs="Times New Roman"/>
          <w:b w:val="0"/>
          <w:bCs w:val="0"/>
          <w:color w:val="auto"/>
          <w:szCs w:val="21"/>
          <w:highlight w:val="none"/>
        </w:rPr>
      </w:pPr>
      <w:r>
        <w:rPr>
          <w:rFonts w:hint="default" w:ascii="Times New Roman" w:hAnsi="Times New Roman" w:eastAsia="黑体" w:cs="Times New Roman"/>
          <w:b w:val="0"/>
          <w:bCs w:val="0"/>
          <w:color w:val="auto"/>
          <w:spacing w:val="-10"/>
          <w:szCs w:val="21"/>
          <w:highlight w:val="none"/>
          <w:lang w:val="en-US" w:eastAsia="zh-CN"/>
        </w:rPr>
        <w:t xml:space="preserve"> </w:t>
      </w:r>
      <w:r>
        <w:rPr>
          <w:rFonts w:hint="default" w:ascii="Times New Roman" w:hAnsi="Times New Roman" w:eastAsia="黑体" w:cs="Times New Roman"/>
          <w:b w:val="0"/>
          <w:bCs w:val="0"/>
          <w:color w:val="auto"/>
          <w:spacing w:val="-10"/>
          <w:szCs w:val="21"/>
          <w:highlight w:val="none"/>
        </w:rPr>
        <w:t>项目固废污染源源强核算结果及相关参数一览表</w:t>
      </w:r>
    </w:p>
    <w:tbl>
      <w:tblPr>
        <w:tblStyle w:val="24"/>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91"/>
        <w:gridCol w:w="1336"/>
        <w:gridCol w:w="1709"/>
        <w:gridCol w:w="2266"/>
        <w:gridCol w:w="965"/>
        <w:gridCol w:w="965"/>
        <w:gridCol w:w="1091"/>
        <w:gridCol w:w="1521"/>
        <w:gridCol w:w="1091"/>
        <w:gridCol w:w="1896"/>
      </w:tblGrid>
      <w:tr w14:paraId="599BCA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2" w:hRule="atLeast"/>
        </w:trPr>
        <w:tc>
          <w:tcPr>
            <w:tcW w:w="220" w:type="pct"/>
            <w:vMerge w:val="restart"/>
            <w:tcBorders>
              <w:top w:val="single" w:color="000000" w:sz="12" w:space="0"/>
              <w:left w:val="single" w:color="000000" w:sz="12" w:space="0"/>
              <w:bottom w:val="single" w:color="000000" w:sz="4" w:space="0"/>
              <w:right w:val="single" w:color="000000" w:sz="4" w:space="0"/>
            </w:tcBorders>
            <w:shd w:val="clear" w:color="auto" w:fill="auto"/>
            <w:vAlign w:val="center"/>
          </w:tcPr>
          <w:p w14:paraId="587E1516">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序号</w:t>
            </w:r>
          </w:p>
        </w:tc>
        <w:tc>
          <w:tcPr>
            <w:tcW w:w="497" w:type="pct"/>
            <w:vMerge w:val="restart"/>
            <w:tcBorders>
              <w:top w:val="single" w:color="000000" w:sz="12" w:space="0"/>
              <w:left w:val="single" w:color="000000" w:sz="4" w:space="0"/>
              <w:bottom w:val="single" w:color="000000" w:sz="4" w:space="0"/>
              <w:right w:val="single" w:color="000000" w:sz="4" w:space="0"/>
            </w:tcBorders>
            <w:shd w:val="clear" w:color="auto" w:fill="auto"/>
            <w:vAlign w:val="center"/>
          </w:tcPr>
          <w:p w14:paraId="3C9A15B8">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生产线</w:t>
            </w:r>
          </w:p>
        </w:tc>
        <w:tc>
          <w:tcPr>
            <w:tcW w:w="636" w:type="pct"/>
            <w:vMerge w:val="restart"/>
            <w:tcBorders>
              <w:top w:val="single" w:color="000000" w:sz="12" w:space="0"/>
              <w:left w:val="single" w:color="000000" w:sz="4" w:space="0"/>
              <w:bottom w:val="single" w:color="000000" w:sz="4" w:space="0"/>
              <w:right w:val="single" w:color="000000" w:sz="4" w:space="0"/>
            </w:tcBorders>
            <w:shd w:val="clear" w:color="auto" w:fill="auto"/>
            <w:vAlign w:val="center"/>
          </w:tcPr>
          <w:p w14:paraId="341D8FEB">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产生工序</w:t>
            </w:r>
          </w:p>
        </w:tc>
        <w:tc>
          <w:tcPr>
            <w:tcW w:w="843" w:type="pct"/>
            <w:vMerge w:val="restart"/>
            <w:tcBorders>
              <w:top w:val="single" w:color="000000" w:sz="12" w:space="0"/>
              <w:left w:val="single" w:color="000000" w:sz="4" w:space="0"/>
              <w:bottom w:val="single" w:color="000000" w:sz="4" w:space="0"/>
              <w:right w:val="single" w:color="000000" w:sz="4" w:space="0"/>
            </w:tcBorders>
            <w:shd w:val="clear" w:color="auto" w:fill="auto"/>
            <w:vAlign w:val="center"/>
          </w:tcPr>
          <w:p w14:paraId="500335D5">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名称</w:t>
            </w:r>
          </w:p>
        </w:tc>
        <w:tc>
          <w:tcPr>
            <w:tcW w:w="359" w:type="pct"/>
            <w:vMerge w:val="restart"/>
            <w:tcBorders>
              <w:top w:val="single" w:color="000000" w:sz="12" w:space="0"/>
              <w:left w:val="single" w:color="000000" w:sz="4" w:space="0"/>
              <w:bottom w:val="single" w:color="000000" w:sz="4" w:space="0"/>
              <w:right w:val="single" w:color="000000" w:sz="4" w:space="0"/>
            </w:tcBorders>
            <w:shd w:val="clear" w:color="auto" w:fill="auto"/>
            <w:vAlign w:val="center"/>
          </w:tcPr>
          <w:p w14:paraId="593A7616">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固废属性</w:t>
            </w:r>
          </w:p>
        </w:tc>
        <w:tc>
          <w:tcPr>
            <w:tcW w:w="765" w:type="pct"/>
            <w:gridSpan w:val="2"/>
            <w:tcBorders>
              <w:top w:val="single" w:color="000000" w:sz="12" w:space="0"/>
              <w:left w:val="single" w:color="000000" w:sz="4" w:space="0"/>
              <w:bottom w:val="single" w:color="000000" w:sz="4" w:space="0"/>
              <w:right w:val="single" w:color="000000" w:sz="4" w:space="0"/>
            </w:tcBorders>
            <w:shd w:val="clear" w:color="auto" w:fill="auto"/>
            <w:vAlign w:val="center"/>
          </w:tcPr>
          <w:p w14:paraId="6E87FBD8">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产生情况</w:t>
            </w:r>
          </w:p>
        </w:tc>
        <w:tc>
          <w:tcPr>
            <w:tcW w:w="972" w:type="pct"/>
            <w:gridSpan w:val="2"/>
            <w:tcBorders>
              <w:top w:val="single" w:color="000000" w:sz="12" w:space="0"/>
              <w:left w:val="single" w:color="000000" w:sz="4" w:space="0"/>
              <w:bottom w:val="single" w:color="000000" w:sz="4" w:space="0"/>
              <w:right w:val="single" w:color="000000" w:sz="4" w:space="0"/>
            </w:tcBorders>
            <w:shd w:val="clear" w:color="auto" w:fill="auto"/>
            <w:vAlign w:val="center"/>
          </w:tcPr>
          <w:p w14:paraId="54C83338">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处置措施</w:t>
            </w:r>
          </w:p>
        </w:tc>
        <w:tc>
          <w:tcPr>
            <w:tcW w:w="705" w:type="pct"/>
            <w:tcBorders>
              <w:top w:val="single" w:color="000000" w:sz="12" w:space="0"/>
              <w:left w:val="single" w:color="000000" w:sz="4" w:space="0"/>
              <w:bottom w:val="single" w:color="000000" w:sz="4" w:space="0"/>
              <w:right w:val="single" w:color="000000" w:sz="12" w:space="0"/>
            </w:tcBorders>
            <w:shd w:val="clear" w:color="auto" w:fill="auto"/>
            <w:vAlign w:val="center"/>
          </w:tcPr>
          <w:p w14:paraId="3E7568AA">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最终去向</w:t>
            </w:r>
          </w:p>
        </w:tc>
      </w:tr>
      <w:tr w14:paraId="4596E6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2" w:hRule="atLeast"/>
        </w:trPr>
        <w:tc>
          <w:tcPr>
            <w:tcW w:w="220" w:type="pct"/>
            <w:vMerge w:val="continue"/>
            <w:tcBorders>
              <w:top w:val="single" w:color="000000" w:sz="4" w:space="0"/>
              <w:left w:val="single" w:color="000000" w:sz="12" w:space="0"/>
              <w:bottom w:val="single" w:color="000000" w:sz="4" w:space="0"/>
              <w:right w:val="single" w:color="000000" w:sz="4" w:space="0"/>
            </w:tcBorders>
            <w:shd w:val="clear" w:color="auto" w:fill="auto"/>
            <w:vAlign w:val="center"/>
          </w:tcPr>
          <w:p w14:paraId="26623B57">
            <w:pPr>
              <w:jc w:val="center"/>
              <w:rPr>
                <w:rFonts w:hint="default" w:ascii="Times New Roman" w:hAnsi="Times New Roman" w:eastAsia="宋体" w:cs="Times New Roman"/>
                <w:i w:val="0"/>
                <w:iCs w:val="0"/>
                <w:color w:val="auto"/>
                <w:sz w:val="18"/>
                <w:szCs w:val="18"/>
                <w:highlight w:val="none"/>
                <w:u w:val="none"/>
              </w:rPr>
            </w:pPr>
          </w:p>
        </w:tc>
        <w:tc>
          <w:tcPr>
            <w:tcW w:w="49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F4803D">
            <w:pPr>
              <w:jc w:val="center"/>
              <w:rPr>
                <w:rFonts w:hint="default" w:ascii="Times New Roman" w:hAnsi="Times New Roman" w:eastAsia="宋体" w:cs="Times New Roman"/>
                <w:i w:val="0"/>
                <w:iCs w:val="0"/>
                <w:color w:val="auto"/>
                <w:sz w:val="18"/>
                <w:szCs w:val="18"/>
                <w:highlight w:val="none"/>
                <w:u w:val="none"/>
              </w:rPr>
            </w:pPr>
          </w:p>
        </w:tc>
        <w:tc>
          <w:tcPr>
            <w:tcW w:w="6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D6AE53">
            <w:pPr>
              <w:jc w:val="center"/>
              <w:rPr>
                <w:rFonts w:hint="default" w:ascii="Times New Roman" w:hAnsi="Times New Roman" w:eastAsia="宋体" w:cs="Times New Roman"/>
                <w:i w:val="0"/>
                <w:iCs w:val="0"/>
                <w:color w:val="auto"/>
                <w:sz w:val="18"/>
                <w:szCs w:val="18"/>
                <w:highlight w:val="none"/>
                <w:u w:val="none"/>
              </w:rPr>
            </w:pPr>
          </w:p>
        </w:tc>
        <w:tc>
          <w:tcPr>
            <w:tcW w:w="8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13AD30">
            <w:pPr>
              <w:jc w:val="center"/>
              <w:rPr>
                <w:rFonts w:hint="default" w:ascii="Times New Roman" w:hAnsi="Times New Roman" w:eastAsia="宋体" w:cs="Times New Roman"/>
                <w:i w:val="0"/>
                <w:iCs w:val="0"/>
                <w:color w:val="auto"/>
                <w:sz w:val="18"/>
                <w:szCs w:val="18"/>
                <w:highlight w:val="none"/>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B6D339">
            <w:pPr>
              <w:jc w:val="center"/>
              <w:rPr>
                <w:rFonts w:hint="default" w:ascii="Times New Roman" w:hAnsi="Times New Roman" w:eastAsia="宋体" w:cs="Times New Roman"/>
                <w:i w:val="0"/>
                <w:iCs w:val="0"/>
                <w:color w:val="auto"/>
                <w:sz w:val="18"/>
                <w:szCs w:val="18"/>
                <w:highlight w:val="none"/>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DFFE0F">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核算方法</w:t>
            </w:r>
          </w:p>
        </w:tc>
        <w:tc>
          <w:tcPr>
            <w:tcW w:w="4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2A585B">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产生量(t/a)</w:t>
            </w:r>
          </w:p>
        </w:tc>
        <w:tc>
          <w:tcPr>
            <w:tcW w:w="5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3193D5">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工艺</w:t>
            </w:r>
          </w:p>
        </w:tc>
        <w:tc>
          <w:tcPr>
            <w:tcW w:w="4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2EBD60">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处置量(t/a)</w:t>
            </w:r>
          </w:p>
        </w:tc>
        <w:tc>
          <w:tcPr>
            <w:tcW w:w="705" w:type="pct"/>
            <w:tcBorders>
              <w:top w:val="single" w:color="000000" w:sz="4" w:space="0"/>
              <w:left w:val="single" w:color="000000" w:sz="4" w:space="0"/>
              <w:bottom w:val="single" w:color="000000" w:sz="4" w:space="0"/>
              <w:right w:val="single" w:color="000000" w:sz="12" w:space="0"/>
            </w:tcBorders>
            <w:shd w:val="clear" w:color="auto" w:fill="auto"/>
            <w:vAlign w:val="center"/>
          </w:tcPr>
          <w:p w14:paraId="72FA2D93">
            <w:pPr>
              <w:jc w:val="center"/>
              <w:rPr>
                <w:rFonts w:hint="default" w:ascii="Times New Roman" w:hAnsi="Times New Roman" w:eastAsia="宋体" w:cs="Times New Roman"/>
                <w:i w:val="0"/>
                <w:iCs w:val="0"/>
                <w:color w:val="auto"/>
                <w:sz w:val="18"/>
                <w:szCs w:val="18"/>
                <w:highlight w:val="none"/>
                <w:u w:val="none"/>
              </w:rPr>
            </w:pPr>
          </w:p>
        </w:tc>
      </w:tr>
      <w:tr w14:paraId="56203B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2" w:hRule="atLeast"/>
        </w:trPr>
        <w:tc>
          <w:tcPr>
            <w:tcW w:w="220" w:type="pct"/>
            <w:tcBorders>
              <w:top w:val="single" w:color="000000" w:sz="4" w:space="0"/>
              <w:left w:val="single" w:color="000000" w:sz="12" w:space="0"/>
              <w:bottom w:val="single" w:color="000000" w:sz="4" w:space="0"/>
              <w:right w:val="single" w:color="000000" w:sz="4" w:space="0"/>
            </w:tcBorders>
            <w:shd w:val="clear" w:color="auto" w:fill="auto"/>
            <w:vAlign w:val="center"/>
          </w:tcPr>
          <w:p w14:paraId="03C5C23B">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S1</w:t>
            </w:r>
          </w:p>
        </w:tc>
        <w:tc>
          <w:tcPr>
            <w:tcW w:w="49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8C3AE0">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正极材料制备</w:t>
            </w:r>
          </w:p>
        </w:tc>
        <w:tc>
          <w:tcPr>
            <w:tcW w:w="6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E85259">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原材料投料</w:t>
            </w:r>
          </w:p>
        </w:tc>
        <w:tc>
          <w:tcPr>
            <w:tcW w:w="8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4A8886">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废包装材料</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9DCC7D">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一般废物</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7D25B5">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类比</w:t>
            </w:r>
          </w:p>
        </w:tc>
        <w:tc>
          <w:tcPr>
            <w:tcW w:w="4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3FB38E">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 xml:space="preserve">0.040 </w:t>
            </w:r>
          </w:p>
        </w:tc>
        <w:tc>
          <w:tcPr>
            <w:tcW w:w="5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5E7131">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资源化</w:t>
            </w:r>
          </w:p>
        </w:tc>
        <w:tc>
          <w:tcPr>
            <w:tcW w:w="4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D49552">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 xml:space="preserve">0.040 </w:t>
            </w:r>
          </w:p>
        </w:tc>
        <w:tc>
          <w:tcPr>
            <w:tcW w:w="705" w:type="pct"/>
            <w:vMerge w:val="restart"/>
            <w:tcBorders>
              <w:top w:val="single" w:color="000000" w:sz="4" w:space="0"/>
              <w:left w:val="single" w:color="000000" w:sz="4" w:space="0"/>
              <w:right w:val="single" w:color="000000" w:sz="12" w:space="0"/>
            </w:tcBorders>
            <w:shd w:val="clear" w:color="auto" w:fill="auto"/>
            <w:vAlign w:val="center"/>
          </w:tcPr>
          <w:p w14:paraId="6D8ED7A1">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委托处置</w:t>
            </w:r>
          </w:p>
        </w:tc>
      </w:tr>
      <w:tr w14:paraId="78D766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2" w:hRule="atLeast"/>
        </w:trPr>
        <w:tc>
          <w:tcPr>
            <w:tcW w:w="220" w:type="pct"/>
            <w:tcBorders>
              <w:top w:val="single" w:color="000000" w:sz="4" w:space="0"/>
              <w:left w:val="single" w:color="000000" w:sz="12" w:space="0"/>
              <w:bottom w:val="single" w:color="000000" w:sz="4" w:space="0"/>
              <w:right w:val="single" w:color="000000" w:sz="4" w:space="0"/>
            </w:tcBorders>
            <w:shd w:val="clear" w:color="auto" w:fill="auto"/>
            <w:vAlign w:val="center"/>
          </w:tcPr>
          <w:p w14:paraId="366DE6BA">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S2</w:t>
            </w:r>
          </w:p>
        </w:tc>
        <w:tc>
          <w:tcPr>
            <w:tcW w:w="49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722271">
            <w:pPr>
              <w:jc w:val="center"/>
              <w:rPr>
                <w:rFonts w:hint="default" w:ascii="Times New Roman" w:hAnsi="Times New Roman" w:eastAsia="宋体" w:cs="Times New Roman"/>
                <w:i w:val="0"/>
                <w:iCs w:val="0"/>
                <w:color w:val="auto"/>
                <w:sz w:val="18"/>
                <w:szCs w:val="18"/>
                <w:highlight w:val="none"/>
                <w:u w:val="none"/>
              </w:rPr>
            </w:pPr>
          </w:p>
        </w:tc>
        <w:tc>
          <w:tcPr>
            <w:tcW w:w="6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4765EC">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混合、研磨</w:t>
            </w:r>
          </w:p>
        </w:tc>
        <w:tc>
          <w:tcPr>
            <w:tcW w:w="8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61325">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废弃研磨介质</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769254">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一般废物</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ABCCFB">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类比</w:t>
            </w:r>
          </w:p>
        </w:tc>
        <w:tc>
          <w:tcPr>
            <w:tcW w:w="4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2B8555">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 xml:space="preserve">0.005 </w:t>
            </w:r>
          </w:p>
        </w:tc>
        <w:tc>
          <w:tcPr>
            <w:tcW w:w="5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9BC3E4">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资源化</w:t>
            </w:r>
          </w:p>
        </w:tc>
        <w:tc>
          <w:tcPr>
            <w:tcW w:w="4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F52994">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 xml:space="preserve">0.005 </w:t>
            </w:r>
          </w:p>
        </w:tc>
        <w:tc>
          <w:tcPr>
            <w:tcW w:w="705" w:type="pct"/>
            <w:vMerge w:val="continue"/>
            <w:tcBorders>
              <w:left w:val="single" w:color="000000" w:sz="4" w:space="0"/>
              <w:right w:val="single" w:color="000000" w:sz="12" w:space="0"/>
            </w:tcBorders>
            <w:shd w:val="clear" w:color="auto" w:fill="auto"/>
            <w:vAlign w:val="center"/>
          </w:tcPr>
          <w:p w14:paraId="65FD4B39">
            <w:pPr>
              <w:jc w:val="center"/>
              <w:rPr>
                <w:rFonts w:hint="default" w:ascii="Times New Roman" w:hAnsi="Times New Roman" w:eastAsia="宋体" w:cs="Times New Roman"/>
                <w:i w:val="0"/>
                <w:iCs w:val="0"/>
                <w:color w:val="auto"/>
                <w:sz w:val="18"/>
                <w:szCs w:val="18"/>
                <w:highlight w:val="none"/>
                <w:u w:val="none"/>
              </w:rPr>
            </w:pPr>
          </w:p>
        </w:tc>
      </w:tr>
      <w:tr w14:paraId="7882A7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2" w:hRule="atLeast"/>
        </w:trPr>
        <w:tc>
          <w:tcPr>
            <w:tcW w:w="220" w:type="pct"/>
            <w:tcBorders>
              <w:top w:val="single" w:color="000000" w:sz="4" w:space="0"/>
              <w:left w:val="single" w:color="000000" w:sz="12" w:space="0"/>
              <w:bottom w:val="single" w:color="000000" w:sz="4" w:space="0"/>
              <w:right w:val="single" w:color="000000" w:sz="4" w:space="0"/>
            </w:tcBorders>
            <w:shd w:val="clear" w:color="auto" w:fill="auto"/>
            <w:vAlign w:val="center"/>
          </w:tcPr>
          <w:p w14:paraId="5A8BC745">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S3</w:t>
            </w:r>
          </w:p>
        </w:tc>
        <w:tc>
          <w:tcPr>
            <w:tcW w:w="49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3B9940">
            <w:pPr>
              <w:jc w:val="center"/>
              <w:rPr>
                <w:rFonts w:hint="default" w:ascii="Times New Roman" w:hAnsi="Times New Roman" w:eastAsia="宋体" w:cs="Times New Roman"/>
                <w:i w:val="0"/>
                <w:iCs w:val="0"/>
                <w:color w:val="auto"/>
                <w:sz w:val="18"/>
                <w:szCs w:val="18"/>
                <w:highlight w:val="none"/>
                <w:u w:val="none"/>
              </w:rPr>
            </w:pPr>
          </w:p>
        </w:tc>
        <w:tc>
          <w:tcPr>
            <w:tcW w:w="6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0CCEA4">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喷雾干燥</w:t>
            </w:r>
          </w:p>
        </w:tc>
        <w:tc>
          <w:tcPr>
            <w:tcW w:w="8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26FAC8">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集尘</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94BF87">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一般废物</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316D99">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物料衡算</w:t>
            </w:r>
          </w:p>
        </w:tc>
        <w:tc>
          <w:tcPr>
            <w:tcW w:w="4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F4C4B6">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 xml:space="preserve">0.012 </w:t>
            </w:r>
          </w:p>
        </w:tc>
        <w:tc>
          <w:tcPr>
            <w:tcW w:w="5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F9D7EB">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资源化</w:t>
            </w:r>
          </w:p>
        </w:tc>
        <w:tc>
          <w:tcPr>
            <w:tcW w:w="4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D1A179">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lang w:val="en-US"/>
              </w:rPr>
            </w:pPr>
            <w:r>
              <w:rPr>
                <w:rFonts w:hint="default" w:cs="Times New Roman"/>
                <w:i w:val="0"/>
                <w:iCs w:val="0"/>
                <w:color w:val="auto"/>
                <w:kern w:val="0"/>
                <w:sz w:val="18"/>
                <w:szCs w:val="18"/>
                <w:highlight w:val="none"/>
                <w:u w:val="none"/>
                <w:lang w:val="en-US" w:eastAsia="zh-CN" w:bidi="ar"/>
              </w:rPr>
              <w:t>0.013</w:t>
            </w:r>
          </w:p>
        </w:tc>
        <w:tc>
          <w:tcPr>
            <w:tcW w:w="705" w:type="pct"/>
            <w:vMerge w:val="continue"/>
            <w:tcBorders>
              <w:left w:val="single" w:color="000000" w:sz="4" w:space="0"/>
              <w:right w:val="single" w:color="000000" w:sz="12" w:space="0"/>
            </w:tcBorders>
            <w:shd w:val="clear" w:color="auto" w:fill="auto"/>
            <w:vAlign w:val="center"/>
          </w:tcPr>
          <w:p w14:paraId="72978593">
            <w:pPr>
              <w:jc w:val="center"/>
              <w:rPr>
                <w:rFonts w:hint="default" w:ascii="Times New Roman" w:hAnsi="Times New Roman" w:eastAsia="宋体" w:cs="Times New Roman"/>
                <w:i w:val="0"/>
                <w:iCs w:val="0"/>
                <w:color w:val="auto"/>
                <w:sz w:val="18"/>
                <w:szCs w:val="18"/>
                <w:highlight w:val="none"/>
                <w:u w:val="none"/>
              </w:rPr>
            </w:pPr>
          </w:p>
        </w:tc>
      </w:tr>
      <w:tr w14:paraId="7D092D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2" w:hRule="atLeast"/>
        </w:trPr>
        <w:tc>
          <w:tcPr>
            <w:tcW w:w="220" w:type="pct"/>
            <w:tcBorders>
              <w:top w:val="single" w:color="000000" w:sz="4" w:space="0"/>
              <w:left w:val="single" w:color="000000" w:sz="12" w:space="0"/>
              <w:bottom w:val="single" w:color="000000" w:sz="4" w:space="0"/>
              <w:right w:val="single" w:color="000000" w:sz="4" w:space="0"/>
            </w:tcBorders>
            <w:shd w:val="clear" w:color="auto" w:fill="auto"/>
            <w:vAlign w:val="center"/>
          </w:tcPr>
          <w:p w14:paraId="1E69C9FD">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S4</w:t>
            </w:r>
          </w:p>
        </w:tc>
        <w:tc>
          <w:tcPr>
            <w:tcW w:w="49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667BE5">
            <w:pPr>
              <w:jc w:val="center"/>
              <w:rPr>
                <w:rFonts w:hint="default" w:ascii="Times New Roman" w:hAnsi="Times New Roman" w:eastAsia="宋体" w:cs="Times New Roman"/>
                <w:i w:val="0"/>
                <w:iCs w:val="0"/>
                <w:color w:val="auto"/>
                <w:sz w:val="18"/>
                <w:szCs w:val="18"/>
                <w:highlight w:val="none"/>
                <w:u w:val="none"/>
              </w:rPr>
            </w:pPr>
          </w:p>
        </w:tc>
        <w:tc>
          <w:tcPr>
            <w:tcW w:w="6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7A47CD">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喷雾干燥</w:t>
            </w:r>
          </w:p>
        </w:tc>
        <w:tc>
          <w:tcPr>
            <w:tcW w:w="8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B5A47">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不合格粉体</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3D3FE9">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一般废物</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F958CD">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物料衡算</w:t>
            </w:r>
          </w:p>
        </w:tc>
        <w:tc>
          <w:tcPr>
            <w:tcW w:w="4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C4EEA6">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 xml:space="preserve">0.109 </w:t>
            </w:r>
          </w:p>
        </w:tc>
        <w:tc>
          <w:tcPr>
            <w:tcW w:w="5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138FD2">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资源化</w:t>
            </w:r>
          </w:p>
        </w:tc>
        <w:tc>
          <w:tcPr>
            <w:tcW w:w="4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5C0511">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 xml:space="preserve">0.109 </w:t>
            </w:r>
          </w:p>
        </w:tc>
        <w:tc>
          <w:tcPr>
            <w:tcW w:w="705" w:type="pct"/>
            <w:vMerge w:val="continue"/>
            <w:tcBorders>
              <w:left w:val="single" w:color="000000" w:sz="4" w:space="0"/>
              <w:right w:val="single" w:color="000000" w:sz="12" w:space="0"/>
            </w:tcBorders>
            <w:shd w:val="clear" w:color="auto" w:fill="auto"/>
            <w:vAlign w:val="center"/>
          </w:tcPr>
          <w:p w14:paraId="210F1B26">
            <w:pPr>
              <w:jc w:val="center"/>
              <w:rPr>
                <w:rFonts w:hint="default" w:ascii="Times New Roman" w:hAnsi="Times New Roman" w:eastAsia="宋体" w:cs="Times New Roman"/>
                <w:i w:val="0"/>
                <w:iCs w:val="0"/>
                <w:color w:val="auto"/>
                <w:sz w:val="18"/>
                <w:szCs w:val="18"/>
                <w:highlight w:val="none"/>
                <w:u w:val="none"/>
              </w:rPr>
            </w:pPr>
          </w:p>
        </w:tc>
      </w:tr>
      <w:tr w14:paraId="2F9ACE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2" w:hRule="atLeast"/>
        </w:trPr>
        <w:tc>
          <w:tcPr>
            <w:tcW w:w="220" w:type="pct"/>
            <w:tcBorders>
              <w:top w:val="single" w:color="000000" w:sz="4" w:space="0"/>
              <w:left w:val="single" w:color="000000" w:sz="12" w:space="0"/>
              <w:bottom w:val="single" w:color="000000" w:sz="4" w:space="0"/>
              <w:right w:val="single" w:color="000000" w:sz="4" w:space="0"/>
            </w:tcBorders>
            <w:shd w:val="clear" w:color="auto" w:fill="auto"/>
            <w:vAlign w:val="center"/>
          </w:tcPr>
          <w:p w14:paraId="4A873615">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S5</w:t>
            </w:r>
          </w:p>
        </w:tc>
        <w:tc>
          <w:tcPr>
            <w:tcW w:w="49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471A74">
            <w:pPr>
              <w:jc w:val="center"/>
              <w:rPr>
                <w:rFonts w:hint="default" w:ascii="Times New Roman" w:hAnsi="Times New Roman" w:eastAsia="宋体" w:cs="Times New Roman"/>
                <w:i w:val="0"/>
                <w:iCs w:val="0"/>
                <w:color w:val="auto"/>
                <w:sz w:val="18"/>
                <w:szCs w:val="18"/>
                <w:highlight w:val="none"/>
                <w:u w:val="none"/>
              </w:rPr>
            </w:pPr>
          </w:p>
        </w:tc>
        <w:tc>
          <w:tcPr>
            <w:tcW w:w="6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D372BD">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气流粉碎</w:t>
            </w:r>
          </w:p>
        </w:tc>
        <w:tc>
          <w:tcPr>
            <w:tcW w:w="8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C4AD53">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集尘</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E00CA6">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一般废物</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35459A">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物料衡算</w:t>
            </w:r>
          </w:p>
        </w:tc>
        <w:tc>
          <w:tcPr>
            <w:tcW w:w="4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FA0756">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 xml:space="preserve">0.001 </w:t>
            </w:r>
          </w:p>
        </w:tc>
        <w:tc>
          <w:tcPr>
            <w:tcW w:w="5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B6C8A3">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资源化</w:t>
            </w:r>
          </w:p>
        </w:tc>
        <w:tc>
          <w:tcPr>
            <w:tcW w:w="4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AAC3DE">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 xml:space="preserve">0.001 </w:t>
            </w:r>
          </w:p>
        </w:tc>
        <w:tc>
          <w:tcPr>
            <w:tcW w:w="705" w:type="pct"/>
            <w:vMerge w:val="continue"/>
            <w:tcBorders>
              <w:left w:val="single" w:color="000000" w:sz="4" w:space="0"/>
              <w:right w:val="single" w:color="000000" w:sz="12" w:space="0"/>
            </w:tcBorders>
            <w:shd w:val="clear" w:color="auto" w:fill="auto"/>
            <w:vAlign w:val="center"/>
          </w:tcPr>
          <w:p w14:paraId="76F2C6D2">
            <w:pPr>
              <w:jc w:val="center"/>
              <w:rPr>
                <w:rFonts w:hint="default" w:ascii="Times New Roman" w:hAnsi="Times New Roman" w:eastAsia="宋体" w:cs="Times New Roman"/>
                <w:i w:val="0"/>
                <w:iCs w:val="0"/>
                <w:color w:val="auto"/>
                <w:sz w:val="18"/>
                <w:szCs w:val="18"/>
                <w:highlight w:val="none"/>
                <w:u w:val="none"/>
              </w:rPr>
            </w:pPr>
          </w:p>
        </w:tc>
      </w:tr>
      <w:tr w14:paraId="697CBE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2" w:hRule="atLeast"/>
        </w:trPr>
        <w:tc>
          <w:tcPr>
            <w:tcW w:w="220" w:type="pct"/>
            <w:tcBorders>
              <w:top w:val="single" w:color="000000" w:sz="4" w:space="0"/>
              <w:left w:val="single" w:color="000000" w:sz="12" w:space="0"/>
              <w:bottom w:val="single" w:color="000000" w:sz="4" w:space="0"/>
              <w:right w:val="single" w:color="000000" w:sz="4" w:space="0"/>
            </w:tcBorders>
            <w:shd w:val="clear" w:color="auto" w:fill="auto"/>
            <w:vAlign w:val="center"/>
          </w:tcPr>
          <w:p w14:paraId="0CFDE0E3">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S6</w:t>
            </w:r>
          </w:p>
        </w:tc>
        <w:tc>
          <w:tcPr>
            <w:tcW w:w="49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0E7C25">
            <w:pPr>
              <w:jc w:val="center"/>
              <w:rPr>
                <w:rFonts w:hint="default" w:ascii="Times New Roman" w:hAnsi="Times New Roman" w:eastAsia="宋体" w:cs="Times New Roman"/>
                <w:i w:val="0"/>
                <w:iCs w:val="0"/>
                <w:color w:val="auto"/>
                <w:sz w:val="18"/>
                <w:szCs w:val="18"/>
                <w:highlight w:val="none"/>
                <w:u w:val="none"/>
              </w:rPr>
            </w:pPr>
          </w:p>
        </w:tc>
        <w:tc>
          <w:tcPr>
            <w:tcW w:w="6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C69C3">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振动筛分</w:t>
            </w:r>
          </w:p>
        </w:tc>
        <w:tc>
          <w:tcPr>
            <w:tcW w:w="8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25D93C">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不合格粉体</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85AC7A">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一般废物</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EE4C8B">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物料衡算</w:t>
            </w:r>
          </w:p>
        </w:tc>
        <w:tc>
          <w:tcPr>
            <w:tcW w:w="4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70134A">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 xml:space="preserve">0.109 </w:t>
            </w:r>
          </w:p>
        </w:tc>
        <w:tc>
          <w:tcPr>
            <w:tcW w:w="5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0833C6">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资源化</w:t>
            </w:r>
          </w:p>
        </w:tc>
        <w:tc>
          <w:tcPr>
            <w:tcW w:w="4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11CF1F">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 xml:space="preserve">0.109 </w:t>
            </w:r>
          </w:p>
        </w:tc>
        <w:tc>
          <w:tcPr>
            <w:tcW w:w="705" w:type="pct"/>
            <w:vMerge w:val="continue"/>
            <w:tcBorders>
              <w:left w:val="single" w:color="000000" w:sz="4" w:space="0"/>
              <w:right w:val="single" w:color="000000" w:sz="12" w:space="0"/>
            </w:tcBorders>
            <w:shd w:val="clear" w:color="auto" w:fill="auto"/>
            <w:vAlign w:val="center"/>
          </w:tcPr>
          <w:p w14:paraId="5797271D">
            <w:pPr>
              <w:jc w:val="center"/>
              <w:rPr>
                <w:rFonts w:hint="default" w:ascii="Times New Roman" w:hAnsi="Times New Roman" w:eastAsia="宋体" w:cs="Times New Roman"/>
                <w:i w:val="0"/>
                <w:iCs w:val="0"/>
                <w:color w:val="auto"/>
                <w:sz w:val="18"/>
                <w:szCs w:val="18"/>
                <w:highlight w:val="none"/>
                <w:u w:val="none"/>
              </w:rPr>
            </w:pPr>
          </w:p>
        </w:tc>
      </w:tr>
      <w:tr w14:paraId="54B10D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2" w:hRule="atLeast"/>
        </w:trPr>
        <w:tc>
          <w:tcPr>
            <w:tcW w:w="220" w:type="pct"/>
            <w:tcBorders>
              <w:top w:val="single" w:color="000000" w:sz="4" w:space="0"/>
              <w:left w:val="single" w:color="000000" w:sz="12" w:space="0"/>
              <w:bottom w:val="single" w:color="000000" w:sz="4" w:space="0"/>
              <w:right w:val="single" w:color="000000" w:sz="4" w:space="0"/>
            </w:tcBorders>
            <w:shd w:val="clear" w:color="auto" w:fill="auto"/>
            <w:vAlign w:val="center"/>
          </w:tcPr>
          <w:p w14:paraId="6B640599">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S7</w:t>
            </w:r>
          </w:p>
        </w:tc>
        <w:tc>
          <w:tcPr>
            <w:tcW w:w="49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F67AE6">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扣电组装测试</w:t>
            </w:r>
          </w:p>
        </w:tc>
        <w:tc>
          <w:tcPr>
            <w:tcW w:w="6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E1499B">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粉体理化性质测定</w:t>
            </w:r>
          </w:p>
        </w:tc>
        <w:tc>
          <w:tcPr>
            <w:tcW w:w="8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F5A8C3">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测试废料</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CF8BFD">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一般废物</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18C1A4">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物料衡算</w:t>
            </w:r>
          </w:p>
        </w:tc>
        <w:tc>
          <w:tcPr>
            <w:tcW w:w="4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861D99">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 xml:space="preserve">1.000 </w:t>
            </w:r>
          </w:p>
        </w:tc>
        <w:tc>
          <w:tcPr>
            <w:tcW w:w="5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689FC9">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资源化、无害化</w:t>
            </w:r>
          </w:p>
        </w:tc>
        <w:tc>
          <w:tcPr>
            <w:tcW w:w="4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C1D9A8">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 xml:space="preserve">1.000 </w:t>
            </w:r>
          </w:p>
        </w:tc>
        <w:tc>
          <w:tcPr>
            <w:tcW w:w="705" w:type="pct"/>
            <w:vMerge w:val="continue"/>
            <w:tcBorders>
              <w:left w:val="single" w:color="000000" w:sz="4" w:space="0"/>
              <w:bottom w:val="single" w:color="000000" w:sz="4" w:space="0"/>
              <w:right w:val="single" w:color="000000" w:sz="12" w:space="0"/>
            </w:tcBorders>
            <w:shd w:val="clear" w:color="auto" w:fill="auto"/>
            <w:vAlign w:val="center"/>
          </w:tcPr>
          <w:p w14:paraId="5D4C6DBC">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p>
        </w:tc>
      </w:tr>
      <w:tr w14:paraId="148DFD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2" w:hRule="atLeast"/>
        </w:trPr>
        <w:tc>
          <w:tcPr>
            <w:tcW w:w="220" w:type="pct"/>
            <w:tcBorders>
              <w:top w:val="single" w:color="000000" w:sz="4" w:space="0"/>
              <w:left w:val="single" w:color="000000" w:sz="12" w:space="0"/>
              <w:bottom w:val="single" w:color="000000" w:sz="4" w:space="0"/>
              <w:right w:val="single" w:color="000000" w:sz="4" w:space="0"/>
            </w:tcBorders>
            <w:shd w:val="clear" w:color="auto" w:fill="auto"/>
            <w:vAlign w:val="center"/>
          </w:tcPr>
          <w:p w14:paraId="7CE38A35">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S8</w:t>
            </w:r>
          </w:p>
        </w:tc>
        <w:tc>
          <w:tcPr>
            <w:tcW w:w="49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ED2042">
            <w:pPr>
              <w:jc w:val="center"/>
              <w:rPr>
                <w:rFonts w:hint="default" w:ascii="Times New Roman" w:hAnsi="Times New Roman" w:eastAsia="宋体" w:cs="Times New Roman"/>
                <w:i w:val="0"/>
                <w:iCs w:val="0"/>
                <w:color w:val="auto"/>
                <w:sz w:val="18"/>
                <w:szCs w:val="18"/>
                <w:highlight w:val="none"/>
                <w:u w:val="none"/>
              </w:rPr>
            </w:pPr>
          </w:p>
        </w:tc>
        <w:tc>
          <w:tcPr>
            <w:tcW w:w="6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8B8743">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制胶、匀浆</w:t>
            </w:r>
          </w:p>
        </w:tc>
        <w:tc>
          <w:tcPr>
            <w:tcW w:w="8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4BB73D">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沾染化学品的废包装材料</w:t>
            </w:r>
          </w:p>
        </w:tc>
        <w:tc>
          <w:tcPr>
            <w:tcW w:w="3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195D72">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危险废物</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FC6318">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类比</w:t>
            </w:r>
          </w:p>
        </w:tc>
        <w:tc>
          <w:tcPr>
            <w:tcW w:w="4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4993E5">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 xml:space="preserve">0.010 </w:t>
            </w:r>
          </w:p>
        </w:tc>
        <w:tc>
          <w:tcPr>
            <w:tcW w:w="5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0E9475">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资源化、无害化</w:t>
            </w:r>
          </w:p>
        </w:tc>
        <w:tc>
          <w:tcPr>
            <w:tcW w:w="4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0907F3">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 xml:space="preserve">0.010 </w:t>
            </w:r>
          </w:p>
        </w:tc>
        <w:tc>
          <w:tcPr>
            <w:tcW w:w="705" w:type="pct"/>
            <w:vMerge w:val="restart"/>
            <w:tcBorders>
              <w:top w:val="single" w:color="000000" w:sz="4" w:space="0"/>
              <w:left w:val="single" w:color="000000" w:sz="4" w:space="0"/>
              <w:right w:val="single" w:color="000000" w:sz="12" w:space="0"/>
            </w:tcBorders>
            <w:shd w:val="clear" w:color="auto" w:fill="auto"/>
            <w:vAlign w:val="center"/>
          </w:tcPr>
          <w:p w14:paraId="5235BF25">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委托有资质单位处置</w:t>
            </w:r>
          </w:p>
        </w:tc>
      </w:tr>
      <w:tr w14:paraId="4FA273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9" w:hRule="atLeast"/>
        </w:trPr>
        <w:tc>
          <w:tcPr>
            <w:tcW w:w="220" w:type="pct"/>
            <w:tcBorders>
              <w:top w:val="single" w:color="000000" w:sz="4" w:space="0"/>
              <w:left w:val="single" w:color="000000" w:sz="12" w:space="0"/>
              <w:bottom w:val="single" w:color="000000" w:sz="4" w:space="0"/>
              <w:right w:val="single" w:color="000000" w:sz="4" w:space="0"/>
            </w:tcBorders>
            <w:shd w:val="clear" w:color="auto" w:fill="auto"/>
            <w:vAlign w:val="center"/>
          </w:tcPr>
          <w:p w14:paraId="447A89CB">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S9</w:t>
            </w:r>
          </w:p>
        </w:tc>
        <w:tc>
          <w:tcPr>
            <w:tcW w:w="49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5C9C84">
            <w:pPr>
              <w:jc w:val="center"/>
              <w:rPr>
                <w:rFonts w:hint="default" w:ascii="Times New Roman" w:hAnsi="Times New Roman" w:eastAsia="宋体" w:cs="Times New Roman"/>
                <w:i w:val="0"/>
                <w:iCs w:val="0"/>
                <w:color w:val="auto"/>
                <w:sz w:val="18"/>
                <w:szCs w:val="18"/>
                <w:highlight w:val="none"/>
                <w:u w:val="none"/>
              </w:rPr>
            </w:pPr>
          </w:p>
        </w:tc>
        <w:tc>
          <w:tcPr>
            <w:tcW w:w="6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819D2E">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扣电性能测试</w:t>
            </w:r>
          </w:p>
        </w:tc>
        <w:tc>
          <w:tcPr>
            <w:tcW w:w="8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99C2E">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测试废电池</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B5441F">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危险废物</w:t>
            </w:r>
          </w:p>
        </w:tc>
        <w:tc>
          <w:tcPr>
            <w:tcW w:w="3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A60D7D">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物料衡算</w:t>
            </w:r>
          </w:p>
        </w:tc>
        <w:tc>
          <w:tcPr>
            <w:tcW w:w="4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AA62FE">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2000个/年</w:t>
            </w:r>
          </w:p>
        </w:tc>
        <w:tc>
          <w:tcPr>
            <w:tcW w:w="5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213149">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资源化、无害化</w:t>
            </w:r>
          </w:p>
        </w:tc>
        <w:tc>
          <w:tcPr>
            <w:tcW w:w="4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9EE860">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2000个/年</w:t>
            </w:r>
          </w:p>
        </w:tc>
        <w:tc>
          <w:tcPr>
            <w:tcW w:w="705" w:type="pct"/>
            <w:vMerge w:val="continue"/>
            <w:tcBorders>
              <w:left w:val="single" w:color="000000" w:sz="4" w:space="0"/>
              <w:right w:val="single" w:color="000000" w:sz="12" w:space="0"/>
            </w:tcBorders>
            <w:shd w:val="clear" w:color="auto" w:fill="auto"/>
            <w:vAlign w:val="center"/>
          </w:tcPr>
          <w:p w14:paraId="75462C95">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p>
        </w:tc>
      </w:tr>
      <w:tr w14:paraId="0DA323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2" w:hRule="atLeast"/>
        </w:trPr>
        <w:tc>
          <w:tcPr>
            <w:tcW w:w="220" w:type="pct"/>
            <w:tcBorders>
              <w:top w:val="single" w:color="000000" w:sz="4" w:space="0"/>
              <w:left w:val="single" w:color="000000" w:sz="12" w:space="0"/>
              <w:bottom w:val="single" w:color="000000" w:sz="4" w:space="0"/>
              <w:right w:val="single" w:color="000000" w:sz="4" w:space="0"/>
            </w:tcBorders>
            <w:shd w:val="clear" w:color="auto" w:fill="auto"/>
            <w:vAlign w:val="center"/>
          </w:tcPr>
          <w:p w14:paraId="6C9CEA10">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S1</w:t>
            </w:r>
            <w:r>
              <w:rPr>
                <w:rFonts w:hint="default" w:cs="Times New Roman"/>
                <w:i w:val="0"/>
                <w:iCs w:val="0"/>
                <w:color w:val="auto"/>
                <w:kern w:val="0"/>
                <w:sz w:val="18"/>
                <w:szCs w:val="18"/>
                <w:highlight w:val="none"/>
                <w:u w:val="none"/>
                <w:lang w:val="en-US" w:eastAsia="zh-CN" w:bidi="ar"/>
              </w:rPr>
              <w:t>0</w:t>
            </w:r>
          </w:p>
        </w:tc>
        <w:tc>
          <w:tcPr>
            <w:tcW w:w="49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A3EF80">
            <w:pPr>
              <w:jc w:val="center"/>
              <w:rPr>
                <w:rFonts w:hint="default" w:ascii="Times New Roman" w:hAnsi="Times New Roman" w:eastAsia="宋体" w:cs="Times New Roman"/>
                <w:i w:val="0"/>
                <w:iCs w:val="0"/>
                <w:color w:val="auto"/>
                <w:sz w:val="18"/>
                <w:szCs w:val="18"/>
                <w:highlight w:val="none"/>
                <w:u w:val="none"/>
              </w:rPr>
            </w:pPr>
          </w:p>
        </w:tc>
        <w:tc>
          <w:tcPr>
            <w:tcW w:w="6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F2DB8">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废气处理</w:t>
            </w:r>
          </w:p>
        </w:tc>
        <w:tc>
          <w:tcPr>
            <w:tcW w:w="8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BF6B29">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废活性炭</w:t>
            </w:r>
          </w:p>
        </w:tc>
        <w:tc>
          <w:tcPr>
            <w:tcW w:w="3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31F120">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危险废物</w:t>
            </w:r>
          </w:p>
        </w:tc>
        <w:tc>
          <w:tcPr>
            <w:tcW w:w="3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855D9E">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物料衡算</w:t>
            </w:r>
          </w:p>
        </w:tc>
        <w:tc>
          <w:tcPr>
            <w:tcW w:w="4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A8C31E">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eastAsia" w:cs="Times New Roman"/>
                <w:i w:val="0"/>
                <w:iCs w:val="0"/>
                <w:color w:val="auto"/>
                <w:kern w:val="0"/>
                <w:sz w:val="18"/>
                <w:szCs w:val="18"/>
                <w:highlight w:val="none"/>
                <w:u w:val="none"/>
                <w:lang w:val="en-US" w:eastAsia="zh-CN" w:bidi="ar"/>
              </w:rPr>
              <w:t>1</w:t>
            </w:r>
          </w:p>
        </w:tc>
        <w:tc>
          <w:tcPr>
            <w:tcW w:w="5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5B33BC">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资源化、无害化</w:t>
            </w:r>
          </w:p>
        </w:tc>
        <w:tc>
          <w:tcPr>
            <w:tcW w:w="4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50B34F">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eastAsia" w:cs="Times New Roman"/>
                <w:i w:val="0"/>
                <w:iCs w:val="0"/>
                <w:color w:val="auto"/>
                <w:kern w:val="0"/>
                <w:sz w:val="18"/>
                <w:szCs w:val="18"/>
                <w:highlight w:val="none"/>
                <w:u w:val="none"/>
                <w:lang w:val="en-US" w:eastAsia="zh-CN" w:bidi="ar"/>
              </w:rPr>
              <w:t>1</w:t>
            </w:r>
          </w:p>
        </w:tc>
        <w:tc>
          <w:tcPr>
            <w:tcW w:w="705" w:type="pct"/>
            <w:vMerge w:val="continue"/>
            <w:tcBorders>
              <w:left w:val="single" w:color="000000" w:sz="4" w:space="0"/>
              <w:bottom w:val="single" w:color="000000" w:sz="4" w:space="0"/>
              <w:right w:val="single" w:color="000000" w:sz="12" w:space="0"/>
            </w:tcBorders>
            <w:shd w:val="clear" w:color="auto" w:fill="auto"/>
            <w:vAlign w:val="center"/>
          </w:tcPr>
          <w:p w14:paraId="1B341F7D">
            <w:pPr>
              <w:jc w:val="center"/>
              <w:rPr>
                <w:rFonts w:hint="default" w:ascii="Times New Roman" w:hAnsi="Times New Roman" w:eastAsia="宋体" w:cs="Times New Roman"/>
                <w:i w:val="0"/>
                <w:iCs w:val="0"/>
                <w:color w:val="auto"/>
                <w:sz w:val="18"/>
                <w:szCs w:val="18"/>
                <w:highlight w:val="none"/>
                <w:u w:val="none"/>
              </w:rPr>
            </w:pPr>
          </w:p>
        </w:tc>
      </w:tr>
      <w:tr w14:paraId="4A5D10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2" w:hRule="atLeast"/>
        </w:trPr>
        <w:tc>
          <w:tcPr>
            <w:tcW w:w="220" w:type="pct"/>
            <w:tcBorders>
              <w:top w:val="single" w:color="000000" w:sz="4" w:space="0"/>
              <w:left w:val="single" w:color="000000" w:sz="12" w:space="0"/>
              <w:bottom w:val="single" w:color="000000" w:sz="4" w:space="0"/>
              <w:right w:val="single" w:color="000000" w:sz="4" w:space="0"/>
            </w:tcBorders>
            <w:shd w:val="clear" w:color="auto" w:fill="auto"/>
            <w:vAlign w:val="center"/>
          </w:tcPr>
          <w:p w14:paraId="71BEE1B9">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S1</w:t>
            </w:r>
            <w:r>
              <w:rPr>
                <w:rFonts w:hint="default" w:cs="Times New Roman"/>
                <w:i w:val="0"/>
                <w:iCs w:val="0"/>
                <w:color w:val="auto"/>
                <w:kern w:val="0"/>
                <w:sz w:val="18"/>
                <w:szCs w:val="18"/>
                <w:highlight w:val="none"/>
                <w:u w:val="none"/>
                <w:lang w:val="en-US" w:eastAsia="zh-CN" w:bidi="ar"/>
              </w:rPr>
              <w:t>1</w:t>
            </w:r>
          </w:p>
        </w:tc>
        <w:tc>
          <w:tcPr>
            <w:tcW w:w="49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04028F">
            <w:pPr>
              <w:jc w:val="center"/>
              <w:rPr>
                <w:rFonts w:hint="default" w:ascii="Times New Roman" w:hAnsi="Times New Roman" w:eastAsia="宋体" w:cs="Times New Roman"/>
                <w:i w:val="0"/>
                <w:iCs w:val="0"/>
                <w:color w:val="auto"/>
                <w:sz w:val="18"/>
                <w:szCs w:val="18"/>
                <w:highlight w:val="none"/>
                <w:u w:val="none"/>
              </w:rPr>
            </w:pPr>
          </w:p>
        </w:tc>
        <w:tc>
          <w:tcPr>
            <w:tcW w:w="6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B7E2A4">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废水处理</w:t>
            </w:r>
          </w:p>
        </w:tc>
        <w:tc>
          <w:tcPr>
            <w:tcW w:w="8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57AA79">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沉淀污泥</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905CD8">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一般废物</w:t>
            </w:r>
          </w:p>
        </w:tc>
        <w:tc>
          <w:tcPr>
            <w:tcW w:w="3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540607">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物料衡算</w:t>
            </w:r>
          </w:p>
        </w:tc>
        <w:tc>
          <w:tcPr>
            <w:tcW w:w="4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777E6B">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 xml:space="preserve">0.100 </w:t>
            </w:r>
          </w:p>
        </w:tc>
        <w:tc>
          <w:tcPr>
            <w:tcW w:w="5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278D72">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资源化</w:t>
            </w:r>
          </w:p>
        </w:tc>
        <w:tc>
          <w:tcPr>
            <w:tcW w:w="4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3227E7">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 xml:space="preserve">0.100 </w:t>
            </w:r>
          </w:p>
        </w:tc>
        <w:tc>
          <w:tcPr>
            <w:tcW w:w="705" w:type="pct"/>
            <w:vMerge w:val="restart"/>
            <w:tcBorders>
              <w:top w:val="single" w:color="000000" w:sz="4" w:space="0"/>
              <w:left w:val="single" w:color="000000" w:sz="4" w:space="0"/>
              <w:bottom w:val="single" w:color="000000" w:sz="4" w:space="0"/>
              <w:right w:val="single" w:color="000000" w:sz="12" w:space="0"/>
            </w:tcBorders>
            <w:shd w:val="clear" w:color="auto" w:fill="auto"/>
            <w:noWrap/>
            <w:vAlign w:val="center"/>
          </w:tcPr>
          <w:p w14:paraId="4BB412F9">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委托处置</w:t>
            </w:r>
          </w:p>
        </w:tc>
      </w:tr>
      <w:tr w14:paraId="67911C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2" w:hRule="atLeast"/>
        </w:trPr>
        <w:tc>
          <w:tcPr>
            <w:tcW w:w="220" w:type="pct"/>
            <w:tcBorders>
              <w:top w:val="single" w:color="000000" w:sz="4" w:space="0"/>
              <w:left w:val="single" w:color="000000" w:sz="12" w:space="0"/>
              <w:bottom w:val="single" w:color="000000" w:sz="4" w:space="0"/>
              <w:right w:val="single" w:color="000000" w:sz="4" w:space="0"/>
            </w:tcBorders>
            <w:shd w:val="clear" w:color="auto" w:fill="auto"/>
            <w:vAlign w:val="center"/>
          </w:tcPr>
          <w:p w14:paraId="33838EA7">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S1</w:t>
            </w:r>
            <w:r>
              <w:rPr>
                <w:rFonts w:hint="default" w:cs="Times New Roman"/>
                <w:i w:val="0"/>
                <w:iCs w:val="0"/>
                <w:color w:val="auto"/>
                <w:kern w:val="0"/>
                <w:sz w:val="18"/>
                <w:szCs w:val="18"/>
                <w:highlight w:val="none"/>
                <w:u w:val="none"/>
                <w:lang w:val="en-US" w:eastAsia="zh-CN" w:bidi="ar"/>
              </w:rPr>
              <w:t>2</w:t>
            </w:r>
          </w:p>
        </w:tc>
        <w:tc>
          <w:tcPr>
            <w:tcW w:w="49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AF7A99">
            <w:pPr>
              <w:jc w:val="center"/>
              <w:rPr>
                <w:rFonts w:hint="default" w:ascii="Times New Roman" w:hAnsi="Times New Roman" w:eastAsia="宋体" w:cs="Times New Roman"/>
                <w:i w:val="0"/>
                <w:iCs w:val="0"/>
                <w:color w:val="auto"/>
                <w:sz w:val="18"/>
                <w:szCs w:val="18"/>
                <w:highlight w:val="none"/>
                <w:u w:val="none"/>
              </w:rPr>
            </w:pPr>
          </w:p>
        </w:tc>
        <w:tc>
          <w:tcPr>
            <w:tcW w:w="6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880473">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纯水制备</w:t>
            </w:r>
          </w:p>
        </w:tc>
        <w:tc>
          <w:tcPr>
            <w:tcW w:w="8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39D48">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纯水制备过滤介质</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8D0896">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一般废物</w:t>
            </w:r>
          </w:p>
        </w:tc>
        <w:tc>
          <w:tcPr>
            <w:tcW w:w="3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7DFD7C">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类比</w:t>
            </w:r>
          </w:p>
        </w:tc>
        <w:tc>
          <w:tcPr>
            <w:tcW w:w="4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B773AF">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 xml:space="preserve">0.001 </w:t>
            </w:r>
          </w:p>
        </w:tc>
        <w:tc>
          <w:tcPr>
            <w:tcW w:w="5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34EF0B">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资源化</w:t>
            </w:r>
          </w:p>
        </w:tc>
        <w:tc>
          <w:tcPr>
            <w:tcW w:w="4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B31191">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 xml:space="preserve">0.001 </w:t>
            </w:r>
          </w:p>
        </w:tc>
        <w:tc>
          <w:tcPr>
            <w:tcW w:w="705" w:type="pct"/>
            <w:vMerge w:val="continue"/>
            <w:tcBorders>
              <w:top w:val="single" w:color="000000" w:sz="4" w:space="0"/>
              <w:left w:val="single" w:color="000000" w:sz="4" w:space="0"/>
              <w:bottom w:val="single" w:color="000000" w:sz="4" w:space="0"/>
              <w:right w:val="single" w:color="000000" w:sz="12" w:space="0"/>
            </w:tcBorders>
            <w:shd w:val="clear" w:color="auto" w:fill="auto"/>
            <w:noWrap/>
            <w:vAlign w:val="center"/>
          </w:tcPr>
          <w:p w14:paraId="1F32103A">
            <w:pPr>
              <w:jc w:val="center"/>
              <w:rPr>
                <w:rFonts w:hint="default" w:ascii="Times New Roman" w:hAnsi="Times New Roman" w:eastAsia="宋体" w:cs="Times New Roman"/>
                <w:i w:val="0"/>
                <w:iCs w:val="0"/>
                <w:color w:val="auto"/>
                <w:sz w:val="18"/>
                <w:szCs w:val="18"/>
                <w:highlight w:val="none"/>
                <w:u w:val="none"/>
              </w:rPr>
            </w:pPr>
          </w:p>
        </w:tc>
      </w:tr>
      <w:tr w14:paraId="636AE6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2" w:hRule="atLeast"/>
        </w:trPr>
        <w:tc>
          <w:tcPr>
            <w:tcW w:w="220" w:type="pct"/>
            <w:tcBorders>
              <w:top w:val="single" w:color="000000" w:sz="4" w:space="0"/>
              <w:left w:val="single" w:color="000000" w:sz="12" w:space="0"/>
              <w:bottom w:val="single" w:color="000000" w:sz="4" w:space="0"/>
              <w:right w:val="single" w:color="000000" w:sz="4" w:space="0"/>
            </w:tcBorders>
            <w:shd w:val="clear" w:color="auto" w:fill="auto"/>
            <w:vAlign w:val="center"/>
          </w:tcPr>
          <w:p w14:paraId="09A4BD26">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S1</w:t>
            </w:r>
            <w:r>
              <w:rPr>
                <w:rFonts w:hint="default" w:cs="Times New Roman"/>
                <w:i w:val="0"/>
                <w:iCs w:val="0"/>
                <w:color w:val="auto"/>
                <w:kern w:val="0"/>
                <w:sz w:val="18"/>
                <w:szCs w:val="18"/>
                <w:highlight w:val="none"/>
                <w:u w:val="none"/>
                <w:lang w:val="en-US" w:eastAsia="zh-CN" w:bidi="ar"/>
              </w:rPr>
              <w:t>3</w:t>
            </w:r>
          </w:p>
        </w:tc>
        <w:tc>
          <w:tcPr>
            <w:tcW w:w="49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7DCD98">
            <w:pPr>
              <w:jc w:val="center"/>
              <w:rPr>
                <w:rFonts w:hint="default" w:ascii="Times New Roman" w:hAnsi="Times New Roman" w:eastAsia="宋体" w:cs="Times New Roman"/>
                <w:i w:val="0"/>
                <w:iCs w:val="0"/>
                <w:color w:val="auto"/>
                <w:sz w:val="18"/>
                <w:szCs w:val="18"/>
                <w:highlight w:val="none"/>
                <w:u w:val="none"/>
              </w:rPr>
            </w:pPr>
          </w:p>
        </w:tc>
        <w:tc>
          <w:tcPr>
            <w:tcW w:w="6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CB5C22">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设备运行</w:t>
            </w:r>
          </w:p>
        </w:tc>
        <w:tc>
          <w:tcPr>
            <w:tcW w:w="8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13DD13">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设备废滤料</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9F235A">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一般废物</w:t>
            </w:r>
          </w:p>
        </w:tc>
        <w:tc>
          <w:tcPr>
            <w:tcW w:w="3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95E13F">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类比</w:t>
            </w:r>
          </w:p>
        </w:tc>
        <w:tc>
          <w:tcPr>
            <w:tcW w:w="4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D6E4C6">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 xml:space="preserve">0.080 </w:t>
            </w:r>
          </w:p>
        </w:tc>
        <w:tc>
          <w:tcPr>
            <w:tcW w:w="5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0751C8">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资源化</w:t>
            </w:r>
          </w:p>
        </w:tc>
        <w:tc>
          <w:tcPr>
            <w:tcW w:w="4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83907C">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 xml:space="preserve">0.080 </w:t>
            </w:r>
          </w:p>
        </w:tc>
        <w:tc>
          <w:tcPr>
            <w:tcW w:w="705" w:type="pct"/>
            <w:vMerge w:val="continue"/>
            <w:tcBorders>
              <w:top w:val="single" w:color="000000" w:sz="4" w:space="0"/>
              <w:left w:val="single" w:color="000000" w:sz="4" w:space="0"/>
              <w:bottom w:val="single" w:color="000000" w:sz="4" w:space="0"/>
              <w:right w:val="single" w:color="000000" w:sz="12" w:space="0"/>
            </w:tcBorders>
            <w:shd w:val="clear" w:color="auto" w:fill="auto"/>
            <w:noWrap/>
            <w:vAlign w:val="center"/>
          </w:tcPr>
          <w:p w14:paraId="23AA93AE">
            <w:pPr>
              <w:jc w:val="center"/>
              <w:rPr>
                <w:rFonts w:hint="default" w:ascii="Times New Roman" w:hAnsi="Times New Roman" w:eastAsia="宋体" w:cs="Times New Roman"/>
                <w:i w:val="0"/>
                <w:iCs w:val="0"/>
                <w:color w:val="auto"/>
                <w:sz w:val="18"/>
                <w:szCs w:val="18"/>
                <w:highlight w:val="none"/>
                <w:u w:val="none"/>
              </w:rPr>
            </w:pPr>
          </w:p>
        </w:tc>
      </w:tr>
      <w:tr w14:paraId="2FB7E6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2" w:hRule="atLeast"/>
        </w:trPr>
        <w:tc>
          <w:tcPr>
            <w:tcW w:w="220" w:type="pct"/>
            <w:tcBorders>
              <w:top w:val="single" w:color="000000" w:sz="4" w:space="0"/>
              <w:left w:val="single" w:color="000000" w:sz="12" w:space="0"/>
              <w:bottom w:val="single" w:color="000000" w:sz="4" w:space="0"/>
              <w:right w:val="single" w:color="000000" w:sz="4" w:space="0"/>
            </w:tcBorders>
            <w:shd w:val="clear" w:color="auto" w:fill="auto"/>
            <w:vAlign w:val="center"/>
          </w:tcPr>
          <w:p w14:paraId="3E232639">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S1</w:t>
            </w:r>
            <w:r>
              <w:rPr>
                <w:rFonts w:hint="default" w:cs="Times New Roman"/>
                <w:i w:val="0"/>
                <w:iCs w:val="0"/>
                <w:color w:val="auto"/>
                <w:kern w:val="0"/>
                <w:sz w:val="18"/>
                <w:szCs w:val="18"/>
                <w:highlight w:val="none"/>
                <w:u w:val="none"/>
                <w:lang w:val="en-US" w:eastAsia="zh-CN" w:bidi="ar"/>
              </w:rPr>
              <w:t>4</w:t>
            </w:r>
          </w:p>
        </w:tc>
        <w:tc>
          <w:tcPr>
            <w:tcW w:w="49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E4E27">
            <w:pPr>
              <w:jc w:val="center"/>
              <w:rPr>
                <w:rFonts w:hint="default" w:ascii="Times New Roman" w:hAnsi="Times New Roman" w:eastAsia="宋体" w:cs="Times New Roman"/>
                <w:i w:val="0"/>
                <w:iCs w:val="0"/>
                <w:color w:val="auto"/>
                <w:sz w:val="18"/>
                <w:szCs w:val="18"/>
                <w:highlight w:val="none"/>
                <w:u w:val="none"/>
              </w:rPr>
            </w:pPr>
          </w:p>
        </w:tc>
        <w:tc>
          <w:tcPr>
            <w:tcW w:w="6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23D1EE">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设备运行</w:t>
            </w:r>
          </w:p>
        </w:tc>
        <w:tc>
          <w:tcPr>
            <w:tcW w:w="8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AA56F">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废布袋</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5879CF">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一般废物</w:t>
            </w:r>
          </w:p>
        </w:tc>
        <w:tc>
          <w:tcPr>
            <w:tcW w:w="3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509C86">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类比</w:t>
            </w:r>
          </w:p>
        </w:tc>
        <w:tc>
          <w:tcPr>
            <w:tcW w:w="4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BD0715">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 xml:space="preserve">0.015 </w:t>
            </w:r>
          </w:p>
        </w:tc>
        <w:tc>
          <w:tcPr>
            <w:tcW w:w="5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3EC157">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资源化</w:t>
            </w:r>
          </w:p>
        </w:tc>
        <w:tc>
          <w:tcPr>
            <w:tcW w:w="4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2EA04E">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 xml:space="preserve">0.015 </w:t>
            </w:r>
          </w:p>
        </w:tc>
        <w:tc>
          <w:tcPr>
            <w:tcW w:w="705" w:type="pct"/>
            <w:vMerge w:val="continue"/>
            <w:tcBorders>
              <w:top w:val="single" w:color="000000" w:sz="4" w:space="0"/>
              <w:left w:val="single" w:color="000000" w:sz="4" w:space="0"/>
              <w:bottom w:val="single" w:color="000000" w:sz="4" w:space="0"/>
              <w:right w:val="single" w:color="000000" w:sz="12" w:space="0"/>
            </w:tcBorders>
            <w:shd w:val="clear" w:color="auto" w:fill="auto"/>
            <w:noWrap/>
            <w:vAlign w:val="center"/>
          </w:tcPr>
          <w:p w14:paraId="428B19D6">
            <w:pPr>
              <w:jc w:val="center"/>
              <w:rPr>
                <w:rFonts w:hint="default" w:ascii="Times New Roman" w:hAnsi="Times New Roman" w:eastAsia="宋体" w:cs="Times New Roman"/>
                <w:i w:val="0"/>
                <w:iCs w:val="0"/>
                <w:color w:val="auto"/>
                <w:sz w:val="18"/>
                <w:szCs w:val="18"/>
                <w:highlight w:val="none"/>
                <w:u w:val="none"/>
              </w:rPr>
            </w:pPr>
          </w:p>
        </w:tc>
      </w:tr>
      <w:tr w14:paraId="2E035D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2" w:hRule="atLeast"/>
        </w:trPr>
        <w:tc>
          <w:tcPr>
            <w:tcW w:w="220" w:type="pct"/>
            <w:tcBorders>
              <w:top w:val="single" w:color="000000" w:sz="4" w:space="0"/>
              <w:left w:val="single" w:color="000000" w:sz="12" w:space="0"/>
              <w:bottom w:val="single" w:color="000000" w:sz="12" w:space="0"/>
              <w:right w:val="single" w:color="000000" w:sz="4" w:space="0"/>
            </w:tcBorders>
            <w:shd w:val="clear" w:color="auto" w:fill="auto"/>
            <w:vAlign w:val="center"/>
          </w:tcPr>
          <w:p w14:paraId="56DEDF18">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S1</w:t>
            </w:r>
            <w:r>
              <w:rPr>
                <w:rFonts w:hint="default" w:cs="Times New Roman"/>
                <w:i w:val="0"/>
                <w:iCs w:val="0"/>
                <w:color w:val="auto"/>
                <w:kern w:val="0"/>
                <w:sz w:val="18"/>
                <w:szCs w:val="18"/>
                <w:highlight w:val="none"/>
                <w:u w:val="none"/>
                <w:lang w:val="en-US" w:eastAsia="zh-CN" w:bidi="ar"/>
              </w:rPr>
              <w:t>5</w:t>
            </w:r>
          </w:p>
        </w:tc>
        <w:tc>
          <w:tcPr>
            <w:tcW w:w="497" w:type="pct"/>
            <w:vMerge w:val="continue"/>
            <w:tcBorders>
              <w:top w:val="single" w:color="000000" w:sz="4" w:space="0"/>
              <w:left w:val="single" w:color="000000" w:sz="4" w:space="0"/>
              <w:bottom w:val="single" w:color="000000" w:sz="12" w:space="0"/>
              <w:right w:val="single" w:color="000000" w:sz="4" w:space="0"/>
            </w:tcBorders>
            <w:shd w:val="clear" w:color="auto" w:fill="auto"/>
            <w:noWrap/>
            <w:vAlign w:val="center"/>
          </w:tcPr>
          <w:p w14:paraId="3A53249D">
            <w:pPr>
              <w:jc w:val="center"/>
              <w:rPr>
                <w:rFonts w:hint="default" w:ascii="Times New Roman" w:hAnsi="Times New Roman" w:eastAsia="宋体" w:cs="Times New Roman"/>
                <w:i w:val="0"/>
                <w:iCs w:val="0"/>
                <w:color w:val="auto"/>
                <w:sz w:val="18"/>
                <w:szCs w:val="18"/>
                <w:highlight w:val="none"/>
                <w:u w:val="none"/>
              </w:rPr>
            </w:pPr>
          </w:p>
        </w:tc>
        <w:tc>
          <w:tcPr>
            <w:tcW w:w="636" w:type="pct"/>
            <w:tcBorders>
              <w:top w:val="single" w:color="000000" w:sz="4" w:space="0"/>
              <w:left w:val="single" w:color="000000" w:sz="4" w:space="0"/>
              <w:bottom w:val="single" w:color="000000" w:sz="12" w:space="0"/>
              <w:right w:val="single" w:color="000000" w:sz="4" w:space="0"/>
            </w:tcBorders>
            <w:shd w:val="clear" w:color="auto" w:fill="auto"/>
            <w:noWrap/>
            <w:vAlign w:val="center"/>
          </w:tcPr>
          <w:p w14:paraId="2D84F76D">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员工生活</w:t>
            </w:r>
          </w:p>
        </w:tc>
        <w:tc>
          <w:tcPr>
            <w:tcW w:w="843" w:type="pct"/>
            <w:tcBorders>
              <w:top w:val="single" w:color="000000" w:sz="4" w:space="0"/>
              <w:left w:val="single" w:color="000000" w:sz="4" w:space="0"/>
              <w:bottom w:val="single" w:color="000000" w:sz="12" w:space="0"/>
              <w:right w:val="single" w:color="000000" w:sz="4" w:space="0"/>
            </w:tcBorders>
            <w:shd w:val="clear" w:color="auto" w:fill="auto"/>
            <w:noWrap/>
            <w:vAlign w:val="center"/>
          </w:tcPr>
          <w:p w14:paraId="48AF02B2">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生活垃圾</w:t>
            </w:r>
          </w:p>
        </w:tc>
        <w:tc>
          <w:tcPr>
            <w:tcW w:w="359" w:type="pct"/>
            <w:tcBorders>
              <w:top w:val="single" w:color="000000" w:sz="4" w:space="0"/>
              <w:left w:val="single" w:color="000000" w:sz="4" w:space="0"/>
              <w:bottom w:val="single" w:color="000000" w:sz="12" w:space="0"/>
              <w:right w:val="single" w:color="000000" w:sz="4" w:space="0"/>
            </w:tcBorders>
            <w:shd w:val="clear" w:color="auto" w:fill="auto"/>
            <w:vAlign w:val="center"/>
          </w:tcPr>
          <w:p w14:paraId="7F4CB299">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一般废物</w:t>
            </w:r>
          </w:p>
        </w:tc>
        <w:tc>
          <w:tcPr>
            <w:tcW w:w="359" w:type="pct"/>
            <w:tcBorders>
              <w:top w:val="single" w:color="000000" w:sz="4" w:space="0"/>
              <w:left w:val="single" w:color="000000" w:sz="4" w:space="0"/>
              <w:bottom w:val="single" w:color="000000" w:sz="12" w:space="0"/>
              <w:right w:val="single" w:color="000000" w:sz="4" w:space="0"/>
            </w:tcBorders>
            <w:shd w:val="clear" w:color="auto" w:fill="auto"/>
            <w:noWrap/>
            <w:vAlign w:val="center"/>
          </w:tcPr>
          <w:p w14:paraId="11F93F06">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产污系数</w:t>
            </w:r>
          </w:p>
        </w:tc>
        <w:tc>
          <w:tcPr>
            <w:tcW w:w="406" w:type="pct"/>
            <w:tcBorders>
              <w:top w:val="single" w:color="000000" w:sz="4" w:space="0"/>
              <w:left w:val="single" w:color="000000" w:sz="4" w:space="0"/>
              <w:bottom w:val="single" w:color="000000" w:sz="12" w:space="0"/>
              <w:right w:val="single" w:color="000000" w:sz="4" w:space="0"/>
            </w:tcBorders>
            <w:shd w:val="clear" w:color="auto" w:fill="auto"/>
            <w:vAlign w:val="center"/>
          </w:tcPr>
          <w:p w14:paraId="388FF923">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 xml:space="preserve">1.612 </w:t>
            </w:r>
          </w:p>
        </w:tc>
        <w:tc>
          <w:tcPr>
            <w:tcW w:w="566" w:type="pct"/>
            <w:tcBorders>
              <w:top w:val="single" w:color="000000" w:sz="4" w:space="0"/>
              <w:left w:val="single" w:color="000000" w:sz="4" w:space="0"/>
              <w:bottom w:val="single" w:color="000000" w:sz="12" w:space="0"/>
              <w:right w:val="single" w:color="000000" w:sz="4" w:space="0"/>
            </w:tcBorders>
            <w:shd w:val="clear" w:color="auto" w:fill="auto"/>
            <w:vAlign w:val="center"/>
          </w:tcPr>
          <w:p w14:paraId="7F97EE63">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资源化</w:t>
            </w:r>
          </w:p>
        </w:tc>
        <w:tc>
          <w:tcPr>
            <w:tcW w:w="406" w:type="pct"/>
            <w:tcBorders>
              <w:top w:val="single" w:color="000000" w:sz="4" w:space="0"/>
              <w:left w:val="single" w:color="000000" w:sz="4" w:space="0"/>
              <w:bottom w:val="single" w:color="000000" w:sz="12" w:space="0"/>
              <w:right w:val="single" w:color="000000" w:sz="4" w:space="0"/>
            </w:tcBorders>
            <w:shd w:val="clear" w:color="auto" w:fill="auto"/>
            <w:vAlign w:val="center"/>
          </w:tcPr>
          <w:p w14:paraId="1CF26AF1">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 xml:space="preserve">1.612 </w:t>
            </w:r>
          </w:p>
        </w:tc>
        <w:tc>
          <w:tcPr>
            <w:tcW w:w="705" w:type="pct"/>
            <w:tcBorders>
              <w:top w:val="single" w:color="000000" w:sz="4" w:space="0"/>
              <w:left w:val="single" w:color="000000" w:sz="4" w:space="0"/>
              <w:bottom w:val="single" w:color="000000" w:sz="12" w:space="0"/>
              <w:right w:val="single" w:color="000000" w:sz="12" w:space="0"/>
            </w:tcBorders>
            <w:shd w:val="clear" w:color="auto" w:fill="auto"/>
            <w:noWrap/>
            <w:vAlign w:val="center"/>
          </w:tcPr>
          <w:p w14:paraId="7AB01820">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环卫清运</w:t>
            </w:r>
          </w:p>
        </w:tc>
      </w:tr>
    </w:tbl>
    <w:p w14:paraId="58D79311">
      <w:pPr>
        <w:pStyle w:val="20"/>
        <w:jc w:val="both"/>
        <w:outlineLvl w:val="9"/>
        <w:rPr>
          <w:rFonts w:ascii="Times New Roman" w:hAnsi="Times New Roman" w:eastAsia="黑体"/>
          <w:snapToGrid w:val="0"/>
          <w:color w:val="auto"/>
          <w:sz w:val="30"/>
          <w:szCs w:val="30"/>
          <w:highlight w:val="none"/>
        </w:rPr>
      </w:pPr>
    </w:p>
    <w:p w14:paraId="776A5631">
      <w:pPr>
        <w:pStyle w:val="20"/>
        <w:jc w:val="both"/>
        <w:outlineLvl w:val="0"/>
        <w:rPr>
          <w:rFonts w:ascii="Times New Roman" w:hAnsi="Times New Roman" w:eastAsia="黑体" w:cs="Times New Roman"/>
          <w:snapToGrid w:val="0"/>
          <w:color w:val="auto"/>
          <w:sz w:val="30"/>
          <w:szCs w:val="30"/>
          <w:highlight w:val="none"/>
        </w:rPr>
        <w:sectPr>
          <w:pgSz w:w="16838" w:h="11906" w:orient="landscape"/>
          <w:pgMar w:top="1531" w:right="1701" w:bottom="1531" w:left="1701" w:header="851" w:footer="851" w:gutter="0"/>
          <w:pgBorders>
            <w:top w:val="none" w:sz="0" w:space="0"/>
            <w:left w:val="none" w:sz="0" w:space="0"/>
            <w:bottom w:val="none" w:sz="0" w:space="0"/>
            <w:right w:val="none" w:sz="0" w:space="0"/>
          </w:pgBorders>
          <w:cols w:space="720" w:num="1"/>
          <w:docGrid w:linePitch="312" w:charSpace="0"/>
        </w:sectPr>
      </w:pPr>
    </w:p>
    <w:p w14:paraId="292402DC">
      <w:pPr>
        <w:pStyle w:val="20"/>
        <w:jc w:val="center"/>
        <w:outlineLvl w:val="9"/>
        <w:rPr>
          <w:rFonts w:ascii="Times New Roman" w:hAnsi="Times New Roman" w:eastAsia="黑体"/>
          <w:snapToGrid w:val="0"/>
          <w:color w:val="auto"/>
          <w:sz w:val="30"/>
          <w:szCs w:val="30"/>
          <w:highlight w:val="none"/>
        </w:rPr>
      </w:pPr>
    </w:p>
    <w:tbl>
      <w:tblPr>
        <w:tblStyle w:val="2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7847"/>
      </w:tblGrid>
      <w:tr w14:paraId="73B3A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p w14:paraId="1D8DACE1">
            <w:pPr>
              <w:adjustRightInd w:val="0"/>
              <w:snapToGrid w:val="0"/>
              <w:jc w:val="center"/>
              <w:rPr>
                <w:bCs/>
                <w:color w:val="auto"/>
                <w:szCs w:val="21"/>
                <w:highlight w:val="none"/>
              </w:rPr>
            </w:pPr>
            <w:r>
              <w:rPr>
                <w:bCs/>
                <w:color w:val="auto"/>
                <w:szCs w:val="21"/>
                <w:highlight w:val="none"/>
              </w:rPr>
              <w:t>运营</w:t>
            </w:r>
          </w:p>
          <w:p w14:paraId="3D6696AF">
            <w:pPr>
              <w:adjustRightInd w:val="0"/>
              <w:snapToGrid w:val="0"/>
              <w:jc w:val="center"/>
              <w:rPr>
                <w:bCs/>
                <w:color w:val="auto"/>
                <w:szCs w:val="21"/>
                <w:highlight w:val="none"/>
              </w:rPr>
            </w:pPr>
            <w:r>
              <w:rPr>
                <w:bCs/>
                <w:color w:val="auto"/>
                <w:szCs w:val="21"/>
                <w:highlight w:val="none"/>
              </w:rPr>
              <w:t>期环</w:t>
            </w:r>
          </w:p>
          <w:p w14:paraId="5DB17A76">
            <w:pPr>
              <w:adjustRightInd w:val="0"/>
              <w:snapToGrid w:val="0"/>
              <w:jc w:val="center"/>
              <w:rPr>
                <w:bCs/>
                <w:color w:val="auto"/>
                <w:szCs w:val="21"/>
                <w:highlight w:val="none"/>
              </w:rPr>
            </w:pPr>
            <w:r>
              <w:rPr>
                <w:bCs/>
                <w:color w:val="auto"/>
                <w:szCs w:val="21"/>
                <w:highlight w:val="none"/>
              </w:rPr>
              <w:t>境影</w:t>
            </w:r>
          </w:p>
          <w:p w14:paraId="0B5D54E2">
            <w:pPr>
              <w:adjustRightInd w:val="0"/>
              <w:snapToGrid w:val="0"/>
              <w:jc w:val="center"/>
              <w:rPr>
                <w:bCs/>
                <w:color w:val="auto"/>
                <w:szCs w:val="21"/>
                <w:highlight w:val="none"/>
              </w:rPr>
            </w:pPr>
            <w:r>
              <w:rPr>
                <w:bCs/>
                <w:color w:val="auto"/>
                <w:szCs w:val="21"/>
                <w:highlight w:val="none"/>
              </w:rPr>
              <w:t>响和</w:t>
            </w:r>
          </w:p>
          <w:p w14:paraId="11B0656D">
            <w:pPr>
              <w:adjustRightInd w:val="0"/>
              <w:snapToGrid w:val="0"/>
              <w:jc w:val="center"/>
              <w:rPr>
                <w:bCs/>
                <w:color w:val="auto"/>
                <w:szCs w:val="21"/>
                <w:highlight w:val="none"/>
              </w:rPr>
            </w:pPr>
            <w:r>
              <w:rPr>
                <w:bCs/>
                <w:color w:val="auto"/>
                <w:szCs w:val="21"/>
                <w:highlight w:val="none"/>
              </w:rPr>
              <w:t>保护</w:t>
            </w:r>
          </w:p>
          <w:p w14:paraId="2B9C951C">
            <w:pPr>
              <w:adjustRightInd w:val="0"/>
              <w:snapToGrid w:val="0"/>
              <w:spacing w:line="360" w:lineRule="auto"/>
              <w:jc w:val="center"/>
              <w:rPr>
                <w:bCs/>
                <w:color w:val="auto"/>
                <w:szCs w:val="21"/>
                <w:highlight w:val="none"/>
              </w:rPr>
            </w:pPr>
            <w:r>
              <w:rPr>
                <w:bCs/>
                <w:color w:val="auto"/>
                <w:szCs w:val="21"/>
                <w:highlight w:val="none"/>
              </w:rPr>
              <w:t>措施</w:t>
            </w:r>
          </w:p>
        </w:tc>
        <w:tc>
          <w:tcPr>
            <w:tcW w:w="7847" w:type="dxa"/>
          </w:tcPr>
          <w:p w14:paraId="6299C481">
            <w:pPr>
              <w:spacing w:line="360" w:lineRule="auto"/>
              <w:rPr>
                <w:b/>
                <w:bCs/>
                <w:color w:val="auto"/>
                <w:highlight w:val="none"/>
              </w:rPr>
            </w:pPr>
            <w:r>
              <w:rPr>
                <w:rFonts w:hint="default"/>
                <w:b/>
                <w:bCs/>
                <w:color w:val="auto"/>
                <w:highlight w:val="none"/>
              </w:rPr>
              <w:t>5、危险废物贮存场所（设施）</w:t>
            </w:r>
          </w:p>
          <w:p w14:paraId="0630189F">
            <w:pPr>
              <w:spacing w:line="360" w:lineRule="auto"/>
              <w:ind w:firstLine="482"/>
              <w:rPr>
                <w:color w:val="auto"/>
                <w:szCs w:val="21"/>
                <w:highlight w:val="none"/>
              </w:rPr>
            </w:pPr>
            <w:r>
              <w:rPr>
                <w:rFonts w:hint="default"/>
                <w:color w:val="auto"/>
                <w:szCs w:val="21"/>
                <w:highlight w:val="none"/>
              </w:rPr>
              <w:t>企业设有1间危废暂存间，具体情况见表</w:t>
            </w:r>
            <w:r>
              <w:rPr>
                <w:rFonts w:hint="default"/>
                <w:color w:val="auto"/>
                <w:szCs w:val="21"/>
                <w:highlight w:val="none"/>
                <w:lang w:val="en-US" w:eastAsia="zh-CN"/>
              </w:rPr>
              <w:t>4-</w:t>
            </w:r>
            <w:r>
              <w:rPr>
                <w:rFonts w:hint="eastAsia" w:ascii="Times New Roman" w:hAnsi="Times New Roman" w:cs="Times New Roman"/>
                <w:color w:val="auto"/>
                <w:szCs w:val="21"/>
                <w:highlight w:val="none"/>
                <w:lang w:val="en-US" w:eastAsia="zh-CN"/>
              </w:rPr>
              <w:t>1</w:t>
            </w:r>
            <w:r>
              <w:rPr>
                <w:rFonts w:hint="eastAsia" w:cs="Times New Roman"/>
                <w:color w:val="auto"/>
                <w:szCs w:val="21"/>
                <w:highlight w:val="none"/>
                <w:lang w:val="en-US" w:eastAsia="zh-CN"/>
              </w:rPr>
              <w:t>9</w:t>
            </w:r>
            <w:r>
              <w:rPr>
                <w:rFonts w:hint="default"/>
                <w:color w:val="auto"/>
                <w:szCs w:val="21"/>
                <w:highlight w:val="none"/>
              </w:rPr>
              <w:t>：</w:t>
            </w:r>
          </w:p>
          <w:p w14:paraId="62B7E27C">
            <w:pPr>
              <w:numPr>
                <w:ilvl w:val="0"/>
                <w:numId w:val="8"/>
              </w:numPr>
              <w:spacing w:line="360" w:lineRule="auto"/>
              <w:jc w:val="center"/>
              <w:rPr>
                <w:b/>
                <w:bCs/>
                <w:color w:val="auto"/>
                <w:szCs w:val="21"/>
                <w:highlight w:val="none"/>
              </w:rPr>
            </w:pPr>
            <w:r>
              <w:rPr>
                <w:rFonts w:hint="default" w:ascii="Times New Roman" w:hAnsi="Times New Roman" w:eastAsia="黑体" w:cs="Times New Roman"/>
                <w:b w:val="0"/>
                <w:bCs w:val="0"/>
                <w:color w:val="auto"/>
                <w:spacing w:val="-10"/>
                <w:szCs w:val="21"/>
                <w:highlight w:val="none"/>
                <w:lang w:val="en-US" w:eastAsia="zh-CN"/>
              </w:rPr>
              <w:t xml:space="preserve"> </w:t>
            </w:r>
            <w:r>
              <w:rPr>
                <w:rFonts w:hint="default" w:ascii="Times New Roman" w:hAnsi="Times New Roman" w:eastAsia="黑体" w:cs="Times New Roman"/>
                <w:b w:val="0"/>
                <w:bCs w:val="0"/>
                <w:color w:val="auto"/>
                <w:spacing w:val="-10"/>
                <w:szCs w:val="21"/>
                <w:highlight w:val="none"/>
              </w:rPr>
              <w:t>项目危险废物贮存场所（设施）基本情况表</w:t>
            </w:r>
          </w:p>
          <w:tbl>
            <w:tblPr>
              <w:tblStyle w:val="24"/>
              <w:tblW w:w="7625" w:type="dxa"/>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
            <w:tblGrid>
              <w:gridCol w:w="705"/>
              <w:gridCol w:w="917"/>
              <w:gridCol w:w="936"/>
              <w:gridCol w:w="888"/>
              <w:gridCol w:w="684"/>
              <w:gridCol w:w="684"/>
              <w:gridCol w:w="597"/>
              <w:gridCol w:w="576"/>
              <w:gridCol w:w="395"/>
              <w:gridCol w:w="621"/>
              <w:gridCol w:w="622"/>
            </w:tblGrid>
            <w:tr w14:paraId="3382E15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672" w:hRule="atLeast"/>
                <w:jc w:val="center"/>
              </w:trPr>
              <w:tc>
                <w:tcPr>
                  <w:tcW w:w="462" w:type="pct"/>
                  <w:tcBorders>
                    <w:tl2br w:val="nil"/>
                    <w:tr2bl w:val="nil"/>
                  </w:tcBorders>
                  <w:vAlign w:val="center"/>
                </w:tcPr>
                <w:p w14:paraId="7FDD80A4">
                  <w:pPr>
                    <w:widowControl/>
                    <w:jc w:val="center"/>
                    <w:textAlignment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kern w:val="0"/>
                      <w:sz w:val="18"/>
                      <w:szCs w:val="18"/>
                      <w:highlight w:val="none"/>
                      <w:lang w:bidi="ar"/>
                    </w:rPr>
                    <w:t>贮存场所</w:t>
                  </w:r>
                  <w:r>
                    <w:rPr>
                      <w:color w:val="auto"/>
                      <w:kern w:val="0"/>
                      <w:sz w:val="18"/>
                      <w:szCs w:val="18"/>
                      <w:highlight w:val="none"/>
                      <w:lang w:bidi="ar"/>
                    </w:rPr>
                    <w:t>(</w:t>
                  </w:r>
                  <w:r>
                    <w:rPr>
                      <w:rFonts w:hint="default" w:ascii="Times New Roman" w:hAnsi="Times New Roman" w:cs="Times New Roman"/>
                      <w:color w:val="auto"/>
                      <w:kern w:val="0"/>
                      <w:sz w:val="18"/>
                      <w:szCs w:val="18"/>
                      <w:highlight w:val="none"/>
                      <w:lang w:bidi="ar"/>
                    </w:rPr>
                    <w:t>设施</w:t>
                  </w:r>
                  <w:r>
                    <w:rPr>
                      <w:color w:val="auto"/>
                      <w:kern w:val="0"/>
                      <w:sz w:val="18"/>
                      <w:szCs w:val="18"/>
                      <w:highlight w:val="none"/>
                      <w:lang w:bidi="ar"/>
                    </w:rPr>
                    <w:t>)</w:t>
                  </w:r>
                  <w:r>
                    <w:rPr>
                      <w:rFonts w:hint="default" w:ascii="Times New Roman" w:hAnsi="Times New Roman" w:cs="Times New Roman"/>
                      <w:color w:val="auto"/>
                      <w:kern w:val="0"/>
                      <w:sz w:val="18"/>
                      <w:szCs w:val="18"/>
                      <w:highlight w:val="none"/>
                      <w:lang w:bidi="ar"/>
                    </w:rPr>
                    <w:t>名称</w:t>
                  </w:r>
                </w:p>
              </w:tc>
              <w:tc>
                <w:tcPr>
                  <w:tcW w:w="601" w:type="pct"/>
                  <w:tcBorders>
                    <w:tl2br w:val="nil"/>
                    <w:tr2bl w:val="nil"/>
                  </w:tcBorders>
                  <w:vAlign w:val="center"/>
                </w:tcPr>
                <w:p w14:paraId="3F10D9B8">
                  <w:pPr>
                    <w:widowControl/>
                    <w:jc w:val="center"/>
                    <w:textAlignment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kern w:val="0"/>
                      <w:sz w:val="18"/>
                      <w:szCs w:val="18"/>
                      <w:highlight w:val="none"/>
                      <w:lang w:bidi="ar"/>
                    </w:rPr>
                    <w:t>危险废物名称</w:t>
                  </w:r>
                </w:p>
              </w:tc>
              <w:tc>
                <w:tcPr>
                  <w:tcW w:w="613" w:type="pct"/>
                  <w:tcBorders>
                    <w:tl2br w:val="nil"/>
                    <w:tr2bl w:val="nil"/>
                  </w:tcBorders>
                  <w:vAlign w:val="center"/>
                </w:tcPr>
                <w:p w14:paraId="186AB63D">
                  <w:pPr>
                    <w:widowControl/>
                    <w:jc w:val="center"/>
                    <w:textAlignment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kern w:val="0"/>
                      <w:sz w:val="18"/>
                      <w:szCs w:val="18"/>
                      <w:highlight w:val="none"/>
                      <w:lang w:bidi="ar"/>
                    </w:rPr>
                    <w:t>危险废物类别</w:t>
                  </w:r>
                </w:p>
              </w:tc>
              <w:tc>
                <w:tcPr>
                  <w:tcW w:w="582" w:type="pct"/>
                  <w:tcBorders>
                    <w:tl2br w:val="nil"/>
                    <w:tr2bl w:val="nil"/>
                  </w:tcBorders>
                  <w:vAlign w:val="center"/>
                </w:tcPr>
                <w:p w14:paraId="4D2EC863">
                  <w:pPr>
                    <w:widowControl/>
                    <w:jc w:val="center"/>
                    <w:textAlignment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kern w:val="0"/>
                      <w:sz w:val="18"/>
                      <w:szCs w:val="18"/>
                      <w:highlight w:val="none"/>
                      <w:lang w:bidi="ar"/>
                    </w:rPr>
                    <w:t>危险废物代码</w:t>
                  </w:r>
                </w:p>
              </w:tc>
              <w:tc>
                <w:tcPr>
                  <w:tcW w:w="448" w:type="pct"/>
                  <w:tcBorders>
                    <w:tl2br w:val="nil"/>
                    <w:tr2bl w:val="nil"/>
                  </w:tcBorders>
                  <w:vAlign w:val="center"/>
                </w:tcPr>
                <w:p w14:paraId="1D963826">
                  <w:pPr>
                    <w:widowControl/>
                    <w:jc w:val="center"/>
                    <w:textAlignment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kern w:val="0"/>
                      <w:sz w:val="18"/>
                      <w:szCs w:val="18"/>
                      <w:highlight w:val="none"/>
                      <w:lang w:bidi="ar"/>
                    </w:rPr>
                    <w:t>位置</w:t>
                  </w:r>
                </w:p>
              </w:tc>
              <w:tc>
                <w:tcPr>
                  <w:tcW w:w="448" w:type="pct"/>
                  <w:tcBorders>
                    <w:tl2br w:val="nil"/>
                    <w:tr2bl w:val="nil"/>
                  </w:tcBorders>
                  <w:vAlign w:val="center"/>
                </w:tcPr>
                <w:p w14:paraId="7EA0BB2E">
                  <w:pPr>
                    <w:widowControl/>
                    <w:jc w:val="center"/>
                    <w:textAlignment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kern w:val="0"/>
                      <w:sz w:val="18"/>
                      <w:szCs w:val="18"/>
                      <w:highlight w:val="none"/>
                      <w:lang w:bidi="ar"/>
                    </w:rPr>
                    <w:t>占地面积</w:t>
                  </w:r>
                </w:p>
              </w:tc>
              <w:tc>
                <w:tcPr>
                  <w:tcW w:w="391" w:type="pct"/>
                  <w:tcBorders>
                    <w:tl2br w:val="nil"/>
                    <w:tr2bl w:val="nil"/>
                  </w:tcBorders>
                  <w:vAlign w:val="center"/>
                </w:tcPr>
                <w:p w14:paraId="494BEA3A">
                  <w:pPr>
                    <w:widowControl/>
                    <w:jc w:val="center"/>
                    <w:textAlignment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kern w:val="0"/>
                      <w:sz w:val="18"/>
                      <w:szCs w:val="18"/>
                      <w:highlight w:val="none"/>
                      <w:lang w:bidi="ar"/>
                    </w:rPr>
                    <w:t>贮存方式</w:t>
                  </w:r>
                </w:p>
              </w:tc>
              <w:tc>
                <w:tcPr>
                  <w:tcW w:w="377" w:type="pct"/>
                  <w:tcBorders>
                    <w:tl2br w:val="nil"/>
                    <w:tr2bl w:val="nil"/>
                  </w:tcBorders>
                  <w:vAlign w:val="center"/>
                </w:tcPr>
                <w:p w14:paraId="7C5B5EA1">
                  <w:pPr>
                    <w:widowControl/>
                    <w:jc w:val="center"/>
                    <w:textAlignment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kern w:val="0"/>
                      <w:sz w:val="18"/>
                      <w:szCs w:val="18"/>
                      <w:highlight w:val="none"/>
                      <w:lang w:bidi="ar"/>
                    </w:rPr>
                    <w:t>最大贮存规模</w:t>
                  </w:r>
                  <w:r>
                    <w:rPr>
                      <w:color w:val="auto"/>
                      <w:kern w:val="0"/>
                      <w:sz w:val="18"/>
                      <w:szCs w:val="18"/>
                      <w:highlight w:val="none"/>
                      <w:lang w:bidi="ar"/>
                    </w:rPr>
                    <w:t>(t)</w:t>
                  </w:r>
                </w:p>
              </w:tc>
              <w:tc>
                <w:tcPr>
                  <w:tcW w:w="259" w:type="pct"/>
                  <w:tcBorders>
                    <w:tl2br w:val="nil"/>
                    <w:tr2bl w:val="nil"/>
                  </w:tcBorders>
                  <w:vAlign w:val="center"/>
                </w:tcPr>
                <w:p w14:paraId="4C5617B3">
                  <w:pPr>
                    <w:widowControl/>
                    <w:jc w:val="center"/>
                    <w:textAlignment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kern w:val="0"/>
                      <w:sz w:val="18"/>
                      <w:szCs w:val="18"/>
                      <w:highlight w:val="none"/>
                      <w:lang w:bidi="ar"/>
                    </w:rPr>
                    <w:t>贮存周期</w:t>
                  </w:r>
                </w:p>
              </w:tc>
              <w:tc>
                <w:tcPr>
                  <w:tcW w:w="407" w:type="pct"/>
                  <w:tcBorders>
                    <w:tl2br w:val="nil"/>
                    <w:tr2bl w:val="nil"/>
                  </w:tcBorders>
                  <w:vAlign w:val="center"/>
                </w:tcPr>
                <w:p w14:paraId="11214B5A">
                  <w:pPr>
                    <w:widowControl/>
                    <w:jc w:val="center"/>
                    <w:textAlignment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kern w:val="0"/>
                      <w:sz w:val="18"/>
                      <w:szCs w:val="18"/>
                      <w:highlight w:val="none"/>
                      <w:lang w:bidi="ar"/>
                    </w:rPr>
                    <w:t>年贮存能力</w:t>
                  </w:r>
                  <w:r>
                    <w:rPr>
                      <w:color w:val="auto"/>
                      <w:kern w:val="0"/>
                      <w:sz w:val="18"/>
                      <w:szCs w:val="18"/>
                      <w:highlight w:val="none"/>
                      <w:lang w:bidi="ar"/>
                    </w:rPr>
                    <w:t>(t/a)</w:t>
                  </w:r>
                </w:p>
              </w:tc>
              <w:tc>
                <w:tcPr>
                  <w:tcW w:w="407" w:type="pct"/>
                  <w:tcBorders>
                    <w:tl2br w:val="nil"/>
                    <w:tr2bl w:val="nil"/>
                  </w:tcBorders>
                  <w:vAlign w:val="center"/>
                </w:tcPr>
                <w:p w14:paraId="576DE504">
                  <w:pPr>
                    <w:widowControl/>
                    <w:jc w:val="center"/>
                    <w:textAlignment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kern w:val="0"/>
                      <w:sz w:val="18"/>
                      <w:szCs w:val="18"/>
                      <w:highlight w:val="none"/>
                      <w:lang w:bidi="ar"/>
                    </w:rPr>
                    <w:t>产生量</w:t>
                  </w:r>
                  <w:r>
                    <w:rPr>
                      <w:color w:val="auto"/>
                      <w:kern w:val="0"/>
                      <w:sz w:val="18"/>
                      <w:szCs w:val="18"/>
                      <w:highlight w:val="none"/>
                      <w:lang w:bidi="ar"/>
                    </w:rPr>
                    <w:t>(t/a)</w:t>
                  </w:r>
                </w:p>
              </w:tc>
            </w:tr>
            <w:tr w14:paraId="2E15927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462" w:type="pct"/>
                  <w:vMerge w:val="restart"/>
                  <w:tcBorders>
                    <w:tl2br w:val="nil"/>
                    <w:tr2bl w:val="nil"/>
                  </w:tcBorders>
                  <w:vAlign w:val="center"/>
                </w:tcPr>
                <w:p w14:paraId="15FF94C1">
                  <w:pPr>
                    <w:widowControl/>
                    <w:jc w:val="center"/>
                    <w:textAlignment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kern w:val="0"/>
                      <w:sz w:val="18"/>
                      <w:szCs w:val="18"/>
                      <w:highlight w:val="none"/>
                      <w:lang w:bidi="ar"/>
                    </w:rPr>
                    <w:t>危废暂存间</w:t>
                  </w:r>
                </w:p>
              </w:tc>
              <w:tc>
                <w:tcPr>
                  <w:tcW w:w="601" w:type="pct"/>
                  <w:tcBorders>
                    <w:tl2br w:val="nil"/>
                    <w:tr2bl w:val="nil"/>
                  </w:tcBorders>
                  <w:noWrap/>
                  <w:vAlign w:val="center"/>
                </w:tcPr>
                <w:p w14:paraId="7999E19F">
                  <w:pPr>
                    <w:widowControl/>
                    <w:jc w:val="center"/>
                    <w:textAlignment w:val="center"/>
                    <w:rPr>
                      <w:color w:val="auto"/>
                      <w:sz w:val="18"/>
                      <w:szCs w:val="18"/>
                      <w:highlight w:val="none"/>
                    </w:rPr>
                  </w:pPr>
                  <w:r>
                    <w:rPr>
                      <w:rFonts w:hint="default" w:ascii="Times New Roman" w:hAnsi="Times New Roman" w:cs="Times New Roman"/>
                      <w:color w:val="auto"/>
                      <w:kern w:val="0"/>
                      <w:sz w:val="18"/>
                      <w:szCs w:val="18"/>
                      <w:highlight w:val="none"/>
                      <w:lang w:bidi="ar"/>
                    </w:rPr>
                    <w:t>沾染化学品的废包装材料</w:t>
                  </w:r>
                </w:p>
              </w:tc>
              <w:tc>
                <w:tcPr>
                  <w:tcW w:w="613" w:type="pct"/>
                  <w:tcBorders>
                    <w:tl2br w:val="nil"/>
                    <w:tr2bl w:val="nil"/>
                  </w:tcBorders>
                  <w:vAlign w:val="center"/>
                </w:tcPr>
                <w:p w14:paraId="0ECA183E">
                  <w:pPr>
                    <w:widowControl/>
                    <w:jc w:val="center"/>
                    <w:textAlignment w:val="center"/>
                    <w:rPr>
                      <w:color w:val="auto"/>
                      <w:sz w:val="18"/>
                      <w:szCs w:val="18"/>
                      <w:highlight w:val="none"/>
                    </w:rPr>
                  </w:pPr>
                  <w:r>
                    <w:rPr>
                      <w:color w:val="auto"/>
                      <w:kern w:val="0"/>
                      <w:sz w:val="18"/>
                      <w:szCs w:val="18"/>
                      <w:highlight w:val="none"/>
                      <w:lang w:bidi="ar"/>
                    </w:rPr>
                    <w:t>HW49</w:t>
                  </w:r>
                  <w:r>
                    <w:rPr>
                      <w:rFonts w:hint="default" w:ascii="Times New Roman" w:hAnsi="Times New Roman" w:cs="Times New Roman"/>
                      <w:color w:val="auto"/>
                      <w:kern w:val="0"/>
                      <w:sz w:val="18"/>
                      <w:szCs w:val="18"/>
                      <w:highlight w:val="none"/>
                      <w:lang w:bidi="ar"/>
                    </w:rPr>
                    <w:t>其他废物</w:t>
                  </w:r>
                </w:p>
              </w:tc>
              <w:tc>
                <w:tcPr>
                  <w:tcW w:w="582" w:type="pct"/>
                  <w:tcBorders>
                    <w:tl2br w:val="nil"/>
                    <w:tr2bl w:val="nil"/>
                  </w:tcBorders>
                  <w:vAlign w:val="center"/>
                </w:tcPr>
                <w:p w14:paraId="45C211BA">
                  <w:pPr>
                    <w:widowControl/>
                    <w:jc w:val="center"/>
                    <w:textAlignment w:val="center"/>
                    <w:rPr>
                      <w:color w:val="auto"/>
                      <w:sz w:val="18"/>
                      <w:szCs w:val="18"/>
                      <w:highlight w:val="none"/>
                    </w:rPr>
                  </w:pPr>
                  <w:r>
                    <w:rPr>
                      <w:color w:val="auto"/>
                      <w:kern w:val="0"/>
                      <w:sz w:val="18"/>
                      <w:szCs w:val="18"/>
                      <w:highlight w:val="none"/>
                      <w:lang w:bidi="ar"/>
                    </w:rPr>
                    <w:t>900-041-49</w:t>
                  </w:r>
                </w:p>
              </w:tc>
              <w:tc>
                <w:tcPr>
                  <w:tcW w:w="448" w:type="pct"/>
                  <w:vMerge w:val="restart"/>
                  <w:tcBorders>
                    <w:tl2br w:val="nil"/>
                    <w:tr2bl w:val="nil"/>
                  </w:tcBorders>
                  <w:vAlign w:val="center"/>
                </w:tcPr>
                <w:p w14:paraId="7F9DAF0A">
                  <w:pPr>
                    <w:widowControl/>
                    <w:jc w:val="center"/>
                    <w:textAlignment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kern w:val="0"/>
                      <w:sz w:val="18"/>
                      <w:szCs w:val="18"/>
                      <w:highlight w:val="none"/>
                      <w:lang w:bidi="ar"/>
                    </w:rPr>
                    <w:t>厂房东南角</w:t>
                  </w:r>
                </w:p>
              </w:tc>
              <w:tc>
                <w:tcPr>
                  <w:tcW w:w="448" w:type="pct"/>
                  <w:vMerge w:val="restart"/>
                  <w:tcBorders>
                    <w:tl2br w:val="nil"/>
                    <w:tr2bl w:val="nil"/>
                  </w:tcBorders>
                  <w:vAlign w:val="center"/>
                </w:tcPr>
                <w:p w14:paraId="025921B4">
                  <w:pPr>
                    <w:widowControl/>
                    <w:jc w:val="center"/>
                    <w:textAlignment w:val="center"/>
                    <w:rPr>
                      <w:color w:val="auto"/>
                      <w:sz w:val="18"/>
                      <w:szCs w:val="18"/>
                      <w:highlight w:val="none"/>
                    </w:rPr>
                  </w:pPr>
                  <w:r>
                    <w:rPr>
                      <w:color w:val="auto"/>
                      <w:kern w:val="0"/>
                      <w:sz w:val="18"/>
                      <w:szCs w:val="18"/>
                      <w:highlight w:val="none"/>
                      <w:lang w:bidi="ar"/>
                    </w:rPr>
                    <w:t>10 m</w:t>
                  </w:r>
                  <w:r>
                    <w:rPr>
                      <w:color w:val="auto"/>
                      <w:kern w:val="0"/>
                      <w:sz w:val="18"/>
                      <w:szCs w:val="18"/>
                      <w:highlight w:val="none"/>
                      <w:vertAlign w:val="superscript"/>
                      <w:lang w:bidi="ar"/>
                    </w:rPr>
                    <w:t>2</w:t>
                  </w:r>
                </w:p>
              </w:tc>
              <w:tc>
                <w:tcPr>
                  <w:tcW w:w="391" w:type="pct"/>
                  <w:tcBorders>
                    <w:tl2br w:val="nil"/>
                    <w:tr2bl w:val="nil"/>
                  </w:tcBorders>
                  <w:vAlign w:val="center"/>
                </w:tcPr>
                <w:p w14:paraId="76F2FFED">
                  <w:pPr>
                    <w:widowControl/>
                    <w:jc w:val="center"/>
                    <w:textAlignment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kern w:val="0"/>
                      <w:sz w:val="18"/>
                      <w:szCs w:val="18"/>
                      <w:highlight w:val="none"/>
                      <w:lang w:bidi="ar"/>
                    </w:rPr>
                    <w:t>密封袋装</w:t>
                  </w:r>
                </w:p>
              </w:tc>
              <w:tc>
                <w:tcPr>
                  <w:tcW w:w="377" w:type="pct"/>
                  <w:tcBorders>
                    <w:tl2br w:val="nil"/>
                    <w:tr2bl w:val="nil"/>
                  </w:tcBorders>
                  <w:vAlign w:val="center"/>
                </w:tcPr>
                <w:p w14:paraId="5106C89F">
                  <w:pPr>
                    <w:widowControl/>
                    <w:jc w:val="center"/>
                    <w:textAlignment w:val="center"/>
                    <w:rPr>
                      <w:color w:val="auto"/>
                      <w:sz w:val="18"/>
                      <w:szCs w:val="18"/>
                      <w:highlight w:val="none"/>
                    </w:rPr>
                  </w:pPr>
                  <w:r>
                    <w:rPr>
                      <w:color w:val="auto"/>
                      <w:kern w:val="0"/>
                      <w:sz w:val="18"/>
                      <w:szCs w:val="18"/>
                      <w:highlight w:val="none"/>
                      <w:lang w:bidi="ar"/>
                    </w:rPr>
                    <w:t>0.1</w:t>
                  </w:r>
                </w:p>
              </w:tc>
              <w:tc>
                <w:tcPr>
                  <w:tcW w:w="259" w:type="pct"/>
                  <w:tcBorders>
                    <w:tl2br w:val="nil"/>
                    <w:tr2bl w:val="nil"/>
                  </w:tcBorders>
                  <w:vAlign w:val="center"/>
                </w:tcPr>
                <w:p w14:paraId="057301B8">
                  <w:pPr>
                    <w:widowControl/>
                    <w:jc w:val="center"/>
                    <w:textAlignment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kern w:val="0"/>
                      <w:sz w:val="18"/>
                      <w:szCs w:val="18"/>
                      <w:highlight w:val="none"/>
                      <w:lang w:bidi="ar"/>
                    </w:rPr>
                    <w:t>一年</w:t>
                  </w:r>
                </w:p>
              </w:tc>
              <w:tc>
                <w:tcPr>
                  <w:tcW w:w="407" w:type="pct"/>
                  <w:tcBorders>
                    <w:tl2br w:val="nil"/>
                    <w:tr2bl w:val="nil"/>
                  </w:tcBorders>
                  <w:vAlign w:val="center"/>
                </w:tcPr>
                <w:p w14:paraId="1A03AB60">
                  <w:pPr>
                    <w:widowControl/>
                    <w:jc w:val="center"/>
                    <w:textAlignment w:val="center"/>
                    <w:rPr>
                      <w:color w:val="auto"/>
                      <w:sz w:val="18"/>
                      <w:szCs w:val="18"/>
                      <w:highlight w:val="none"/>
                    </w:rPr>
                  </w:pPr>
                  <w:r>
                    <w:rPr>
                      <w:color w:val="auto"/>
                      <w:kern w:val="0"/>
                      <w:sz w:val="18"/>
                      <w:szCs w:val="18"/>
                      <w:highlight w:val="none"/>
                      <w:lang w:bidi="ar"/>
                    </w:rPr>
                    <w:t>0.15</w:t>
                  </w:r>
                </w:p>
              </w:tc>
              <w:tc>
                <w:tcPr>
                  <w:tcW w:w="407" w:type="pct"/>
                  <w:tcBorders>
                    <w:tl2br w:val="nil"/>
                    <w:tr2bl w:val="nil"/>
                  </w:tcBorders>
                  <w:vAlign w:val="center"/>
                </w:tcPr>
                <w:p w14:paraId="388EDC99">
                  <w:pPr>
                    <w:widowControl/>
                    <w:jc w:val="center"/>
                    <w:textAlignment w:val="center"/>
                    <w:rPr>
                      <w:color w:val="auto"/>
                      <w:sz w:val="18"/>
                      <w:szCs w:val="18"/>
                      <w:highlight w:val="none"/>
                    </w:rPr>
                  </w:pPr>
                  <w:r>
                    <w:rPr>
                      <w:color w:val="auto"/>
                      <w:kern w:val="0"/>
                      <w:sz w:val="18"/>
                      <w:szCs w:val="18"/>
                      <w:highlight w:val="none"/>
                      <w:lang w:bidi="ar"/>
                    </w:rPr>
                    <w:t xml:space="preserve">0.010 </w:t>
                  </w:r>
                </w:p>
              </w:tc>
            </w:tr>
            <w:tr w14:paraId="4C3D373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32" w:hRule="atLeast"/>
                <w:jc w:val="center"/>
              </w:trPr>
              <w:tc>
                <w:tcPr>
                  <w:tcW w:w="462" w:type="pct"/>
                  <w:vMerge w:val="continue"/>
                  <w:tcBorders>
                    <w:tl2br w:val="nil"/>
                    <w:tr2bl w:val="nil"/>
                  </w:tcBorders>
                  <w:vAlign w:val="center"/>
                </w:tcPr>
                <w:p w14:paraId="36E7D0A8">
                  <w:pPr>
                    <w:jc w:val="center"/>
                    <w:rPr>
                      <w:rFonts w:hint="default" w:ascii="Times New Roman" w:hAnsi="Times New Roman" w:cs="Times New Roman"/>
                      <w:color w:val="auto"/>
                      <w:sz w:val="18"/>
                      <w:szCs w:val="18"/>
                      <w:highlight w:val="none"/>
                    </w:rPr>
                  </w:pPr>
                </w:p>
              </w:tc>
              <w:tc>
                <w:tcPr>
                  <w:tcW w:w="601" w:type="pct"/>
                  <w:tcBorders>
                    <w:tl2br w:val="nil"/>
                    <w:tr2bl w:val="nil"/>
                  </w:tcBorders>
                  <w:noWrap/>
                  <w:vAlign w:val="center"/>
                </w:tcPr>
                <w:p w14:paraId="4A13E633">
                  <w:pPr>
                    <w:widowControl/>
                    <w:jc w:val="center"/>
                    <w:textAlignment w:val="center"/>
                    <w:rPr>
                      <w:color w:val="auto"/>
                      <w:sz w:val="18"/>
                      <w:szCs w:val="18"/>
                      <w:highlight w:val="none"/>
                    </w:rPr>
                  </w:pPr>
                  <w:r>
                    <w:rPr>
                      <w:rFonts w:hint="default" w:ascii="Times New Roman" w:hAnsi="Times New Roman" w:cs="Times New Roman"/>
                      <w:color w:val="auto"/>
                      <w:kern w:val="0"/>
                      <w:sz w:val="18"/>
                      <w:szCs w:val="18"/>
                      <w:highlight w:val="none"/>
                      <w:lang w:bidi="ar"/>
                    </w:rPr>
                    <w:t>测试废电池</w:t>
                  </w:r>
                </w:p>
              </w:tc>
              <w:tc>
                <w:tcPr>
                  <w:tcW w:w="613" w:type="pct"/>
                  <w:tcBorders>
                    <w:tl2br w:val="nil"/>
                    <w:tr2bl w:val="nil"/>
                  </w:tcBorders>
                  <w:vAlign w:val="center"/>
                </w:tcPr>
                <w:p w14:paraId="7E375F79">
                  <w:pPr>
                    <w:widowControl/>
                    <w:jc w:val="center"/>
                    <w:textAlignment w:val="center"/>
                    <w:rPr>
                      <w:color w:val="auto"/>
                      <w:sz w:val="18"/>
                      <w:szCs w:val="18"/>
                      <w:highlight w:val="none"/>
                    </w:rPr>
                  </w:pPr>
                  <w:r>
                    <w:rPr>
                      <w:color w:val="auto"/>
                      <w:kern w:val="0"/>
                      <w:sz w:val="18"/>
                      <w:szCs w:val="18"/>
                      <w:highlight w:val="none"/>
                      <w:lang w:bidi="ar"/>
                    </w:rPr>
                    <w:t>HW49</w:t>
                  </w:r>
                  <w:r>
                    <w:rPr>
                      <w:rFonts w:hint="default" w:ascii="Times New Roman" w:hAnsi="Times New Roman" w:cs="Times New Roman"/>
                      <w:color w:val="auto"/>
                      <w:kern w:val="0"/>
                      <w:sz w:val="18"/>
                      <w:szCs w:val="18"/>
                      <w:highlight w:val="none"/>
                      <w:lang w:bidi="ar"/>
                    </w:rPr>
                    <w:t>其他废物</w:t>
                  </w:r>
                </w:p>
              </w:tc>
              <w:tc>
                <w:tcPr>
                  <w:tcW w:w="582" w:type="pct"/>
                  <w:tcBorders>
                    <w:tl2br w:val="nil"/>
                    <w:tr2bl w:val="nil"/>
                  </w:tcBorders>
                  <w:vAlign w:val="center"/>
                </w:tcPr>
                <w:p w14:paraId="1EE88909">
                  <w:pPr>
                    <w:widowControl/>
                    <w:jc w:val="center"/>
                    <w:textAlignment w:val="center"/>
                    <w:rPr>
                      <w:color w:val="auto"/>
                      <w:sz w:val="18"/>
                      <w:szCs w:val="18"/>
                      <w:highlight w:val="none"/>
                    </w:rPr>
                  </w:pPr>
                  <w:r>
                    <w:rPr>
                      <w:rFonts w:hint="default"/>
                      <w:color w:val="auto"/>
                      <w:kern w:val="0"/>
                      <w:sz w:val="18"/>
                      <w:szCs w:val="18"/>
                      <w:highlight w:val="none"/>
                      <w:lang w:val="en-US" w:eastAsia="zh-CN" w:bidi="ar"/>
                    </w:rPr>
                    <w:t>900-047-49</w:t>
                  </w:r>
                </w:p>
              </w:tc>
              <w:tc>
                <w:tcPr>
                  <w:tcW w:w="448" w:type="pct"/>
                  <w:vMerge w:val="continue"/>
                  <w:tcBorders>
                    <w:tl2br w:val="nil"/>
                    <w:tr2bl w:val="nil"/>
                  </w:tcBorders>
                  <w:vAlign w:val="center"/>
                </w:tcPr>
                <w:p w14:paraId="266DDB72">
                  <w:pPr>
                    <w:jc w:val="center"/>
                    <w:rPr>
                      <w:rFonts w:hint="default" w:ascii="Times New Roman" w:hAnsi="Times New Roman" w:cs="Times New Roman"/>
                      <w:color w:val="auto"/>
                      <w:sz w:val="18"/>
                      <w:szCs w:val="18"/>
                      <w:highlight w:val="none"/>
                    </w:rPr>
                  </w:pPr>
                </w:p>
              </w:tc>
              <w:tc>
                <w:tcPr>
                  <w:tcW w:w="448" w:type="pct"/>
                  <w:vMerge w:val="continue"/>
                  <w:tcBorders>
                    <w:tl2br w:val="nil"/>
                    <w:tr2bl w:val="nil"/>
                  </w:tcBorders>
                  <w:vAlign w:val="center"/>
                </w:tcPr>
                <w:p w14:paraId="0F165585">
                  <w:pPr>
                    <w:jc w:val="center"/>
                    <w:rPr>
                      <w:color w:val="auto"/>
                      <w:sz w:val="18"/>
                      <w:szCs w:val="18"/>
                      <w:highlight w:val="none"/>
                    </w:rPr>
                  </w:pPr>
                </w:p>
              </w:tc>
              <w:tc>
                <w:tcPr>
                  <w:tcW w:w="391" w:type="pct"/>
                  <w:tcBorders>
                    <w:tl2br w:val="nil"/>
                    <w:tr2bl w:val="nil"/>
                  </w:tcBorders>
                  <w:vAlign w:val="center"/>
                </w:tcPr>
                <w:p w14:paraId="3AECFE00">
                  <w:pPr>
                    <w:widowControl/>
                    <w:jc w:val="center"/>
                    <w:textAlignment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kern w:val="0"/>
                      <w:sz w:val="18"/>
                      <w:szCs w:val="18"/>
                      <w:highlight w:val="none"/>
                      <w:lang w:bidi="ar"/>
                    </w:rPr>
                    <w:t>密封盒装</w:t>
                  </w:r>
                </w:p>
              </w:tc>
              <w:tc>
                <w:tcPr>
                  <w:tcW w:w="377" w:type="pct"/>
                  <w:tcBorders>
                    <w:tl2br w:val="nil"/>
                    <w:tr2bl w:val="nil"/>
                  </w:tcBorders>
                  <w:vAlign w:val="center"/>
                </w:tcPr>
                <w:p w14:paraId="769FF8FC">
                  <w:pPr>
                    <w:widowControl/>
                    <w:jc w:val="center"/>
                    <w:textAlignment w:val="center"/>
                    <w:rPr>
                      <w:color w:val="auto"/>
                      <w:sz w:val="18"/>
                      <w:szCs w:val="18"/>
                      <w:highlight w:val="none"/>
                    </w:rPr>
                  </w:pPr>
                  <w:r>
                    <w:rPr>
                      <w:color w:val="auto"/>
                      <w:kern w:val="0"/>
                      <w:sz w:val="18"/>
                      <w:szCs w:val="18"/>
                      <w:highlight w:val="none"/>
                      <w:lang w:bidi="ar"/>
                    </w:rPr>
                    <w:t>4000</w:t>
                  </w:r>
                  <w:r>
                    <w:rPr>
                      <w:rFonts w:hint="default" w:ascii="Times New Roman" w:hAnsi="Times New Roman" w:cs="Times New Roman"/>
                      <w:color w:val="auto"/>
                      <w:kern w:val="0"/>
                      <w:sz w:val="18"/>
                      <w:szCs w:val="18"/>
                      <w:highlight w:val="none"/>
                      <w:lang w:bidi="ar"/>
                    </w:rPr>
                    <w:t>个</w:t>
                  </w:r>
                </w:p>
              </w:tc>
              <w:tc>
                <w:tcPr>
                  <w:tcW w:w="259" w:type="pct"/>
                  <w:tcBorders>
                    <w:tl2br w:val="nil"/>
                    <w:tr2bl w:val="nil"/>
                  </w:tcBorders>
                  <w:vAlign w:val="center"/>
                </w:tcPr>
                <w:p w14:paraId="5FE0C602">
                  <w:pPr>
                    <w:widowControl/>
                    <w:jc w:val="center"/>
                    <w:textAlignment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kern w:val="0"/>
                      <w:sz w:val="18"/>
                      <w:szCs w:val="18"/>
                      <w:highlight w:val="none"/>
                      <w:lang w:bidi="ar"/>
                    </w:rPr>
                    <w:t>一年</w:t>
                  </w:r>
                </w:p>
              </w:tc>
              <w:tc>
                <w:tcPr>
                  <w:tcW w:w="407" w:type="pct"/>
                  <w:tcBorders>
                    <w:tl2br w:val="nil"/>
                    <w:tr2bl w:val="nil"/>
                  </w:tcBorders>
                  <w:vAlign w:val="center"/>
                </w:tcPr>
                <w:p w14:paraId="6758C51C">
                  <w:pPr>
                    <w:widowControl/>
                    <w:jc w:val="center"/>
                    <w:textAlignment w:val="center"/>
                    <w:rPr>
                      <w:rFonts w:hint="default" w:eastAsia="宋体"/>
                      <w:color w:val="auto"/>
                      <w:sz w:val="18"/>
                      <w:szCs w:val="18"/>
                      <w:highlight w:val="none"/>
                      <w:lang w:val="en-US" w:eastAsia="zh-CN"/>
                    </w:rPr>
                  </w:pPr>
                  <w:r>
                    <w:rPr>
                      <w:rFonts w:hint="eastAsia"/>
                      <w:color w:val="auto"/>
                      <w:kern w:val="0"/>
                      <w:sz w:val="18"/>
                      <w:szCs w:val="18"/>
                      <w:highlight w:val="none"/>
                      <w:lang w:val="en-US" w:eastAsia="zh-CN" w:bidi="ar"/>
                    </w:rPr>
                    <w:t>4000个</w:t>
                  </w:r>
                </w:p>
              </w:tc>
              <w:tc>
                <w:tcPr>
                  <w:tcW w:w="407" w:type="pct"/>
                  <w:tcBorders>
                    <w:tl2br w:val="nil"/>
                    <w:tr2bl w:val="nil"/>
                  </w:tcBorders>
                  <w:vAlign w:val="center"/>
                </w:tcPr>
                <w:p w14:paraId="192AC7FA">
                  <w:pPr>
                    <w:widowControl/>
                    <w:jc w:val="center"/>
                    <w:textAlignment w:val="center"/>
                    <w:rPr>
                      <w:color w:val="auto"/>
                      <w:sz w:val="18"/>
                      <w:szCs w:val="18"/>
                      <w:highlight w:val="none"/>
                    </w:rPr>
                  </w:pPr>
                  <w:r>
                    <w:rPr>
                      <w:color w:val="auto"/>
                      <w:kern w:val="0"/>
                      <w:sz w:val="18"/>
                      <w:szCs w:val="18"/>
                      <w:highlight w:val="none"/>
                      <w:lang w:bidi="ar"/>
                    </w:rPr>
                    <w:t>2000个/年</w:t>
                  </w:r>
                </w:p>
              </w:tc>
            </w:tr>
            <w:tr w14:paraId="13780A2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462" w:type="pct"/>
                  <w:vMerge w:val="continue"/>
                  <w:tcBorders>
                    <w:tl2br w:val="nil"/>
                    <w:tr2bl w:val="nil"/>
                  </w:tcBorders>
                  <w:vAlign w:val="center"/>
                </w:tcPr>
                <w:p w14:paraId="5B64102D">
                  <w:pPr>
                    <w:jc w:val="center"/>
                    <w:rPr>
                      <w:rFonts w:hint="default" w:ascii="Times New Roman" w:hAnsi="Times New Roman" w:cs="Times New Roman"/>
                      <w:color w:val="auto"/>
                      <w:sz w:val="18"/>
                      <w:szCs w:val="18"/>
                      <w:highlight w:val="none"/>
                    </w:rPr>
                  </w:pPr>
                </w:p>
              </w:tc>
              <w:tc>
                <w:tcPr>
                  <w:tcW w:w="601" w:type="pct"/>
                  <w:tcBorders>
                    <w:tl2br w:val="nil"/>
                    <w:tr2bl w:val="nil"/>
                  </w:tcBorders>
                  <w:noWrap/>
                  <w:vAlign w:val="center"/>
                </w:tcPr>
                <w:p w14:paraId="71062BD6">
                  <w:pPr>
                    <w:widowControl/>
                    <w:jc w:val="center"/>
                    <w:textAlignment w:val="center"/>
                    <w:rPr>
                      <w:color w:val="auto"/>
                      <w:sz w:val="18"/>
                      <w:szCs w:val="18"/>
                      <w:highlight w:val="none"/>
                    </w:rPr>
                  </w:pPr>
                  <w:r>
                    <w:rPr>
                      <w:rFonts w:hint="default" w:ascii="Times New Roman" w:hAnsi="Times New Roman" w:cs="Times New Roman"/>
                      <w:color w:val="auto"/>
                      <w:kern w:val="0"/>
                      <w:sz w:val="18"/>
                      <w:szCs w:val="18"/>
                      <w:highlight w:val="none"/>
                      <w:lang w:bidi="ar"/>
                    </w:rPr>
                    <w:t>废活性炭</w:t>
                  </w:r>
                </w:p>
              </w:tc>
              <w:tc>
                <w:tcPr>
                  <w:tcW w:w="613" w:type="pct"/>
                  <w:tcBorders>
                    <w:tl2br w:val="nil"/>
                    <w:tr2bl w:val="nil"/>
                  </w:tcBorders>
                  <w:vAlign w:val="center"/>
                </w:tcPr>
                <w:p w14:paraId="444336BD">
                  <w:pPr>
                    <w:widowControl/>
                    <w:jc w:val="center"/>
                    <w:textAlignment w:val="center"/>
                    <w:rPr>
                      <w:color w:val="auto"/>
                      <w:sz w:val="18"/>
                      <w:szCs w:val="18"/>
                      <w:highlight w:val="none"/>
                    </w:rPr>
                  </w:pPr>
                  <w:r>
                    <w:rPr>
                      <w:color w:val="auto"/>
                      <w:kern w:val="0"/>
                      <w:sz w:val="18"/>
                      <w:szCs w:val="18"/>
                      <w:highlight w:val="none"/>
                      <w:lang w:bidi="ar"/>
                    </w:rPr>
                    <w:t>HW49</w:t>
                  </w:r>
                  <w:r>
                    <w:rPr>
                      <w:rFonts w:hint="default" w:ascii="Times New Roman" w:hAnsi="Times New Roman" w:cs="Times New Roman"/>
                      <w:color w:val="auto"/>
                      <w:kern w:val="0"/>
                      <w:sz w:val="18"/>
                      <w:szCs w:val="18"/>
                      <w:highlight w:val="none"/>
                      <w:lang w:bidi="ar"/>
                    </w:rPr>
                    <w:t>其他废物</w:t>
                  </w:r>
                </w:p>
              </w:tc>
              <w:tc>
                <w:tcPr>
                  <w:tcW w:w="582" w:type="pct"/>
                  <w:tcBorders>
                    <w:tl2br w:val="nil"/>
                    <w:tr2bl w:val="nil"/>
                  </w:tcBorders>
                  <w:vAlign w:val="center"/>
                </w:tcPr>
                <w:p w14:paraId="106735AF">
                  <w:pPr>
                    <w:widowControl/>
                    <w:jc w:val="center"/>
                    <w:textAlignment w:val="center"/>
                    <w:rPr>
                      <w:color w:val="auto"/>
                      <w:sz w:val="18"/>
                      <w:szCs w:val="18"/>
                      <w:highlight w:val="none"/>
                    </w:rPr>
                  </w:pPr>
                  <w:r>
                    <w:rPr>
                      <w:color w:val="auto"/>
                      <w:kern w:val="0"/>
                      <w:sz w:val="18"/>
                      <w:szCs w:val="18"/>
                      <w:highlight w:val="none"/>
                      <w:lang w:bidi="ar"/>
                    </w:rPr>
                    <w:t>900-039-49</w:t>
                  </w:r>
                </w:p>
              </w:tc>
              <w:tc>
                <w:tcPr>
                  <w:tcW w:w="448" w:type="pct"/>
                  <w:vMerge w:val="continue"/>
                  <w:tcBorders>
                    <w:tl2br w:val="nil"/>
                    <w:tr2bl w:val="nil"/>
                  </w:tcBorders>
                  <w:vAlign w:val="center"/>
                </w:tcPr>
                <w:p w14:paraId="1BB0BEF1">
                  <w:pPr>
                    <w:jc w:val="center"/>
                    <w:rPr>
                      <w:rFonts w:hint="default" w:ascii="Times New Roman" w:hAnsi="Times New Roman" w:cs="Times New Roman"/>
                      <w:color w:val="auto"/>
                      <w:sz w:val="18"/>
                      <w:szCs w:val="18"/>
                      <w:highlight w:val="none"/>
                    </w:rPr>
                  </w:pPr>
                </w:p>
              </w:tc>
              <w:tc>
                <w:tcPr>
                  <w:tcW w:w="448" w:type="pct"/>
                  <w:vMerge w:val="continue"/>
                  <w:tcBorders>
                    <w:tl2br w:val="nil"/>
                    <w:tr2bl w:val="nil"/>
                  </w:tcBorders>
                  <w:vAlign w:val="center"/>
                </w:tcPr>
                <w:p w14:paraId="41D9D77B">
                  <w:pPr>
                    <w:jc w:val="center"/>
                    <w:rPr>
                      <w:color w:val="auto"/>
                      <w:sz w:val="18"/>
                      <w:szCs w:val="18"/>
                      <w:highlight w:val="none"/>
                    </w:rPr>
                  </w:pPr>
                </w:p>
              </w:tc>
              <w:tc>
                <w:tcPr>
                  <w:tcW w:w="391" w:type="pct"/>
                  <w:tcBorders>
                    <w:tl2br w:val="nil"/>
                    <w:tr2bl w:val="nil"/>
                  </w:tcBorders>
                  <w:vAlign w:val="center"/>
                </w:tcPr>
                <w:p w14:paraId="33495252">
                  <w:pPr>
                    <w:widowControl/>
                    <w:jc w:val="center"/>
                    <w:textAlignment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kern w:val="0"/>
                      <w:sz w:val="18"/>
                      <w:szCs w:val="18"/>
                      <w:highlight w:val="none"/>
                      <w:lang w:bidi="ar"/>
                    </w:rPr>
                    <w:t>密封袋装</w:t>
                  </w:r>
                </w:p>
              </w:tc>
              <w:tc>
                <w:tcPr>
                  <w:tcW w:w="377" w:type="pct"/>
                  <w:tcBorders>
                    <w:tl2br w:val="nil"/>
                    <w:tr2bl w:val="nil"/>
                  </w:tcBorders>
                  <w:vAlign w:val="center"/>
                </w:tcPr>
                <w:p w14:paraId="62A4AB31">
                  <w:pPr>
                    <w:widowControl/>
                    <w:jc w:val="center"/>
                    <w:textAlignment w:val="center"/>
                    <w:rPr>
                      <w:rFonts w:hint="eastAsia" w:eastAsia="宋体"/>
                      <w:color w:val="auto"/>
                      <w:sz w:val="18"/>
                      <w:szCs w:val="18"/>
                      <w:highlight w:val="none"/>
                      <w:lang w:eastAsia="zh-CN"/>
                    </w:rPr>
                  </w:pPr>
                  <w:r>
                    <w:rPr>
                      <w:rFonts w:hint="eastAsia"/>
                      <w:color w:val="auto"/>
                      <w:kern w:val="0"/>
                      <w:sz w:val="18"/>
                      <w:szCs w:val="18"/>
                      <w:highlight w:val="none"/>
                      <w:lang w:val="en-US" w:eastAsia="zh-CN" w:bidi="ar"/>
                    </w:rPr>
                    <w:t>1</w:t>
                  </w:r>
                </w:p>
              </w:tc>
              <w:tc>
                <w:tcPr>
                  <w:tcW w:w="259" w:type="pct"/>
                  <w:tcBorders>
                    <w:tl2br w:val="nil"/>
                    <w:tr2bl w:val="nil"/>
                  </w:tcBorders>
                  <w:vAlign w:val="center"/>
                </w:tcPr>
                <w:p w14:paraId="01B651A7">
                  <w:pPr>
                    <w:widowControl/>
                    <w:jc w:val="center"/>
                    <w:textAlignment w:val="center"/>
                    <w:rPr>
                      <w:rFonts w:hint="eastAsia" w:ascii="Times New Roman" w:hAnsi="Times New Roman" w:eastAsia="宋体" w:cs="Times New Roman"/>
                      <w:color w:val="auto"/>
                      <w:sz w:val="18"/>
                      <w:szCs w:val="18"/>
                      <w:highlight w:val="none"/>
                      <w:lang w:eastAsia="zh-CN"/>
                    </w:rPr>
                  </w:pPr>
                  <w:r>
                    <w:rPr>
                      <w:rFonts w:hint="eastAsia" w:cs="Times New Roman"/>
                      <w:color w:val="auto"/>
                      <w:kern w:val="0"/>
                      <w:sz w:val="18"/>
                      <w:szCs w:val="18"/>
                      <w:highlight w:val="none"/>
                      <w:lang w:val="en-US" w:eastAsia="zh-CN" w:bidi="ar"/>
                    </w:rPr>
                    <w:t>一年</w:t>
                  </w:r>
                </w:p>
              </w:tc>
              <w:tc>
                <w:tcPr>
                  <w:tcW w:w="407" w:type="pct"/>
                  <w:tcBorders>
                    <w:tl2br w:val="nil"/>
                    <w:tr2bl w:val="nil"/>
                  </w:tcBorders>
                  <w:vAlign w:val="center"/>
                </w:tcPr>
                <w:p w14:paraId="7F3B02F4">
                  <w:pPr>
                    <w:widowControl/>
                    <w:jc w:val="center"/>
                    <w:textAlignment w:val="center"/>
                    <w:rPr>
                      <w:rFonts w:hint="default" w:eastAsia="宋体"/>
                      <w:color w:val="auto"/>
                      <w:sz w:val="18"/>
                      <w:szCs w:val="18"/>
                      <w:highlight w:val="none"/>
                      <w:lang w:val="en-US" w:eastAsia="zh-CN"/>
                    </w:rPr>
                  </w:pPr>
                  <w:r>
                    <w:rPr>
                      <w:rFonts w:hint="eastAsia"/>
                      <w:color w:val="auto"/>
                      <w:kern w:val="0"/>
                      <w:sz w:val="18"/>
                      <w:szCs w:val="18"/>
                      <w:highlight w:val="none"/>
                      <w:lang w:val="en-US" w:eastAsia="zh-CN" w:bidi="ar"/>
                    </w:rPr>
                    <w:t>1</w:t>
                  </w:r>
                </w:p>
              </w:tc>
              <w:tc>
                <w:tcPr>
                  <w:tcW w:w="407" w:type="pct"/>
                  <w:tcBorders>
                    <w:tl2br w:val="nil"/>
                    <w:tr2bl w:val="nil"/>
                  </w:tcBorders>
                  <w:vAlign w:val="center"/>
                </w:tcPr>
                <w:p w14:paraId="08E1F33E">
                  <w:pPr>
                    <w:widowControl/>
                    <w:jc w:val="center"/>
                    <w:textAlignment w:val="center"/>
                    <w:rPr>
                      <w:color w:val="auto"/>
                      <w:sz w:val="18"/>
                      <w:szCs w:val="18"/>
                      <w:highlight w:val="none"/>
                    </w:rPr>
                  </w:pPr>
                  <w:r>
                    <w:rPr>
                      <w:rFonts w:hint="eastAsia"/>
                      <w:color w:val="auto"/>
                      <w:kern w:val="0"/>
                      <w:sz w:val="18"/>
                      <w:szCs w:val="18"/>
                      <w:highlight w:val="none"/>
                      <w:lang w:val="en-US" w:eastAsia="zh-CN" w:bidi="ar"/>
                    </w:rPr>
                    <w:t>1</w:t>
                  </w:r>
                  <w:r>
                    <w:rPr>
                      <w:color w:val="auto"/>
                      <w:kern w:val="0"/>
                      <w:sz w:val="18"/>
                      <w:szCs w:val="18"/>
                      <w:highlight w:val="none"/>
                      <w:lang w:bidi="ar"/>
                    </w:rPr>
                    <w:t xml:space="preserve"> </w:t>
                  </w:r>
                </w:p>
              </w:tc>
            </w:tr>
          </w:tbl>
          <w:p w14:paraId="024CE9D7">
            <w:pPr>
              <w:spacing w:line="360" w:lineRule="auto"/>
              <w:ind w:firstLine="482"/>
              <w:rPr>
                <w:color w:val="auto"/>
                <w:szCs w:val="21"/>
                <w:highlight w:val="none"/>
              </w:rPr>
            </w:pPr>
            <w:r>
              <w:rPr>
                <w:rFonts w:hint="default"/>
                <w:color w:val="auto"/>
                <w:szCs w:val="21"/>
                <w:highlight w:val="none"/>
              </w:rPr>
              <w:t>根据上表可知，本项目实施后危废最大产生量约为</w:t>
            </w:r>
            <w:r>
              <w:rPr>
                <w:rFonts w:hint="eastAsia"/>
                <w:color w:val="auto"/>
                <w:szCs w:val="21"/>
                <w:highlight w:val="none"/>
                <w:lang w:val="en-US" w:eastAsia="zh-CN"/>
              </w:rPr>
              <w:t>1.01</w:t>
            </w:r>
            <w:r>
              <w:rPr>
                <w:rFonts w:hint="default"/>
                <w:color w:val="auto"/>
                <w:szCs w:val="21"/>
                <w:highlight w:val="none"/>
              </w:rPr>
              <w:t xml:space="preserve"> t/a，最大贮存规模约为</w:t>
            </w:r>
            <w:r>
              <w:rPr>
                <w:rFonts w:hint="eastAsia"/>
                <w:color w:val="auto"/>
                <w:szCs w:val="21"/>
                <w:highlight w:val="none"/>
                <w:lang w:val="en-US" w:eastAsia="zh-CN"/>
              </w:rPr>
              <w:t>1.1</w:t>
            </w:r>
            <w:r>
              <w:rPr>
                <w:rFonts w:hint="default"/>
                <w:color w:val="auto"/>
                <w:szCs w:val="21"/>
                <w:highlight w:val="none"/>
              </w:rPr>
              <w:t xml:space="preserve"> t，危废仓库占地面积10m</w:t>
            </w:r>
            <w:r>
              <w:rPr>
                <w:rFonts w:hint="default"/>
                <w:color w:val="auto"/>
                <w:szCs w:val="21"/>
                <w:highlight w:val="none"/>
                <w:vertAlign w:val="superscript"/>
              </w:rPr>
              <w:t>2</w:t>
            </w:r>
            <w:r>
              <w:rPr>
                <w:rFonts w:hint="default"/>
                <w:color w:val="auto"/>
                <w:szCs w:val="21"/>
                <w:highlight w:val="none"/>
              </w:rPr>
              <w:t>，危废仓库可满足一年的暂存需求。</w:t>
            </w:r>
          </w:p>
          <w:p w14:paraId="2BDEE239">
            <w:pPr>
              <w:spacing w:line="360" w:lineRule="auto"/>
              <w:ind w:firstLine="482"/>
              <w:rPr>
                <w:color w:val="auto"/>
                <w:szCs w:val="21"/>
                <w:highlight w:val="none"/>
              </w:rPr>
            </w:pPr>
            <w:r>
              <w:rPr>
                <w:rFonts w:hint="default"/>
                <w:color w:val="auto"/>
                <w:szCs w:val="21"/>
                <w:highlight w:val="none"/>
              </w:rPr>
              <w:t>危废仓库应按照《危险废物贮存污染控制标准》（GB18597-2023）相关要求进行设计、建设，危险废物标识根据《危险废物识别标志设置技术规范》（HJ1276-2022）设置。具体污染控制要求如下：</w:t>
            </w:r>
          </w:p>
          <w:p w14:paraId="2627490A">
            <w:pPr>
              <w:spacing w:line="360" w:lineRule="auto"/>
              <w:ind w:firstLine="482"/>
              <w:rPr>
                <w:color w:val="auto"/>
                <w:szCs w:val="21"/>
                <w:highlight w:val="none"/>
              </w:rPr>
            </w:pPr>
            <w:r>
              <w:rPr>
                <w:rFonts w:hint="default"/>
                <w:color w:val="auto"/>
                <w:szCs w:val="21"/>
                <w:highlight w:val="none"/>
              </w:rPr>
              <w:t>①贮存设置污染控制要求</w:t>
            </w:r>
          </w:p>
          <w:p w14:paraId="78FAAB04">
            <w:pPr>
              <w:spacing w:line="360" w:lineRule="auto"/>
              <w:ind w:firstLine="482"/>
              <w:rPr>
                <w:color w:val="auto"/>
                <w:szCs w:val="21"/>
                <w:highlight w:val="none"/>
              </w:rPr>
            </w:pPr>
            <w:r>
              <w:rPr>
                <w:rFonts w:hint="default"/>
                <w:color w:val="auto"/>
                <w:szCs w:val="21"/>
                <w:highlight w:val="none"/>
              </w:rPr>
              <w:t>A.贮存设施应根据危险废物的形态、物理化学性质、包装形式和污染物迁移途径，采取必要的防风、防晒、防雨、防漏、防渗、防腐以及其他环境污染防治措施，不应露天堆放危险废物。</w:t>
            </w:r>
          </w:p>
          <w:p w14:paraId="05D6957F">
            <w:pPr>
              <w:spacing w:line="360" w:lineRule="auto"/>
              <w:ind w:firstLine="482"/>
              <w:rPr>
                <w:color w:val="auto"/>
                <w:szCs w:val="21"/>
                <w:highlight w:val="none"/>
              </w:rPr>
            </w:pPr>
            <w:r>
              <w:rPr>
                <w:rFonts w:hint="default"/>
                <w:color w:val="auto"/>
                <w:szCs w:val="21"/>
                <w:highlight w:val="none"/>
              </w:rPr>
              <w:t>B.贮存设施应根据危险废物的类别、数量、形态、物理化学性质和污染防治等要求设置必要的贮存分区，避免不相容的危险废物接触、混合。</w:t>
            </w:r>
          </w:p>
          <w:p w14:paraId="192AFE6D">
            <w:pPr>
              <w:spacing w:line="360" w:lineRule="auto"/>
              <w:ind w:firstLine="482"/>
              <w:rPr>
                <w:color w:val="auto"/>
                <w:szCs w:val="21"/>
                <w:highlight w:val="none"/>
              </w:rPr>
            </w:pPr>
            <w:r>
              <w:rPr>
                <w:rFonts w:hint="default"/>
                <w:color w:val="auto"/>
                <w:szCs w:val="21"/>
                <w:highlight w:val="none"/>
              </w:rPr>
              <w:t>C.贮存设施或贮存分区内地面、墙面裙脚、堵截泄漏的围堰、接触危险废物的隔板和墙体等应采用坚固的材料建造，表面无裂缝。</w:t>
            </w:r>
          </w:p>
          <w:p w14:paraId="0F6A604B">
            <w:pPr>
              <w:spacing w:line="360" w:lineRule="auto"/>
              <w:ind w:firstLine="482"/>
              <w:rPr>
                <w:color w:val="auto"/>
                <w:szCs w:val="21"/>
                <w:highlight w:val="none"/>
              </w:rPr>
            </w:pPr>
            <w:r>
              <w:rPr>
                <w:rFonts w:hint="default"/>
                <w:color w:val="auto"/>
                <w:szCs w:val="21"/>
                <w:highlight w:val="none"/>
              </w:rPr>
              <w:t>②容器和包装物污染控制要求</w:t>
            </w:r>
          </w:p>
          <w:p w14:paraId="6C8761CA">
            <w:pPr>
              <w:spacing w:line="360" w:lineRule="auto"/>
              <w:ind w:firstLine="482"/>
              <w:rPr>
                <w:color w:val="auto"/>
                <w:szCs w:val="21"/>
                <w:highlight w:val="none"/>
              </w:rPr>
            </w:pPr>
            <w:r>
              <w:rPr>
                <w:rFonts w:hint="default"/>
                <w:color w:val="auto"/>
                <w:szCs w:val="21"/>
                <w:highlight w:val="none"/>
              </w:rPr>
              <w:t>A.容器和包装物材质、内衬应与盛装的危险废物相容。</w:t>
            </w:r>
          </w:p>
          <w:p w14:paraId="5A6F84A0">
            <w:pPr>
              <w:spacing w:line="360" w:lineRule="auto"/>
              <w:ind w:firstLine="482"/>
              <w:rPr>
                <w:color w:val="auto"/>
                <w:szCs w:val="21"/>
                <w:highlight w:val="none"/>
              </w:rPr>
            </w:pPr>
            <w:r>
              <w:rPr>
                <w:rFonts w:hint="default"/>
                <w:color w:val="auto"/>
                <w:szCs w:val="21"/>
                <w:highlight w:val="none"/>
              </w:rPr>
              <w:t>B.针对不同类别、形态、物理化学性质的危险废物，其容器和包装物应满足相应的防渗、防漏、防腐和强度等要求。</w:t>
            </w:r>
          </w:p>
          <w:p w14:paraId="482D8300">
            <w:pPr>
              <w:spacing w:line="360" w:lineRule="auto"/>
              <w:ind w:firstLine="482"/>
              <w:rPr>
                <w:color w:val="auto"/>
                <w:szCs w:val="21"/>
                <w:highlight w:val="none"/>
              </w:rPr>
            </w:pPr>
            <w:r>
              <w:rPr>
                <w:rFonts w:hint="default"/>
                <w:color w:val="auto"/>
                <w:szCs w:val="21"/>
                <w:highlight w:val="none"/>
              </w:rPr>
              <w:t>C.硬质容器和包装物及其支护结构堆叠码放时不应有明显变形，无破损泄漏。</w:t>
            </w:r>
          </w:p>
          <w:p w14:paraId="25F1D6DF">
            <w:pPr>
              <w:spacing w:line="360" w:lineRule="auto"/>
              <w:ind w:firstLine="482"/>
              <w:rPr>
                <w:color w:val="auto"/>
                <w:szCs w:val="21"/>
                <w:highlight w:val="none"/>
              </w:rPr>
            </w:pPr>
            <w:r>
              <w:rPr>
                <w:rFonts w:hint="default"/>
                <w:color w:val="auto"/>
                <w:szCs w:val="21"/>
                <w:highlight w:val="none"/>
              </w:rPr>
              <w:t>D.柔性容器和包装物堆叠码放时应封口严密，无破损泄漏。</w:t>
            </w:r>
          </w:p>
          <w:p w14:paraId="5018ACB3">
            <w:pPr>
              <w:spacing w:line="360" w:lineRule="auto"/>
              <w:ind w:firstLine="482"/>
              <w:rPr>
                <w:color w:val="auto"/>
                <w:szCs w:val="21"/>
                <w:highlight w:val="none"/>
              </w:rPr>
            </w:pPr>
            <w:r>
              <w:rPr>
                <w:rFonts w:hint="default"/>
                <w:color w:val="auto"/>
                <w:szCs w:val="21"/>
                <w:highlight w:val="none"/>
              </w:rPr>
              <w:t>E.使用容器盛装液态、半固态危险废物时，容器内部应留有适当的空间，以适应因温度变化等可能引发的收缩和膨胀，防止其导致容器渗漏或永久变形。</w:t>
            </w:r>
          </w:p>
          <w:p w14:paraId="056B00A2">
            <w:pPr>
              <w:spacing w:line="360" w:lineRule="auto"/>
              <w:ind w:firstLine="482"/>
              <w:rPr>
                <w:color w:val="auto"/>
                <w:szCs w:val="21"/>
                <w:highlight w:val="none"/>
              </w:rPr>
            </w:pPr>
            <w:r>
              <w:rPr>
                <w:rFonts w:hint="default"/>
                <w:color w:val="auto"/>
                <w:szCs w:val="21"/>
                <w:highlight w:val="none"/>
              </w:rPr>
              <w:t>F.器和包装物外表面应保持清洁。</w:t>
            </w:r>
          </w:p>
          <w:p w14:paraId="7E8331DC">
            <w:pPr>
              <w:spacing w:line="360" w:lineRule="auto"/>
              <w:ind w:firstLine="482"/>
              <w:rPr>
                <w:color w:val="auto"/>
                <w:szCs w:val="21"/>
                <w:highlight w:val="none"/>
              </w:rPr>
            </w:pPr>
            <w:r>
              <w:rPr>
                <w:color w:val="auto"/>
                <w:szCs w:val="21"/>
                <w:highlight w:val="none"/>
              </w:rPr>
              <w:t>③</w:t>
            </w:r>
            <w:r>
              <w:rPr>
                <w:rFonts w:hint="default"/>
                <w:color w:val="auto"/>
                <w:szCs w:val="21"/>
                <w:highlight w:val="none"/>
              </w:rPr>
              <w:t>贮存过程污染控制要求</w:t>
            </w:r>
          </w:p>
          <w:p w14:paraId="08660D03">
            <w:pPr>
              <w:spacing w:line="360" w:lineRule="auto"/>
              <w:ind w:firstLine="482"/>
              <w:rPr>
                <w:color w:val="auto"/>
                <w:szCs w:val="21"/>
                <w:highlight w:val="none"/>
              </w:rPr>
            </w:pPr>
            <w:r>
              <w:rPr>
                <w:rFonts w:hint="default"/>
                <w:color w:val="auto"/>
                <w:szCs w:val="21"/>
                <w:highlight w:val="none"/>
              </w:rPr>
              <w:t>A.在常温常压下不易水解、不易挥发的固态危险废物可分类堆放贮存，其他固态危险废物应装入容器或包装物内贮存。</w:t>
            </w:r>
          </w:p>
          <w:p w14:paraId="7DE622B0">
            <w:pPr>
              <w:spacing w:line="360" w:lineRule="auto"/>
              <w:ind w:firstLine="482"/>
              <w:rPr>
                <w:color w:val="auto"/>
                <w:szCs w:val="21"/>
                <w:highlight w:val="none"/>
              </w:rPr>
            </w:pPr>
            <w:r>
              <w:rPr>
                <w:rFonts w:hint="default"/>
                <w:color w:val="auto"/>
                <w:szCs w:val="21"/>
                <w:highlight w:val="none"/>
              </w:rPr>
              <w:t xml:space="preserve">B.液态危险废物应装入容器内贮存，或直接采用贮存池、贮存罐区贮存。 </w:t>
            </w:r>
          </w:p>
          <w:p w14:paraId="563B42C3">
            <w:pPr>
              <w:spacing w:line="360" w:lineRule="auto"/>
              <w:ind w:firstLine="482"/>
              <w:rPr>
                <w:color w:val="auto"/>
                <w:szCs w:val="21"/>
                <w:highlight w:val="none"/>
              </w:rPr>
            </w:pPr>
            <w:r>
              <w:rPr>
                <w:rFonts w:hint="default"/>
                <w:color w:val="auto"/>
                <w:szCs w:val="21"/>
                <w:highlight w:val="none"/>
              </w:rPr>
              <w:t xml:space="preserve">C.半固态危险废物应装入容器或包装袋内贮存，或直接采用贮存池贮存。 </w:t>
            </w:r>
          </w:p>
          <w:p w14:paraId="56EED708">
            <w:pPr>
              <w:spacing w:line="360" w:lineRule="auto"/>
              <w:ind w:firstLine="482"/>
              <w:rPr>
                <w:color w:val="auto"/>
                <w:szCs w:val="21"/>
                <w:highlight w:val="none"/>
              </w:rPr>
            </w:pPr>
            <w:r>
              <w:rPr>
                <w:rFonts w:hint="default"/>
                <w:color w:val="auto"/>
                <w:szCs w:val="21"/>
                <w:highlight w:val="none"/>
              </w:rPr>
              <w:t xml:space="preserve">D.具有热塑性的危险废物应装入容器或包装袋内进行贮存。 </w:t>
            </w:r>
          </w:p>
          <w:p w14:paraId="6902766C">
            <w:pPr>
              <w:spacing w:line="360" w:lineRule="auto"/>
              <w:ind w:firstLine="482"/>
              <w:rPr>
                <w:color w:val="auto"/>
                <w:szCs w:val="21"/>
                <w:highlight w:val="none"/>
              </w:rPr>
            </w:pPr>
            <w:r>
              <w:rPr>
                <w:rFonts w:hint="default"/>
                <w:color w:val="auto"/>
                <w:szCs w:val="21"/>
                <w:highlight w:val="none"/>
              </w:rPr>
              <w:t>E.易产生粉尘、</w:t>
            </w:r>
            <w:r>
              <w:rPr>
                <w:color w:val="auto"/>
                <w:szCs w:val="21"/>
                <w:highlight w:val="none"/>
              </w:rPr>
              <w:t>VOCs</w:t>
            </w:r>
            <w:r>
              <w:rPr>
                <w:rFonts w:hint="default"/>
                <w:color w:val="auto"/>
                <w:szCs w:val="21"/>
                <w:highlight w:val="none"/>
              </w:rPr>
              <w:t>、酸雾、有毒有害大气污染物和刺激性气味气体的危险废物应装入闭口容器或包装物内贮存。</w:t>
            </w:r>
          </w:p>
          <w:p w14:paraId="175B47CD">
            <w:pPr>
              <w:spacing w:line="360" w:lineRule="auto"/>
              <w:ind w:firstLine="482"/>
              <w:rPr>
                <w:color w:val="auto"/>
                <w:szCs w:val="21"/>
                <w:highlight w:val="none"/>
              </w:rPr>
            </w:pPr>
            <w:r>
              <w:rPr>
                <w:rFonts w:hint="default"/>
                <w:color w:val="auto"/>
                <w:szCs w:val="21"/>
                <w:highlight w:val="none"/>
              </w:rPr>
              <w:t>F.危险废物贮存过程中易产生粉尘等无组织排放的，应采取抑尘等有效措施。</w:t>
            </w:r>
          </w:p>
          <w:p w14:paraId="0D7C6782">
            <w:pPr>
              <w:spacing w:line="360" w:lineRule="auto"/>
              <w:rPr>
                <w:b/>
                <w:bCs/>
                <w:color w:val="auto"/>
                <w:highlight w:val="none"/>
              </w:rPr>
            </w:pPr>
          </w:p>
          <w:p w14:paraId="694D707F">
            <w:pPr>
              <w:numPr>
                <w:ilvl w:val="0"/>
                <w:numId w:val="15"/>
              </w:numPr>
              <w:spacing w:line="360" w:lineRule="auto"/>
              <w:rPr>
                <w:b/>
                <w:bCs/>
                <w:color w:val="auto"/>
                <w:highlight w:val="none"/>
              </w:rPr>
            </w:pPr>
            <w:r>
              <w:rPr>
                <w:rFonts w:hint="default"/>
                <w:b/>
                <w:bCs/>
                <w:color w:val="auto"/>
                <w:highlight w:val="none"/>
              </w:rPr>
              <w:t>固体废物环境管理要求</w:t>
            </w:r>
          </w:p>
          <w:p w14:paraId="0F7FC8AE">
            <w:pPr>
              <w:spacing w:line="360" w:lineRule="auto"/>
              <w:ind w:firstLine="482"/>
              <w:rPr>
                <w:b/>
                <w:bCs/>
                <w:color w:val="auto"/>
                <w:szCs w:val="21"/>
                <w:highlight w:val="none"/>
              </w:rPr>
            </w:pPr>
            <w:r>
              <w:rPr>
                <w:rFonts w:hint="default"/>
                <w:b/>
                <w:bCs/>
                <w:color w:val="auto"/>
                <w:szCs w:val="21"/>
                <w:highlight w:val="none"/>
              </w:rPr>
              <w:t>（1）一般工业固废</w:t>
            </w:r>
          </w:p>
          <w:p w14:paraId="225980CF">
            <w:pPr>
              <w:spacing w:line="360" w:lineRule="auto"/>
              <w:ind w:firstLine="482"/>
              <w:rPr>
                <w:color w:val="auto"/>
                <w:szCs w:val="21"/>
                <w:highlight w:val="none"/>
              </w:rPr>
            </w:pPr>
            <w:r>
              <w:rPr>
                <w:rFonts w:hint="default"/>
                <w:color w:val="auto"/>
                <w:szCs w:val="21"/>
                <w:highlight w:val="none"/>
              </w:rPr>
              <w:t>一般废包装材料、集尘、废滤料、废布袋、不合格粉体、测试后废弃正极材料等，委托处置综合利用。</w:t>
            </w:r>
          </w:p>
          <w:p w14:paraId="452A936D">
            <w:pPr>
              <w:spacing w:line="360" w:lineRule="auto"/>
              <w:ind w:firstLine="482"/>
              <w:rPr>
                <w:color w:val="auto"/>
                <w:szCs w:val="21"/>
                <w:highlight w:val="none"/>
              </w:rPr>
            </w:pPr>
            <w:r>
              <w:rPr>
                <w:rFonts w:hint="default"/>
                <w:color w:val="auto"/>
                <w:szCs w:val="21"/>
                <w:highlight w:val="none"/>
              </w:rPr>
              <w:t>①企业应当参照《一般工业固体废物贮存和填埋污染控制标准》（GB18599-2020）标准进行管理，要求建设一般固废暂存场所，做好防风、防雨、地面硬化等措施，并完善一般固废识别标志。</w:t>
            </w:r>
          </w:p>
          <w:p w14:paraId="18BCE600">
            <w:pPr>
              <w:spacing w:line="360" w:lineRule="auto"/>
              <w:ind w:firstLine="482"/>
              <w:rPr>
                <w:color w:val="auto"/>
                <w:szCs w:val="21"/>
                <w:highlight w:val="none"/>
              </w:rPr>
            </w:pPr>
            <w:r>
              <w:rPr>
                <w:rFonts w:hint="default"/>
                <w:color w:val="auto"/>
                <w:szCs w:val="21"/>
                <w:highlight w:val="none"/>
              </w:rPr>
              <w:t>②企业应当建立健全工业固体废物产生、收集、贮存、运输、利用、处置全过程的污染环境防治责任制度，根据《一般工业固体废物管理台账制定指南（试行）》，建立一般工业固体废物管理台账，如实记录产生工业固体废物的种类、数量、流向、贮存、利用、处置等信息；注册并登录浙江省固体废物管理信息系统，实时填报工业固体废物产生、转移、利用和处置等数据。并按照《浙江省工业固体废物电子转移联单管理办法（试行）》（浙环发[2023]28号）中要求落实。</w:t>
            </w:r>
          </w:p>
          <w:p w14:paraId="7CF07854">
            <w:pPr>
              <w:spacing w:line="360" w:lineRule="auto"/>
              <w:ind w:firstLine="482"/>
              <w:rPr>
                <w:color w:val="auto"/>
                <w:szCs w:val="21"/>
                <w:highlight w:val="none"/>
              </w:rPr>
            </w:pPr>
            <w:r>
              <w:rPr>
                <w:rFonts w:hint="default"/>
                <w:color w:val="auto"/>
                <w:szCs w:val="21"/>
                <w:highlight w:val="none"/>
              </w:rPr>
              <w:t>③企业委托他人运输、利用、处置工业固体废物的，应当对受托方的主体资格和技术能力进行核实，依法签订书面合同，在合同中约定污染防治要求。</w:t>
            </w:r>
          </w:p>
          <w:p w14:paraId="0E32919B">
            <w:pPr>
              <w:spacing w:line="360" w:lineRule="auto"/>
              <w:ind w:firstLine="422" w:firstLineChars="200"/>
              <w:rPr>
                <w:b/>
                <w:bCs/>
                <w:color w:val="auto"/>
                <w:szCs w:val="21"/>
                <w:highlight w:val="none"/>
              </w:rPr>
            </w:pPr>
            <w:r>
              <w:rPr>
                <w:rFonts w:hint="default"/>
                <w:b/>
                <w:bCs/>
                <w:color w:val="auto"/>
                <w:szCs w:val="21"/>
                <w:highlight w:val="none"/>
              </w:rPr>
              <w:t>（2）危险废物</w:t>
            </w:r>
          </w:p>
          <w:p w14:paraId="210E54EC">
            <w:pPr>
              <w:spacing w:line="360" w:lineRule="auto"/>
              <w:ind w:firstLine="482"/>
              <w:rPr>
                <w:color w:val="auto"/>
                <w:szCs w:val="21"/>
                <w:highlight w:val="none"/>
              </w:rPr>
            </w:pPr>
            <w:r>
              <w:rPr>
                <w:rFonts w:hint="default"/>
                <w:color w:val="auto"/>
                <w:szCs w:val="21"/>
                <w:highlight w:val="none"/>
              </w:rPr>
              <w:t>企业应按照《危险废物贮存污染控制标准》(GB18597-20</w:t>
            </w:r>
            <w:r>
              <w:rPr>
                <w:rFonts w:hint="default"/>
                <w:color w:val="auto"/>
                <w:szCs w:val="21"/>
                <w:highlight w:val="none"/>
                <w:lang w:val="en-US" w:eastAsia="zh-CN"/>
              </w:rPr>
              <w:t>2</w:t>
            </w:r>
            <w:r>
              <w:rPr>
                <w:rFonts w:hint="default"/>
                <w:color w:val="auto"/>
                <w:szCs w:val="21"/>
                <w:highlight w:val="none"/>
              </w:rPr>
              <w:t>3)等相关标准规定，在厂区内设置相对独立的危险废物存放场地。并做好危险废物的收集、暂存工作。</w:t>
            </w:r>
          </w:p>
          <w:p w14:paraId="3A0F81CB">
            <w:pPr>
              <w:spacing w:line="360" w:lineRule="auto"/>
              <w:ind w:firstLine="420" w:firstLineChars="200"/>
              <w:rPr>
                <w:color w:val="auto"/>
                <w:szCs w:val="21"/>
                <w:highlight w:val="none"/>
              </w:rPr>
            </w:pPr>
            <w:r>
              <w:rPr>
                <w:rFonts w:hint="default"/>
                <w:color w:val="auto"/>
                <w:szCs w:val="21"/>
                <w:highlight w:val="none"/>
              </w:rPr>
              <w:t>①危险废物收集、贮存过程环境影响分析</w:t>
            </w:r>
          </w:p>
          <w:p w14:paraId="73493E4C">
            <w:pPr>
              <w:spacing w:line="360" w:lineRule="auto"/>
              <w:ind w:firstLine="420" w:firstLineChars="200"/>
              <w:rPr>
                <w:color w:val="auto"/>
                <w:szCs w:val="21"/>
                <w:highlight w:val="none"/>
              </w:rPr>
            </w:pPr>
            <w:r>
              <w:rPr>
                <w:rFonts w:hint="default"/>
                <w:color w:val="auto"/>
                <w:szCs w:val="21"/>
                <w:highlight w:val="none"/>
              </w:rPr>
              <w:t>A.污染影响途径分析</w:t>
            </w:r>
          </w:p>
          <w:p w14:paraId="6BEDCC31">
            <w:pPr>
              <w:spacing w:line="360" w:lineRule="auto"/>
              <w:ind w:firstLine="420" w:firstLineChars="200"/>
              <w:rPr>
                <w:color w:val="auto"/>
                <w:szCs w:val="21"/>
                <w:highlight w:val="none"/>
              </w:rPr>
            </w:pPr>
            <w:r>
              <w:rPr>
                <w:rFonts w:hint="default"/>
                <w:color w:val="auto"/>
                <w:szCs w:val="21"/>
                <w:highlight w:val="none"/>
              </w:rPr>
              <w:t>本项目产生的危废为固态、液态等形式，危险废物从厂区内产生环节运输到贮存场所过程中以及贮存期间，可能存在遗撒、泄漏等情形。危废泄漏若未能及时收集处置，则有可能进入雨水系统进而污染周边地表水，或下渗进入地下污染土壤和地下水。</w:t>
            </w:r>
          </w:p>
          <w:p w14:paraId="16072138">
            <w:pPr>
              <w:spacing w:line="360" w:lineRule="auto"/>
              <w:ind w:firstLine="420" w:firstLineChars="200"/>
              <w:rPr>
                <w:color w:val="auto"/>
                <w:szCs w:val="21"/>
                <w:highlight w:val="none"/>
              </w:rPr>
            </w:pPr>
            <w:r>
              <w:rPr>
                <w:rFonts w:hint="default"/>
                <w:color w:val="auto"/>
                <w:szCs w:val="21"/>
                <w:highlight w:val="none"/>
              </w:rPr>
              <w:t>B.污染影响分析</w:t>
            </w:r>
          </w:p>
          <w:p w14:paraId="45017C5E">
            <w:pPr>
              <w:spacing w:line="360" w:lineRule="auto"/>
              <w:ind w:firstLine="420" w:firstLineChars="200"/>
              <w:rPr>
                <w:color w:val="auto"/>
                <w:szCs w:val="21"/>
                <w:highlight w:val="none"/>
              </w:rPr>
            </w:pPr>
            <w:r>
              <w:rPr>
                <w:rFonts w:hint="default"/>
                <w:color w:val="auto"/>
                <w:szCs w:val="21"/>
                <w:highlight w:val="none"/>
              </w:rPr>
              <w:t>项目危废产生点至危废仓库之间的转运均在厂区内完成，因此转运路线上不涉及环境敏感点。项目产生的各类危险废物在产生点及时收集后，采用密封桶/袋转运至危废仓库，正常情况下发生危废泄漏的机率不大。危废仓库内地面采取必要的防渗、防腐措施后，能够避免污染物污染地下水和土壤环境。</w:t>
            </w:r>
          </w:p>
          <w:p w14:paraId="54986775">
            <w:pPr>
              <w:spacing w:line="360" w:lineRule="auto"/>
              <w:ind w:firstLine="420" w:firstLineChars="200"/>
              <w:rPr>
                <w:color w:val="auto"/>
                <w:szCs w:val="21"/>
                <w:highlight w:val="none"/>
              </w:rPr>
            </w:pPr>
            <w:r>
              <w:rPr>
                <w:rFonts w:hint="default"/>
                <w:color w:val="auto"/>
                <w:szCs w:val="21"/>
                <w:highlight w:val="none"/>
              </w:rPr>
              <w:t>②危险废物委托处置过程管理要求</w:t>
            </w:r>
          </w:p>
          <w:p w14:paraId="61749B99">
            <w:pPr>
              <w:spacing w:line="360" w:lineRule="auto"/>
              <w:ind w:firstLine="420" w:firstLineChars="200"/>
              <w:rPr>
                <w:color w:val="auto"/>
                <w:szCs w:val="21"/>
                <w:highlight w:val="none"/>
              </w:rPr>
            </w:pPr>
            <w:r>
              <w:rPr>
                <w:rFonts w:hint="default"/>
                <w:color w:val="auto"/>
                <w:szCs w:val="21"/>
                <w:highlight w:val="none"/>
              </w:rPr>
              <w:t>根据《国家危险废物名录(2025年本)》，项目产生的废包装材料、废油属危险废物，企业委托有危废处置资质的单位进行处置。</w:t>
            </w:r>
          </w:p>
          <w:p w14:paraId="34B51361">
            <w:pPr>
              <w:spacing w:line="360" w:lineRule="auto"/>
              <w:ind w:firstLine="420" w:firstLineChars="200"/>
              <w:rPr>
                <w:color w:val="auto"/>
                <w:szCs w:val="21"/>
                <w:highlight w:val="none"/>
              </w:rPr>
            </w:pPr>
            <w:r>
              <w:rPr>
                <w:rFonts w:hint="default"/>
                <w:color w:val="auto"/>
                <w:szCs w:val="21"/>
                <w:highlight w:val="none"/>
              </w:rPr>
              <w:t>根据《危险废物转移管理办法》（部令23号）规定，对于危险废物的转移，应当通过国家危险废物信息管理系统填写、运行危险废物电子转移联单，并依照国家有关规定公开危险废物转移相关污染环境防治信息。危险废物移出人、危险废物承运人、危险废物接受人在危险废物转移过程中应当采取防扬散、防流失、防渗漏或者其他防止污染环境的措施，不得擅自倾倒、堆放、丢弃、遗撒危险废物，并对所造成的环境污染及生态破坏依法承担责任；制定危险废物管理计划，明确拟转移危险废物的种类、重量（数量）和流向等信息；建立危险废物管理台账，对转移的危险废物进行计量称重，如实记录、妥善保管转移危险废物的种类、重量（数量）和接受人等相关信息；填写、运行危险废物转移联单，在危险废物转移联单中如实填写移出人、承运人、接受人信息，转移危险废物的种类、重量（数量）、危险特性等信息，以及突发环境事件的防范措施等；及时核实接受人贮存、利用或者处置相关危险废物情况；禁止将危险废物以副产品等名义提供或者委托给无危险废物经营许可证的单位或者其他生产经营者从事收集、贮存、利用、处置活动。</w:t>
            </w:r>
          </w:p>
          <w:p w14:paraId="302E3748">
            <w:pPr>
              <w:spacing w:line="360" w:lineRule="auto"/>
              <w:ind w:firstLine="420" w:firstLineChars="200"/>
              <w:rPr>
                <w:color w:val="auto"/>
                <w:szCs w:val="21"/>
                <w:highlight w:val="none"/>
              </w:rPr>
            </w:pPr>
            <w:r>
              <w:rPr>
                <w:rFonts w:hint="default"/>
                <w:color w:val="auto"/>
                <w:szCs w:val="21"/>
                <w:highlight w:val="none"/>
              </w:rPr>
              <w:t>③危险废物运输管理要求</w:t>
            </w:r>
          </w:p>
          <w:p w14:paraId="2EBBE15C">
            <w:pPr>
              <w:spacing w:line="360" w:lineRule="auto"/>
              <w:ind w:firstLine="420" w:firstLineChars="200"/>
              <w:rPr>
                <w:color w:val="auto"/>
                <w:szCs w:val="21"/>
                <w:highlight w:val="none"/>
              </w:rPr>
            </w:pPr>
            <w:r>
              <w:rPr>
                <w:rFonts w:hint="default"/>
                <w:color w:val="auto"/>
                <w:szCs w:val="21"/>
                <w:highlight w:val="none"/>
              </w:rPr>
              <w:t>本项目危险废物运输方式为汽车运输，危险废物运输应由具有从事危险废物运输经营许可性的运输单位完成，运输过程严格按照HJ2025-2012《危险废物收集 贮存 运输技术规范》进行。具体运输要求如下：</w:t>
            </w:r>
          </w:p>
          <w:p w14:paraId="5136475B">
            <w:pPr>
              <w:spacing w:line="360" w:lineRule="auto"/>
              <w:ind w:firstLine="420" w:firstLineChars="200"/>
              <w:rPr>
                <w:color w:val="auto"/>
                <w:szCs w:val="21"/>
                <w:highlight w:val="none"/>
              </w:rPr>
            </w:pPr>
            <w:r>
              <w:rPr>
                <w:rFonts w:hint="default"/>
                <w:color w:val="auto"/>
                <w:szCs w:val="21"/>
                <w:highlight w:val="none"/>
              </w:rPr>
              <w:t>A、运输危险废物的车辆必须严格交通、消防、治安等法规并控制车速，保持与前车的距离，严禁违章超车，确保行车安全；装载危废的车辆不得在居民集聚区、行人稠密地段、风景游览区停车；</w:t>
            </w:r>
          </w:p>
          <w:p w14:paraId="1BB82FE7">
            <w:pPr>
              <w:spacing w:line="360" w:lineRule="auto"/>
              <w:ind w:firstLine="420" w:firstLineChars="200"/>
              <w:rPr>
                <w:color w:val="auto"/>
                <w:szCs w:val="21"/>
                <w:highlight w:val="none"/>
              </w:rPr>
            </w:pPr>
            <w:r>
              <w:rPr>
                <w:rFonts w:hint="default"/>
                <w:color w:val="auto"/>
                <w:szCs w:val="21"/>
                <w:highlight w:val="none"/>
              </w:rPr>
              <w:t>B、运输危险废物必须配备随车人员在途中经常检查，不得搭乘无关人员，车上人员严禁吸烟；</w:t>
            </w:r>
          </w:p>
          <w:p w14:paraId="7C7B2877">
            <w:pPr>
              <w:spacing w:line="360" w:lineRule="auto"/>
              <w:ind w:firstLine="420" w:firstLineChars="200"/>
              <w:rPr>
                <w:color w:val="auto"/>
                <w:szCs w:val="21"/>
                <w:highlight w:val="none"/>
              </w:rPr>
            </w:pPr>
            <w:r>
              <w:rPr>
                <w:rFonts w:hint="default"/>
                <w:color w:val="auto"/>
                <w:szCs w:val="21"/>
                <w:highlight w:val="none"/>
              </w:rPr>
              <w:t>C、根据车上废物性质，采取遮阳、控温、防火、防爆、防震、防水、防冻等措施；</w:t>
            </w:r>
          </w:p>
          <w:p w14:paraId="37E81E47">
            <w:pPr>
              <w:spacing w:line="360" w:lineRule="auto"/>
              <w:ind w:firstLine="420" w:firstLineChars="200"/>
              <w:rPr>
                <w:color w:val="auto"/>
                <w:szCs w:val="21"/>
                <w:highlight w:val="none"/>
              </w:rPr>
            </w:pPr>
            <w:r>
              <w:rPr>
                <w:rFonts w:hint="default"/>
                <w:color w:val="auto"/>
                <w:szCs w:val="21"/>
                <w:highlight w:val="none"/>
              </w:rPr>
              <w:t>D、危险废物随车人员不得擅自改变作业计划，严禁擅自拼装、超载。危险废物运输应优先安排；</w:t>
            </w:r>
          </w:p>
          <w:p w14:paraId="67218F8F">
            <w:pPr>
              <w:spacing w:line="360" w:lineRule="auto"/>
              <w:ind w:firstLine="420" w:firstLineChars="200"/>
              <w:rPr>
                <w:color w:val="auto"/>
                <w:szCs w:val="21"/>
                <w:highlight w:val="none"/>
              </w:rPr>
            </w:pPr>
            <w:r>
              <w:rPr>
                <w:rFonts w:hint="default"/>
                <w:color w:val="auto"/>
                <w:szCs w:val="21"/>
                <w:highlight w:val="none"/>
              </w:rPr>
              <w:t>E、危险废物装卸作业必须严格遵守操作规程，轻装、轻卸，严禁摔碰、撞击、重压、倒置。</w:t>
            </w:r>
          </w:p>
          <w:p w14:paraId="1A349C52">
            <w:pPr>
              <w:spacing w:line="360" w:lineRule="auto"/>
              <w:ind w:firstLine="420" w:firstLineChars="200"/>
              <w:rPr>
                <w:color w:val="auto"/>
                <w:szCs w:val="21"/>
                <w:highlight w:val="none"/>
              </w:rPr>
            </w:pPr>
            <w:r>
              <w:rPr>
                <w:rFonts w:hint="default"/>
                <w:color w:val="auto"/>
                <w:szCs w:val="21"/>
                <w:highlight w:val="none"/>
              </w:rPr>
              <w:fldChar w:fldCharType="begin"/>
            </w:r>
            <w:r>
              <w:rPr>
                <w:rFonts w:hint="default"/>
                <w:color w:val="auto"/>
                <w:szCs w:val="21"/>
                <w:highlight w:val="none"/>
              </w:rPr>
              <w:instrText xml:space="preserve"> = 4 \* GB3 \* MERGEFORMAT </w:instrText>
            </w:r>
            <w:r>
              <w:rPr>
                <w:rFonts w:hint="default"/>
                <w:color w:val="auto"/>
                <w:szCs w:val="21"/>
                <w:highlight w:val="none"/>
              </w:rPr>
              <w:fldChar w:fldCharType="separate"/>
            </w:r>
            <w:r>
              <w:rPr>
                <w:rFonts w:hint="default"/>
                <w:color w:val="auto"/>
                <w:szCs w:val="21"/>
                <w:highlight w:val="none"/>
              </w:rPr>
              <w:t>④</w:t>
            </w:r>
            <w:r>
              <w:rPr>
                <w:rFonts w:hint="default"/>
                <w:color w:val="auto"/>
                <w:szCs w:val="21"/>
                <w:highlight w:val="none"/>
              </w:rPr>
              <w:fldChar w:fldCharType="end"/>
            </w:r>
            <w:r>
              <w:rPr>
                <w:rFonts w:hint="default"/>
                <w:color w:val="auto"/>
                <w:szCs w:val="21"/>
                <w:highlight w:val="none"/>
              </w:rPr>
              <w:t>危险废物管理计划和台账制定要求</w:t>
            </w:r>
          </w:p>
          <w:p w14:paraId="4026B0E1">
            <w:pPr>
              <w:spacing w:line="360" w:lineRule="auto"/>
              <w:ind w:firstLine="420" w:firstLineChars="200"/>
              <w:rPr>
                <w:color w:val="auto"/>
                <w:szCs w:val="21"/>
                <w:highlight w:val="none"/>
              </w:rPr>
            </w:pPr>
            <w:r>
              <w:rPr>
                <w:rFonts w:hint="default"/>
                <w:color w:val="auto"/>
                <w:szCs w:val="21"/>
                <w:highlight w:val="none"/>
              </w:rPr>
              <w:t>企业应当遵循《危险废物管理计划和管理台账制定技术导则》（HJ 1259-2022）的有关要求，制定危险废物管理计划，内容应当包括减少危险废物产生量和降低危险废物危害性的措施以及危险废物贮存、利用、处理措施；建立危险废物管理台账，如实记录危险废物的种类、产生量、流向、贮存、利用、处置等有关信息；通过国家危险废物信息管理系统向所在地生态环境主管部门备案危险废物管理计划，申报危险废物有关资料；企业应当按照实际情况填写记录的有关内容，并对内容的真实性、准确性和完整性负责。</w:t>
            </w:r>
          </w:p>
          <w:p w14:paraId="19CD1EA5">
            <w:pPr>
              <w:spacing w:line="360" w:lineRule="auto"/>
              <w:ind w:firstLine="420" w:firstLineChars="200"/>
              <w:rPr>
                <w:color w:val="auto"/>
                <w:szCs w:val="21"/>
                <w:highlight w:val="none"/>
              </w:rPr>
            </w:pPr>
            <w:r>
              <w:rPr>
                <w:rFonts w:hint="default"/>
                <w:color w:val="auto"/>
                <w:szCs w:val="21"/>
                <w:highlight w:val="none"/>
              </w:rPr>
              <w:t>要求企业履行申报的登记制度、建立危废管理台账制度，每种危废一本；及时登记各种危废的产生、转移、处置情况。登记资料至少保存5年。</w:t>
            </w:r>
          </w:p>
          <w:p w14:paraId="27460E50">
            <w:pPr>
              <w:spacing w:line="360" w:lineRule="auto"/>
              <w:ind w:firstLine="420" w:firstLineChars="200"/>
              <w:rPr>
                <w:color w:val="auto"/>
                <w:szCs w:val="21"/>
                <w:highlight w:val="none"/>
              </w:rPr>
            </w:pPr>
            <w:r>
              <w:rPr>
                <w:rFonts w:hint="default"/>
                <w:color w:val="auto"/>
                <w:szCs w:val="21"/>
                <w:highlight w:val="none"/>
              </w:rPr>
              <w:t>危险废物的容器和包装物须设置符合规范的危废标签，危险废物贮存场所须设置危险废物警示标志；对操作工人进行安全操作和废弃物处理方面的培训，推行培训上岗制度。</w:t>
            </w:r>
          </w:p>
          <w:p w14:paraId="3ECD5DA3">
            <w:pPr>
              <w:spacing w:line="360" w:lineRule="auto"/>
              <w:ind w:firstLine="420" w:firstLineChars="200"/>
              <w:rPr>
                <w:b/>
                <w:bCs/>
                <w:color w:val="auto"/>
                <w:highlight w:val="none"/>
              </w:rPr>
            </w:pPr>
            <w:r>
              <w:rPr>
                <w:rFonts w:hint="default"/>
                <w:color w:val="auto"/>
                <w:szCs w:val="21"/>
                <w:highlight w:val="none"/>
              </w:rPr>
              <w:t>综上所述，本项目各类固体废物处置符合国家技术政策及相关的环保要求，最终均可得到有效处置，因此总体上项目废物处置对环境的影响可以接受。</w:t>
            </w:r>
          </w:p>
          <w:p w14:paraId="3B627D75">
            <w:pPr>
              <w:spacing w:line="360" w:lineRule="auto"/>
              <w:rPr>
                <w:b/>
                <w:bCs/>
                <w:color w:val="auto"/>
                <w:sz w:val="22"/>
                <w:szCs w:val="28"/>
                <w:highlight w:val="none"/>
              </w:rPr>
            </w:pPr>
            <w:r>
              <w:rPr>
                <w:rFonts w:hint="default"/>
                <w:b/>
                <w:bCs/>
                <w:color w:val="auto"/>
                <w:sz w:val="22"/>
                <w:szCs w:val="28"/>
                <w:highlight w:val="none"/>
              </w:rPr>
              <w:t>4.2.5地下水、土壤</w:t>
            </w:r>
          </w:p>
          <w:p w14:paraId="157B5C9E">
            <w:pPr>
              <w:numPr>
                <w:ilvl w:val="0"/>
                <w:numId w:val="16"/>
              </w:numPr>
              <w:spacing w:line="360" w:lineRule="auto"/>
              <w:rPr>
                <w:b/>
                <w:bCs/>
                <w:color w:val="auto"/>
                <w:highlight w:val="none"/>
              </w:rPr>
            </w:pPr>
            <w:r>
              <w:rPr>
                <w:rFonts w:hint="default"/>
                <w:b/>
                <w:bCs/>
                <w:color w:val="auto"/>
                <w:highlight w:val="none"/>
              </w:rPr>
              <w:t>地下水、土壤污染途径分析</w:t>
            </w:r>
          </w:p>
          <w:p w14:paraId="3CE2F063">
            <w:pPr>
              <w:spacing w:line="360" w:lineRule="auto"/>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本项目地下水、土壤环境影响源及影响因子识别见表</w:t>
            </w:r>
            <w:r>
              <w:rPr>
                <w:rFonts w:hint="default" w:ascii="Times New Roman" w:hAnsi="Times New Roman" w:cs="Times New Roman"/>
                <w:color w:val="auto"/>
                <w:szCs w:val="21"/>
                <w:highlight w:val="none"/>
                <w:lang w:val="en-US" w:eastAsia="zh-CN"/>
              </w:rPr>
              <w:t>4-</w:t>
            </w:r>
            <w:r>
              <w:rPr>
                <w:rFonts w:hint="eastAsia" w:cs="Times New Roman"/>
                <w:color w:val="auto"/>
                <w:szCs w:val="21"/>
                <w:highlight w:val="none"/>
                <w:lang w:val="en-US" w:eastAsia="zh-CN"/>
              </w:rPr>
              <w:t>20</w:t>
            </w:r>
            <w:r>
              <w:rPr>
                <w:rFonts w:hint="default" w:ascii="Times New Roman" w:hAnsi="Times New Roman" w:cs="Times New Roman"/>
                <w:color w:val="auto"/>
                <w:szCs w:val="21"/>
                <w:highlight w:val="none"/>
              </w:rPr>
              <w:t>：</w:t>
            </w:r>
          </w:p>
          <w:p w14:paraId="562818B5">
            <w:pPr>
              <w:numPr>
                <w:ilvl w:val="0"/>
                <w:numId w:val="8"/>
              </w:numPr>
              <w:spacing w:line="360" w:lineRule="auto"/>
              <w:jc w:val="center"/>
              <w:rPr>
                <w:rFonts w:hint="default" w:ascii="Times New Roman" w:hAnsi="Times New Roman" w:eastAsia="黑体" w:cs="Times New Roman"/>
                <w:b w:val="0"/>
                <w:bCs w:val="0"/>
                <w:color w:val="auto"/>
                <w:spacing w:val="-10"/>
                <w:szCs w:val="21"/>
                <w:highlight w:val="none"/>
              </w:rPr>
            </w:pPr>
            <w:r>
              <w:rPr>
                <w:rFonts w:hint="default" w:ascii="Times New Roman" w:hAnsi="Times New Roman" w:eastAsia="黑体" w:cs="Times New Roman"/>
                <w:b w:val="0"/>
                <w:bCs w:val="0"/>
                <w:color w:val="auto"/>
                <w:spacing w:val="-10"/>
                <w:szCs w:val="21"/>
                <w:highlight w:val="none"/>
                <w:lang w:val="en-US" w:eastAsia="zh-CN"/>
              </w:rPr>
              <w:t xml:space="preserve"> </w:t>
            </w:r>
            <w:r>
              <w:rPr>
                <w:rFonts w:hint="default" w:ascii="Times New Roman" w:hAnsi="Times New Roman" w:eastAsia="黑体" w:cs="Times New Roman"/>
                <w:b w:val="0"/>
                <w:bCs w:val="0"/>
                <w:color w:val="auto"/>
                <w:spacing w:val="-10"/>
                <w:szCs w:val="21"/>
                <w:highlight w:val="none"/>
              </w:rPr>
              <w:t>本项目地下水、土壤环境影响源及影响因子识别表</w:t>
            </w:r>
          </w:p>
          <w:tbl>
            <w:tblPr>
              <w:tblStyle w:val="24"/>
              <w:tblW w:w="7631" w:type="dxa"/>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
            <w:tblGrid>
              <w:gridCol w:w="1325"/>
              <w:gridCol w:w="1218"/>
              <w:gridCol w:w="1272"/>
              <w:gridCol w:w="1730"/>
              <w:gridCol w:w="1446"/>
              <w:gridCol w:w="640"/>
            </w:tblGrid>
            <w:tr w14:paraId="4758C88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84" w:hRule="atLeast"/>
                <w:jc w:val="center"/>
              </w:trPr>
              <w:tc>
                <w:tcPr>
                  <w:tcW w:w="868" w:type="pct"/>
                  <w:tcBorders>
                    <w:tl2br w:val="nil"/>
                    <w:tr2bl w:val="nil"/>
                  </w:tcBorders>
                  <w:vAlign w:val="center"/>
                </w:tcPr>
                <w:p w14:paraId="31B119FC">
                  <w:pPr>
                    <w:widowControl/>
                    <w:jc w:val="center"/>
                    <w:rPr>
                      <w:color w:val="auto"/>
                      <w:kern w:val="0"/>
                      <w:sz w:val="18"/>
                      <w:szCs w:val="18"/>
                      <w:highlight w:val="none"/>
                    </w:rPr>
                  </w:pPr>
                  <w:r>
                    <w:rPr>
                      <w:color w:val="auto"/>
                      <w:kern w:val="0"/>
                      <w:sz w:val="18"/>
                      <w:szCs w:val="18"/>
                      <w:highlight w:val="none"/>
                    </w:rPr>
                    <w:t>污染源</w:t>
                  </w:r>
                </w:p>
              </w:tc>
              <w:tc>
                <w:tcPr>
                  <w:tcW w:w="798" w:type="pct"/>
                  <w:tcBorders>
                    <w:tl2br w:val="nil"/>
                    <w:tr2bl w:val="nil"/>
                  </w:tcBorders>
                  <w:vAlign w:val="center"/>
                </w:tcPr>
                <w:p w14:paraId="663AC3C9">
                  <w:pPr>
                    <w:widowControl/>
                    <w:jc w:val="center"/>
                    <w:rPr>
                      <w:color w:val="auto"/>
                      <w:kern w:val="0"/>
                      <w:sz w:val="18"/>
                      <w:szCs w:val="18"/>
                      <w:highlight w:val="none"/>
                    </w:rPr>
                  </w:pPr>
                  <w:r>
                    <w:rPr>
                      <w:color w:val="auto"/>
                      <w:kern w:val="0"/>
                      <w:sz w:val="18"/>
                      <w:szCs w:val="18"/>
                      <w:highlight w:val="none"/>
                    </w:rPr>
                    <w:t>工艺流程/节点</w:t>
                  </w:r>
                </w:p>
              </w:tc>
              <w:tc>
                <w:tcPr>
                  <w:tcW w:w="833" w:type="pct"/>
                  <w:tcBorders>
                    <w:tl2br w:val="nil"/>
                    <w:tr2bl w:val="nil"/>
                  </w:tcBorders>
                  <w:vAlign w:val="center"/>
                </w:tcPr>
                <w:p w14:paraId="25ED618D">
                  <w:pPr>
                    <w:widowControl/>
                    <w:jc w:val="center"/>
                    <w:rPr>
                      <w:color w:val="auto"/>
                      <w:kern w:val="0"/>
                      <w:sz w:val="18"/>
                      <w:szCs w:val="18"/>
                      <w:highlight w:val="none"/>
                    </w:rPr>
                  </w:pPr>
                  <w:r>
                    <w:rPr>
                      <w:color w:val="auto"/>
                      <w:kern w:val="0"/>
                      <w:sz w:val="18"/>
                      <w:szCs w:val="18"/>
                      <w:highlight w:val="none"/>
                    </w:rPr>
                    <w:t>污染途径</w:t>
                  </w:r>
                </w:p>
              </w:tc>
              <w:tc>
                <w:tcPr>
                  <w:tcW w:w="1133" w:type="pct"/>
                  <w:tcBorders>
                    <w:tl2br w:val="nil"/>
                    <w:tr2bl w:val="nil"/>
                  </w:tcBorders>
                  <w:vAlign w:val="center"/>
                </w:tcPr>
                <w:p w14:paraId="13B8E638">
                  <w:pPr>
                    <w:widowControl/>
                    <w:jc w:val="center"/>
                    <w:rPr>
                      <w:color w:val="auto"/>
                      <w:kern w:val="0"/>
                      <w:sz w:val="18"/>
                      <w:szCs w:val="18"/>
                      <w:highlight w:val="none"/>
                    </w:rPr>
                  </w:pPr>
                  <w:r>
                    <w:rPr>
                      <w:color w:val="auto"/>
                      <w:kern w:val="0"/>
                      <w:sz w:val="18"/>
                      <w:szCs w:val="18"/>
                      <w:highlight w:val="none"/>
                    </w:rPr>
                    <w:t>全部污染指标</w:t>
                  </w:r>
                </w:p>
              </w:tc>
              <w:tc>
                <w:tcPr>
                  <w:tcW w:w="947" w:type="pct"/>
                  <w:tcBorders>
                    <w:tl2br w:val="nil"/>
                    <w:tr2bl w:val="nil"/>
                  </w:tcBorders>
                  <w:vAlign w:val="center"/>
                </w:tcPr>
                <w:p w14:paraId="1CD5AA02">
                  <w:pPr>
                    <w:widowControl/>
                    <w:jc w:val="center"/>
                    <w:rPr>
                      <w:color w:val="auto"/>
                      <w:kern w:val="0"/>
                      <w:sz w:val="18"/>
                      <w:szCs w:val="18"/>
                      <w:highlight w:val="none"/>
                    </w:rPr>
                  </w:pPr>
                  <w:r>
                    <w:rPr>
                      <w:color w:val="auto"/>
                      <w:kern w:val="0"/>
                      <w:sz w:val="18"/>
                      <w:szCs w:val="18"/>
                      <w:highlight w:val="none"/>
                    </w:rPr>
                    <w:t>特征因子</w:t>
                  </w:r>
                </w:p>
              </w:tc>
              <w:tc>
                <w:tcPr>
                  <w:tcW w:w="419" w:type="pct"/>
                  <w:tcBorders>
                    <w:tl2br w:val="nil"/>
                    <w:tr2bl w:val="nil"/>
                  </w:tcBorders>
                  <w:vAlign w:val="center"/>
                </w:tcPr>
                <w:p w14:paraId="1E140130">
                  <w:pPr>
                    <w:widowControl/>
                    <w:jc w:val="center"/>
                    <w:rPr>
                      <w:color w:val="auto"/>
                      <w:kern w:val="0"/>
                      <w:sz w:val="18"/>
                      <w:szCs w:val="18"/>
                      <w:highlight w:val="none"/>
                    </w:rPr>
                  </w:pPr>
                  <w:r>
                    <w:rPr>
                      <w:color w:val="auto"/>
                      <w:kern w:val="0"/>
                      <w:sz w:val="18"/>
                      <w:szCs w:val="18"/>
                      <w:highlight w:val="none"/>
                    </w:rPr>
                    <w:t>备注</w:t>
                  </w:r>
                </w:p>
              </w:tc>
            </w:tr>
            <w:tr w14:paraId="0FCEF95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84" w:hRule="atLeast"/>
                <w:jc w:val="center"/>
              </w:trPr>
              <w:tc>
                <w:tcPr>
                  <w:tcW w:w="868" w:type="pct"/>
                  <w:tcBorders>
                    <w:tl2br w:val="nil"/>
                    <w:tr2bl w:val="nil"/>
                  </w:tcBorders>
                  <w:vAlign w:val="center"/>
                </w:tcPr>
                <w:p w14:paraId="216273F5">
                  <w:pPr>
                    <w:widowControl/>
                    <w:jc w:val="center"/>
                    <w:rPr>
                      <w:color w:val="auto"/>
                      <w:kern w:val="0"/>
                      <w:sz w:val="18"/>
                      <w:szCs w:val="18"/>
                      <w:highlight w:val="none"/>
                    </w:rPr>
                  </w:pPr>
                  <w:r>
                    <w:rPr>
                      <w:rFonts w:hint="default"/>
                      <w:color w:val="auto"/>
                      <w:kern w:val="0"/>
                      <w:sz w:val="18"/>
                      <w:szCs w:val="18"/>
                      <w:highlight w:val="none"/>
                    </w:rPr>
                    <w:t>砂磨机、喷雾干燥器、箱式炉、气流粉碎机</w:t>
                  </w:r>
                </w:p>
              </w:tc>
              <w:tc>
                <w:tcPr>
                  <w:tcW w:w="798" w:type="pct"/>
                  <w:tcBorders>
                    <w:tl2br w:val="nil"/>
                    <w:tr2bl w:val="nil"/>
                  </w:tcBorders>
                  <w:vAlign w:val="center"/>
                </w:tcPr>
                <w:p w14:paraId="70DF5B6A">
                  <w:pPr>
                    <w:widowControl/>
                    <w:jc w:val="center"/>
                    <w:rPr>
                      <w:color w:val="auto"/>
                      <w:kern w:val="0"/>
                      <w:sz w:val="18"/>
                      <w:szCs w:val="18"/>
                      <w:highlight w:val="none"/>
                    </w:rPr>
                  </w:pPr>
                  <w:r>
                    <w:rPr>
                      <w:rFonts w:hint="default"/>
                      <w:color w:val="auto"/>
                      <w:kern w:val="0"/>
                      <w:sz w:val="18"/>
                      <w:szCs w:val="18"/>
                      <w:highlight w:val="none"/>
                    </w:rPr>
                    <w:t>正极材料制备</w:t>
                  </w:r>
                </w:p>
              </w:tc>
              <w:tc>
                <w:tcPr>
                  <w:tcW w:w="833" w:type="pct"/>
                  <w:tcBorders>
                    <w:tl2br w:val="nil"/>
                    <w:tr2bl w:val="nil"/>
                  </w:tcBorders>
                  <w:vAlign w:val="center"/>
                </w:tcPr>
                <w:p w14:paraId="00E91916">
                  <w:pPr>
                    <w:widowControl/>
                    <w:jc w:val="center"/>
                    <w:rPr>
                      <w:color w:val="auto"/>
                      <w:kern w:val="0"/>
                      <w:sz w:val="18"/>
                      <w:szCs w:val="18"/>
                      <w:highlight w:val="none"/>
                    </w:rPr>
                  </w:pPr>
                  <w:r>
                    <w:rPr>
                      <w:rFonts w:hint="default"/>
                      <w:color w:val="auto"/>
                      <w:kern w:val="0"/>
                      <w:sz w:val="18"/>
                      <w:szCs w:val="18"/>
                      <w:highlight w:val="none"/>
                    </w:rPr>
                    <w:t>大气沉降</w:t>
                  </w:r>
                </w:p>
              </w:tc>
              <w:tc>
                <w:tcPr>
                  <w:tcW w:w="1133" w:type="pct"/>
                  <w:tcBorders>
                    <w:tl2br w:val="nil"/>
                    <w:tr2bl w:val="nil"/>
                  </w:tcBorders>
                  <w:vAlign w:val="center"/>
                </w:tcPr>
                <w:p w14:paraId="6F4D8E9E">
                  <w:pPr>
                    <w:widowControl/>
                    <w:jc w:val="center"/>
                    <w:rPr>
                      <w:color w:val="auto"/>
                      <w:kern w:val="0"/>
                      <w:sz w:val="18"/>
                      <w:szCs w:val="18"/>
                      <w:highlight w:val="none"/>
                    </w:rPr>
                  </w:pPr>
                  <w:r>
                    <w:rPr>
                      <w:rFonts w:hint="default"/>
                      <w:color w:val="auto"/>
                      <w:kern w:val="0"/>
                      <w:sz w:val="18"/>
                      <w:szCs w:val="18"/>
                      <w:highlight w:val="none"/>
                    </w:rPr>
                    <w:t>粉尘</w:t>
                  </w:r>
                </w:p>
              </w:tc>
              <w:tc>
                <w:tcPr>
                  <w:tcW w:w="947" w:type="pct"/>
                  <w:tcBorders>
                    <w:tl2br w:val="nil"/>
                    <w:tr2bl w:val="nil"/>
                  </w:tcBorders>
                  <w:vAlign w:val="center"/>
                </w:tcPr>
                <w:p w14:paraId="220652BC">
                  <w:pPr>
                    <w:widowControl/>
                    <w:jc w:val="center"/>
                    <w:rPr>
                      <w:color w:val="auto"/>
                      <w:kern w:val="0"/>
                      <w:sz w:val="18"/>
                      <w:szCs w:val="18"/>
                      <w:highlight w:val="none"/>
                    </w:rPr>
                  </w:pPr>
                  <w:r>
                    <w:rPr>
                      <w:rFonts w:hint="default"/>
                      <w:color w:val="auto"/>
                      <w:kern w:val="0"/>
                      <w:sz w:val="18"/>
                      <w:szCs w:val="18"/>
                      <w:highlight w:val="none"/>
                    </w:rPr>
                    <w:t>颗粒物</w:t>
                  </w:r>
                </w:p>
              </w:tc>
              <w:tc>
                <w:tcPr>
                  <w:tcW w:w="419" w:type="pct"/>
                  <w:tcBorders>
                    <w:tl2br w:val="nil"/>
                    <w:tr2bl w:val="nil"/>
                  </w:tcBorders>
                  <w:vAlign w:val="center"/>
                </w:tcPr>
                <w:p w14:paraId="03D54E10">
                  <w:pPr>
                    <w:widowControl/>
                    <w:jc w:val="center"/>
                    <w:rPr>
                      <w:color w:val="auto"/>
                      <w:kern w:val="0"/>
                      <w:sz w:val="18"/>
                      <w:szCs w:val="18"/>
                      <w:highlight w:val="none"/>
                    </w:rPr>
                  </w:pPr>
                  <w:r>
                    <w:rPr>
                      <w:color w:val="auto"/>
                      <w:kern w:val="0"/>
                      <w:sz w:val="18"/>
                      <w:szCs w:val="18"/>
                      <w:highlight w:val="none"/>
                    </w:rPr>
                    <w:t>事故</w:t>
                  </w:r>
                </w:p>
              </w:tc>
            </w:tr>
            <w:tr w14:paraId="7CC8C0D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84" w:hRule="atLeast"/>
                <w:jc w:val="center"/>
              </w:trPr>
              <w:tc>
                <w:tcPr>
                  <w:tcW w:w="868" w:type="pct"/>
                  <w:tcBorders>
                    <w:tl2br w:val="nil"/>
                    <w:tr2bl w:val="nil"/>
                  </w:tcBorders>
                  <w:vAlign w:val="center"/>
                </w:tcPr>
                <w:p w14:paraId="56CFA7A8">
                  <w:pPr>
                    <w:widowControl/>
                    <w:jc w:val="center"/>
                    <w:rPr>
                      <w:color w:val="auto"/>
                      <w:kern w:val="0"/>
                      <w:sz w:val="18"/>
                      <w:szCs w:val="18"/>
                      <w:highlight w:val="none"/>
                    </w:rPr>
                  </w:pPr>
                  <w:r>
                    <w:rPr>
                      <w:rFonts w:hint="default"/>
                      <w:color w:val="auto"/>
                      <w:kern w:val="0"/>
                      <w:sz w:val="18"/>
                      <w:szCs w:val="18"/>
                      <w:highlight w:val="none"/>
                    </w:rPr>
                    <w:t>扣电实验室</w:t>
                  </w:r>
                </w:p>
              </w:tc>
              <w:tc>
                <w:tcPr>
                  <w:tcW w:w="798" w:type="pct"/>
                  <w:tcBorders>
                    <w:tl2br w:val="nil"/>
                    <w:tr2bl w:val="nil"/>
                  </w:tcBorders>
                  <w:vAlign w:val="center"/>
                </w:tcPr>
                <w:p w14:paraId="7EA7674C">
                  <w:pPr>
                    <w:widowControl/>
                    <w:jc w:val="center"/>
                    <w:rPr>
                      <w:color w:val="auto"/>
                      <w:kern w:val="0"/>
                      <w:sz w:val="18"/>
                      <w:szCs w:val="18"/>
                      <w:highlight w:val="none"/>
                    </w:rPr>
                  </w:pPr>
                  <w:r>
                    <w:rPr>
                      <w:rFonts w:hint="default"/>
                      <w:color w:val="auto"/>
                      <w:kern w:val="0"/>
                      <w:sz w:val="18"/>
                      <w:szCs w:val="18"/>
                      <w:highlight w:val="none"/>
                    </w:rPr>
                    <w:t>扣电组装</w:t>
                  </w:r>
                </w:p>
              </w:tc>
              <w:tc>
                <w:tcPr>
                  <w:tcW w:w="833" w:type="pct"/>
                  <w:tcBorders>
                    <w:tl2br w:val="nil"/>
                    <w:tr2bl w:val="nil"/>
                  </w:tcBorders>
                  <w:vAlign w:val="center"/>
                </w:tcPr>
                <w:p w14:paraId="653A81CB">
                  <w:pPr>
                    <w:widowControl/>
                    <w:jc w:val="center"/>
                    <w:rPr>
                      <w:color w:val="auto"/>
                      <w:kern w:val="0"/>
                      <w:sz w:val="18"/>
                      <w:szCs w:val="18"/>
                      <w:highlight w:val="none"/>
                    </w:rPr>
                  </w:pPr>
                  <w:r>
                    <w:rPr>
                      <w:color w:val="auto"/>
                      <w:kern w:val="0"/>
                      <w:sz w:val="18"/>
                      <w:szCs w:val="18"/>
                      <w:highlight w:val="none"/>
                    </w:rPr>
                    <w:t>地面漫流、垂直入渗</w:t>
                  </w:r>
                </w:p>
              </w:tc>
              <w:tc>
                <w:tcPr>
                  <w:tcW w:w="1133" w:type="pct"/>
                  <w:tcBorders>
                    <w:tl2br w:val="nil"/>
                    <w:tr2bl w:val="nil"/>
                  </w:tcBorders>
                  <w:vAlign w:val="center"/>
                </w:tcPr>
                <w:p w14:paraId="7F9C76AA">
                  <w:pPr>
                    <w:widowControl/>
                    <w:jc w:val="center"/>
                    <w:rPr>
                      <w:color w:val="auto"/>
                      <w:kern w:val="0"/>
                      <w:sz w:val="18"/>
                      <w:szCs w:val="18"/>
                      <w:highlight w:val="none"/>
                    </w:rPr>
                  </w:pPr>
                  <w:r>
                    <w:rPr>
                      <w:color w:val="auto"/>
                      <w:kern w:val="0"/>
                      <w:sz w:val="18"/>
                      <w:szCs w:val="18"/>
                      <w:highlight w:val="none"/>
                    </w:rPr>
                    <w:t>NMP、电解液、导电剂、粘接剂等</w:t>
                  </w:r>
                </w:p>
              </w:tc>
              <w:tc>
                <w:tcPr>
                  <w:tcW w:w="947" w:type="pct"/>
                  <w:tcBorders>
                    <w:tl2br w:val="nil"/>
                    <w:tr2bl w:val="nil"/>
                  </w:tcBorders>
                  <w:vAlign w:val="center"/>
                </w:tcPr>
                <w:p w14:paraId="10DF2AAE">
                  <w:pPr>
                    <w:widowControl/>
                    <w:jc w:val="center"/>
                    <w:rPr>
                      <w:color w:val="auto"/>
                      <w:kern w:val="0"/>
                      <w:sz w:val="18"/>
                      <w:szCs w:val="18"/>
                      <w:highlight w:val="none"/>
                    </w:rPr>
                  </w:pPr>
                  <w:r>
                    <w:rPr>
                      <w:color w:val="auto"/>
                      <w:kern w:val="0"/>
                      <w:sz w:val="18"/>
                      <w:szCs w:val="18"/>
                      <w:highlight w:val="none"/>
                    </w:rPr>
                    <w:t>COD</w:t>
                  </w:r>
                  <w:r>
                    <w:rPr>
                      <w:color w:val="auto"/>
                      <w:kern w:val="0"/>
                      <w:sz w:val="18"/>
                      <w:szCs w:val="18"/>
                      <w:highlight w:val="none"/>
                      <w:vertAlign w:val="subscript"/>
                    </w:rPr>
                    <w:t>Cr</w:t>
                  </w:r>
                  <w:r>
                    <w:rPr>
                      <w:color w:val="auto"/>
                      <w:kern w:val="0"/>
                      <w:sz w:val="18"/>
                      <w:szCs w:val="18"/>
                      <w:highlight w:val="none"/>
                    </w:rPr>
                    <w:t>、氨氮</w:t>
                  </w:r>
                </w:p>
              </w:tc>
              <w:tc>
                <w:tcPr>
                  <w:tcW w:w="419" w:type="pct"/>
                  <w:tcBorders>
                    <w:tl2br w:val="nil"/>
                    <w:tr2bl w:val="nil"/>
                  </w:tcBorders>
                  <w:vAlign w:val="center"/>
                </w:tcPr>
                <w:p w14:paraId="532C16AD">
                  <w:pPr>
                    <w:widowControl/>
                    <w:jc w:val="center"/>
                    <w:rPr>
                      <w:color w:val="auto"/>
                      <w:kern w:val="0"/>
                      <w:sz w:val="18"/>
                      <w:szCs w:val="18"/>
                      <w:highlight w:val="none"/>
                    </w:rPr>
                  </w:pPr>
                  <w:r>
                    <w:rPr>
                      <w:color w:val="auto"/>
                      <w:kern w:val="0"/>
                      <w:sz w:val="18"/>
                      <w:szCs w:val="18"/>
                      <w:highlight w:val="none"/>
                    </w:rPr>
                    <w:t>事故</w:t>
                  </w:r>
                </w:p>
              </w:tc>
            </w:tr>
            <w:tr w14:paraId="05BD076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84" w:hRule="atLeast"/>
                <w:jc w:val="center"/>
              </w:trPr>
              <w:tc>
                <w:tcPr>
                  <w:tcW w:w="868" w:type="pct"/>
                  <w:tcBorders>
                    <w:tl2br w:val="nil"/>
                    <w:tr2bl w:val="nil"/>
                  </w:tcBorders>
                  <w:vAlign w:val="center"/>
                </w:tcPr>
                <w:p w14:paraId="5238A7D8">
                  <w:pPr>
                    <w:widowControl/>
                    <w:jc w:val="center"/>
                    <w:rPr>
                      <w:color w:val="auto"/>
                      <w:kern w:val="0"/>
                      <w:sz w:val="18"/>
                      <w:szCs w:val="18"/>
                      <w:highlight w:val="none"/>
                    </w:rPr>
                  </w:pPr>
                  <w:r>
                    <w:rPr>
                      <w:color w:val="auto"/>
                      <w:kern w:val="0"/>
                      <w:sz w:val="18"/>
                      <w:szCs w:val="18"/>
                      <w:highlight w:val="none"/>
                    </w:rPr>
                    <w:t>废气处理设施</w:t>
                  </w:r>
                </w:p>
              </w:tc>
              <w:tc>
                <w:tcPr>
                  <w:tcW w:w="798" w:type="pct"/>
                  <w:tcBorders>
                    <w:tl2br w:val="nil"/>
                    <w:tr2bl w:val="nil"/>
                  </w:tcBorders>
                  <w:vAlign w:val="center"/>
                </w:tcPr>
                <w:p w14:paraId="7AB23AAD">
                  <w:pPr>
                    <w:widowControl/>
                    <w:jc w:val="center"/>
                    <w:rPr>
                      <w:color w:val="auto"/>
                      <w:kern w:val="0"/>
                      <w:sz w:val="18"/>
                      <w:szCs w:val="18"/>
                      <w:highlight w:val="none"/>
                    </w:rPr>
                  </w:pPr>
                  <w:r>
                    <w:rPr>
                      <w:color w:val="auto"/>
                      <w:kern w:val="0"/>
                      <w:sz w:val="18"/>
                      <w:szCs w:val="18"/>
                      <w:highlight w:val="none"/>
                    </w:rPr>
                    <w:t>喷淋等</w:t>
                  </w:r>
                </w:p>
              </w:tc>
              <w:tc>
                <w:tcPr>
                  <w:tcW w:w="833" w:type="pct"/>
                  <w:tcBorders>
                    <w:tl2br w:val="nil"/>
                    <w:tr2bl w:val="nil"/>
                  </w:tcBorders>
                  <w:vAlign w:val="center"/>
                </w:tcPr>
                <w:p w14:paraId="168D523C">
                  <w:pPr>
                    <w:widowControl/>
                    <w:jc w:val="center"/>
                    <w:rPr>
                      <w:color w:val="auto"/>
                      <w:kern w:val="0"/>
                      <w:sz w:val="18"/>
                      <w:szCs w:val="18"/>
                      <w:highlight w:val="none"/>
                    </w:rPr>
                  </w:pPr>
                  <w:r>
                    <w:rPr>
                      <w:color w:val="auto"/>
                      <w:kern w:val="0"/>
                      <w:sz w:val="18"/>
                      <w:szCs w:val="18"/>
                      <w:highlight w:val="none"/>
                    </w:rPr>
                    <w:t>大气沉降</w:t>
                  </w:r>
                </w:p>
              </w:tc>
              <w:tc>
                <w:tcPr>
                  <w:tcW w:w="1133" w:type="pct"/>
                  <w:tcBorders>
                    <w:tl2br w:val="nil"/>
                    <w:tr2bl w:val="nil"/>
                  </w:tcBorders>
                  <w:vAlign w:val="center"/>
                </w:tcPr>
                <w:p w14:paraId="54BB4724">
                  <w:pPr>
                    <w:widowControl/>
                    <w:jc w:val="center"/>
                    <w:rPr>
                      <w:color w:val="auto"/>
                      <w:kern w:val="0"/>
                      <w:sz w:val="18"/>
                      <w:szCs w:val="18"/>
                      <w:highlight w:val="none"/>
                    </w:rPr>
                  </w:pPr>
                  <w:r>
                    <w:rPr>
                      <w:color w:val="auto"/>
                      <w:kern w:val="0"/>
                      <w:sz w:val="18"/>
                      <w:szCs w:val="18"/>
                      <w:highlight w:val="none"/>
                    </w:rPr>
                    <w:t>生产废气</w:t>
                  </w:r>
                </w:p>
              </w:tc>
              <w:tc>
                <w:tcPr>
                  <w:tcW w:w="947" w:type="pct"/>
                  <w:tcBorders>
                    <w:tl2br w:val="nil"/>
                    <w:tr2bl w:val="nil"/>
                  </w:tcBorders>
                  <w:vAlign w:val="center"/>
                </w:tcPr>
                <w:p w14:paraId="72D339D3">
                  <w:pPr>
                    <w:widowControl/>
                    <w:jc w:val="center"/>
                    <w:rPr>
                      <w:color w:val="auto"/>
                      <w:kern w:val="0"/>
                      <w:sz w:val="18"/>
                      <w:szCs w:val="18"/>
                      <w:highlight w:val="none"/>
                    </w:rPr>
                  </w:pPr>
                  <w:r>
                    <w:rPr>
                      <w:rFonts w:hint="default"/>
                      <w:color w:val="auto"/>
                      <w:kern w:val="0"/>
                      <w:sz w:val="18"/>
                      <w:szCs w:val="18"/>
                      <w:highlight w:val="none"/>
                    </w:rPr>
                    <w:t>恶臭</w:t>
                  </w:r>
                  <w:r>
                    <w:rPr>
                      <w:color w:val="auto"/>
                      <w:kern w:val="0"/>
                      <w:sz w:val="18"/>
                      <w:szCs w:val="18"/>
                      <w:highlight w:val="none"/>
                    </w:rPr>
                    <w:t>、颗粒物</w:t>
                  </w:r>
                </w:p>
              </w:tc>
              <w:tc>
                <w:tcPr>
                  <w:tcW w:w="419" w:type="pct"/>
                  <w:tcBorders>
                    <w:tl2br w:val="nil"/>
                    <w:tr2bl w:val="nil"/>
                  </w:tcBorders>
                  <w:vAlign w:val="center"/>
                </w:tcPr>
                <w:p w14:paraId="38908DBB">
                  <w:pPr>
                    <w:widowControl/>
                    <w:jc w:val="center"/>
                    <w:rPr>
                      <w:color w:val="auto"/>
                      <w:kern w:val="0"/>
                      <w:sz w:val="18"/>
                      <w:szCs w:val="18"/>
                      <w:highlight w:val="none"/>
                    </w:rPr>
                  </w:pPr>
                  <w:r>
                    <w:rPr>
                      <w:color w:val="auto"/>
                      <w:kern w:val="0"/>
                      <w:sz w:val="18"/>
                      <w:szCs w:val="18"/>
                      <w:highlight w:val="none"/>
                    </w:rPr>
                    <w:t>事故</w:t>
                  </w:r>
                </w:p>
              </w:tc>
            </w:tr>
            <w:tr w14:paraId="6144819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84" w:hRule="atLeast"/>
                <w:jc w:val="center"/>
              </w:trPr>
              <w:tc>
                <w:tcPr>
                  <w:tcW w:w="868" w:type="pct"/>
                  <w:tcBorders>
                    <w:tl2br w:val="nil"/>
                    <w:tr2bl w:val="nil"/>
                  </w:tcBorders>
                  <w:vAlign w:val="center"/>
                </w:tcPr>
                <w:p w14:paraId="5A5C141E">
                  <w:pPr>
                    <w:widowControl/>
                    <w:jc w:val="center"/>
                    <w:rPr>
                      <w:color w:val="auto"/>
                      <w:kern w:val="0"/>
                      <w:sz w:val="18"/>
                      <w:szCs w:val="18"/>
                      <w:highlight w:val="none"/>
                    </w:rPr>
                  </w:pPr>
                  <w:r>
                    <w:rPr>
                      <w:color w:val="auto"/>
                      <w:kern w:val="0"/>
                      <w:sz w:val="18"/>
                      <w:szCs w:val="18"/>
                      <w:highlight w:val="none"/>
                    </w:rPr>
                    <w:t>危废仓库</w:t>
                  </w:r>
                </w:p>
              </w:tc>
              <w:tc>
                <w:tcPr>
                  <w:tcW w:w="798" w:type="pct"/>
                  <w:tcBorders>
                    <w:tl2br w:val="nil"/>
                    <w:tr2bl w:val="nil"/>
                  </w:tcBorders>
                  <w:vAlign w:val="center"/>
                </w:tcPr>
                <w:p w14:paraId="41596FFE">
                  <w:pPr>
                    <w:widowControl/>
                    <w:jc w:val="center"/>
                    <w:rPr>
                      <w:color w:val="auto"/>
                      <w:kern w:val="0"/>
                      <w:sz w:val="18"/>
                      <w:szCs w:val="18"/>
                      <w:highlight w:val="none"/>
                    </w:rPr>
                  </w:pPr>
                  <w:r>
                    <w:rPr>
                      <w:color w:val="auto"/>
                      <w:kern w:val="0"/>
                      <w:sz w:val="18"/>
                      <w:szCs w:val="18"/>
                      <w:highlight w:val="none"/>
                    </w:rPr>
                    <w:t>固废储存</w:t>
                  </w:r>
                </w:p>
              </w:tc>
              <w:tc>
                <w:tcPr>
                  <w:tcW w:w="833" w:type="pct"/>
                  <w:tcBorders>
                    <w:tl2br w:val="nil"/>
                    <w:tr2bl w:val="nil"/>
                  </w:tcBorders>
                  <w:vAlign w:val="center"/>
                </w:tcPr>
                <w:p w14:paraId="439E2564">
                  <w:pPr>
                    <w:widowControl/>
                    <w:jc w:val="center"/>
                    <w:rPr>
                      <w:color w:val="auto"/>
                      <w:kern w:val="0"/>
                      <w:sz w:val="18"/>
                      <w:szCs w:val="18"/>
                      <w:highlight w:val="none"/>
                    </w:rPr>
                  </w:pPr>
                  <w:r>
                    <w:rPr>
                      <w:color w:val="auto"/>
                      <w:kern w:val="0"/>
                      <w:sz w:val="18"/>
                      <w:szCs w:val="18"/>
                      <w:highlight w:val="none"/>
                    </w:rPr>
                    <w:t>地面漫流、垂直入渗</w:t>
                  </w:r>
                </w:p>
              </w:tc>
              <w:tc>
                <w:tcPr>
                  <w:tcW w:w="1133" w:type="pct"/>
                  <w:tcBorders>
                    <w:tl2br w:val="nil"/>
                    <w:tr2bl w:val="nil"/>
                  </w:tcBorders>
                  <w:vAlign w:val="center"/>
                </w:tcPr>
                <w:p w14:paraId="4EAB6C94">
                  <w:pPr>
                    <w:widowControl/>
                    <w:jc w:val="center"/>
                    <w:rPr>
                      <w:color w:val="auto"/>
                      <w:kern w:val="0"/>
                      <w:sz w:val="18"/>
                      <w:szCs w:val="18"/>
                      <w:highlight w:val="none"/>
                    </w:rPr>
                  </w:pPr>
                  <w:r>
                    <w:rPr>
                      <w:color w:val="auto"/>
                      <w:kern w:val="0"/>
                      <w:sz w:val="18"/>
                      <w:szCs w:val="18"/>
                      <w:highlight w:val="none"/>
                    </w:rPr>
                    <w:t>危险废物</w:t>
                  </w:r>
                </w:p>
              </w:tc>
              <w:tc>
                <w:tcPr>
                  <w:tcW w:w="947" w:type="pct"/>
                  <w:tcBorders>
                    <w:tl2br w:val="nil"/>
                    <w:tr2bl w:val="nil"/>
                  </w:tcBorders>
                  <w:vAlign w:val="center"/>
                </w:tcPr>
                <w:p w14:paraId="65D808AE">
                  <w:pPr>
                    <w:widowControl/>
                    <w:jc w:val="center"/>
                    <w:rPr>
                      <w:color w:val="auto"/>
                      <w:kern w:val="0"/>
                      <w:sz w:val="18"/>
                      <w:szCs w:val="18"/>
                      <w:highlight w:val="none"/>
                    </w:rPr>
                  </w:pPr>
                  <w:r>
                    <w:rPr>
                      <w:rFonts w:hint="default"/>
                      <w:color w:val="auto"/>
                      <w:kern w:val="0"/>
                      <w:sz w:val="18"/>
                      <w:szCs w:val="18"/>
                      <w:highlight w:val="none"/>
                      <w:lang w:val="en-US" w:eastAsia="zh-CN"/>
                    </w:rPr>
                    <w:t>废扣式电池</w:t>
                  </w:r>
                  <w:r>
                    <w:rPr>
                      <w:color w:val="auto"/>
                      <w:kern w:val="0"/>
                      <w:sz w:val="18"/>
                      <w:szCs w:val="18"/>
                      <w:highlight w:val="none"/>
                    </w:rPr>
                    <w:t>、废活性炭等</w:t>
                  </w:r>
                </w:p>
              </w:tc>
              <w:tc>
                <w:tcPr>
                  <w:tcW w:w="419" w:type="pct"/>
                  <w:tcBorders>
                    <w:tl2br w:val="nil"/>
                    <w:tr2bl w:val="nil"/>
                  </w:tcBorders>
                  <w:vAlign w:val="center"/>
                </w:tcPr>
                <w:p w14:paraId="528C6F01">
                  <w:pPr>
                    <w:widowControl/>
                    <w:jc w:val="center"/>
                    <w:rPr>
                      <w:color w:val="auto"/>
                      <w:kern w:val="0"/>
                      <w:sz w:val="18"/>
                      <w:szCs w:val="18"/>
                      <w:highlight w:val="none"/>
                    </w:rPr>
                  </w:pPr>
                  <w:r>
                    <w:rPr>
                      <w:color w:val="auto"/>
                      <w:kern w:val="0"/>
                      <w:sz w:val="18"/>
                      <w:szCs w:val="18"/>
                      <w:highlight w:val="none"/>
                    </w:rPr>
                    <w:t>事故</w:t>
                  </w:r>
                </w:p>
              </w:tc>
            </w:tr>
          </w:tbl>
          <w:p w14:paraId="136CD06C">
            <w:pPr>
              <w:adjustRightInd w:val="0"/>
              <w:snapToGrid w:val="0"/>
              <w:spacing w:line="360" w:lineRule="auto"/>
              <w:ind w:firstLine="420" w:firstLineChars="200"/>
              <w:rPr>
                <w:bCs/>
                <w:color w:val="auto"/>
                <w:szCs w:val="21"/>
                <w:highlight w:val="none"/>
              </w:rPr>
            </w:pPr>
            <w:r>
              <w:rPr>
                <w:bCs/>
                <w:color w:val="auto"/>
                <w:szCs w:val="21"/>
                <w:highlight w:val="none"/>
              </w:rPr>
              <w:t>本次环评从环境管理角度，要求建设单位在项目营运期充分重视其自身环保行为，从源头控制、过程防控等方面加强对土壤、地下水环境的保护。</w:t>
            </w:r>
          </w:p>
          <w:p w14:paraId="2D954B37">
            <w:pPr>
              <w:adjustRightInd w:val="0"/>
              <w:snapToGrid w:val="0"/>
              <w:spacing w:line="360" w:lineRule="auto"/>
              <w:ind w:firstLine="420" w:firstLineChars="200"/>
              <w:rPr>
                <w:bCs/>
                <w:color w:val="auto"/>
                <w:szCs w:val="21"/>
                <w:highlight w:val="none"/>
              </w:rPr>
            </w:pPr>
            <w:r>
              <w:rPr>
                <w:bCs/>
                <w:color w:val="auto"/>
                <w:szCs w:val="21"/>
                <w:highlight w:val="none"/>
              </w:rPr>
              <w:t>（1）源头控制</w:t>
            </w:r>
          </w:p>
          <w:p w14:paraId="3B643FD7">
            <w:pPr>
              <w:adjustRightInd w:val="0"/>
              <w:snapToGrid w:val="0"/>
              <w:spacing w:line="360" w:lineRule="auto"/>
              <w:ind w:firstLine="420" w:firstLineChars="200"/>
              <w:rPr>
                <w:bCs/>
                <w:color w:val="auto"/>
                <w:szCs w:val="21"/>
                <w:highlight w:val="none"/>
              </w:rPr>
            </w:pPr>
            <w:r>
              <w:rPr>
                <w:rFonts w:hint="default"/>
                <w:bCs/>
                <w:color w:val="auto"/>
                <w:szCs w:val="21"/>
                <w:highlight w:val="none"/>
              </w:rPr>
              <w:t>日常</w:t>
            </w:r>
            <w:r>
              <w:rPr>
                <w:bCs/>
                <w:color w:val="auto"/>
                <w:szCs w:val="21"/>
                <w:highlight w:val="none"/>
              </w:rPr>
              <w:t>营运过程</w:t>
            </w:r>
            <w:r>
              <w:rPr>
                <w:rFonts w:hint="default"/>
                <w:bCs/>
                <w:color w:val="auto"/>
                <w:szCs w:val="21"/>
                <w:highlight w:val="none"/>
              </w:rPr>
              <w:t>中</w:t>
            </w:r>
            <w:r>
              <w:rPr>
                <w:bCs/>
                <w:color w:val="auto"/>
                <w:szCs w:val="21"/>
                <w:highlight w:val="none"/>
              </w:rPr>
              <w:t>应注意</w:t>
            </w:r>
            <w:r>
              <w:rPr>
                <w:rFonts w:hint="default"/>
                <w:bCs/>
                <w:color w:val="auto"/>
                <w:szCs w:val="21"/>
                <w:highlight w:val="none"/>
              </w:rPr>
              <w:t>原料</w:t>
            </w:r>
            <w:r>
              <w:rPr>
                <w:bCs/>
                <w:color w:val="auto"/>
                <w:szCs w:val="21"/>
                <w:highlight w:val="none"/>
              </w:rPr>
              <w:t>、危险废物等包装的完好性和密封性，降低其转运、贮存过程发生泄漏的隐患。</w:t>
            </w:r>
          </w:p>
          <w:p w14:paraId="6D2272AB">
            <w:pPr>
              <w:adjustRightInd w:val="0"/>
              <w:snapToGrid w:val="0"/>
              <w:spacing w:line="360" w:lineRule="auto"/>
              <w:ind w:firstLine="420" w:firstLineChars="200"/>
              <w:rPr>
                <w:bCs/>
                <w:color w:val="auto"/>
                <w:szCs w:val="21"/>
                <w:highlight w:val="none"/>
              </w:rPr>
            </w:pPr>
            <w:r>
              <w:rPr>
                <w:bCs/>
                <w:color w:val="auto"/>
                <w:szCs w:val="21"/>
                <w:highlight w:val="none"/>
              </w:rPr>
              <w:t>（2）过程防控</w:t>
            </w:r>
          </w:p>
          <w:p w14:paraId="747A0180">
            <w:pPr>
              <w:adjustRightInd w:val="0"/>
              <w:snapToGrid w:val="0"/>
              <w:spacing w:line="360" w:lineRule="auto"/>
              <w:ind w:firstLine="420" w:firstLineChars="200"/>
              <w:rPr>
                <w:rFonts w:hint="default" w:eastAsia="宋体"/>
                <w:bCs/>
                <w:color w:val="auto"/>
                <w:szCs w:val="21"/>
                <w:highlight w:val="none"/>
                <w:lang w:val="en-US" w:eastAsia="zh-CN"/>
              </w:rPr>
            </w:pPr>
            <w:r>
              <w:rPr>
                <w:rFonts w:hint="default"/>
                <w:bCs/>
                <w:color w:val="auto"/>
                <w:szCs w:val="21"/>
                <w:highlight w:val="none"/>
              </w:rPr>
              <w:t>整个厂区地面进行硬化处理，按照下表防渗标准要求设置防渗区，建立防渗设施的检漏系统，防止污染物的跑、冒、滴、漏，将污染物泄漏的环境风险事故降到最低限度。</w:t>
            </w:r>
            <w:r>
              <w:rPr>
                <w:rFonts w:hint="default"/>
                <w:bCs/>
                <w:color w:val="auto"/>
                <w:szCs w:val="21"/>
                <w:highlight w:val="none"/>
                <w:lang w:val="en-US" w:eastAsia="zh-CN"/>
              </w:rPr>
              <w:t>本项目防渗措施见表4-</w:t>
            </w:r>
            <w:r>
              <w:rPr>
                <w:rFonts w:hint="eastAsia"/>
                <w:bCs/>
                <w:color w:val="auto"/>
                <w:szCs w:val="21"/>
                <w:highlight w:val="none"/>
                <w:lang w:val="en-US" w:eastAsia="zh-CN"/>
              </w:rPr>
              <w:t>21</w:t>
            </w:r>
            <w:r>
              <w:rPr>
                <w:rFonts w:hint="default"/>
                <w:bCs/>
                <w:color w:val="auto"/>
                <w:szCs w:val="21"/>
                <w:highlight w:val="none"/>
                <w:lang w:val="en-US" w:eastAsia="zh-CN"/>
              </w:rPr>
              <w:t>。</w:t>
            </w:r>
          </w:p>
          <w:p w14:paraId="040FA78E">
            <w:pPr>
              <w:numPr>
                <w:ilvl w:val="0"/>
                <w:numId w:val="8"/>
              </w:numPr>
              <w:spacing w:line="360" w:lineRule="auto"/>
              <w:jc w:val="center"/>
              <w:rPr>
                <w:rFonts w:hint="default" w:ascii="Times New Roman" w:hAnsi="Times New Roman" w:eastAsia="黑体" w:cs="Times New Roman"/>
                <w:b w:val="0"/>
                <w:bCs w:val="0"/>
                <w:color w:val="auto"/>
                <w:spacing w:val="-10"/>
                <w:szCs w:val="21"/>
                <w:highlight w:val="none"/>
              </w:rPr>
            </w:pPr>
            <w:r>
              <w:rPr>
                <w:rFonts w:hint="default" w:ascii="Times New Roman" w:hAnsi="Times New Roman" w:eastAsia="黑体" w:cs="Times New Roman"/>
                <w:b w:val="0"/>
                <w:bCs w:val="0"/>
                <w:color w:val="auto"/>
                <w:spacing w:val="-10"/>
                <w:szCs w:val="21"/>
                <w:highlight w:val="none"/>
              </w:rPr>
              <w:t>项目厂区部分防控措施一览表</w:t>
            </w:r>
          </w:p>
          <w:tbl>
            <w:tblPr>
              <w:tblStyle w:val="24"/>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0" w:type="dxa"/>
                <w:bottom w:w="0" w:type="dxa"/>
                <w:right w:w="0" w:type="dxa"/>
              </w:tblCellMar>
            </w:tblPr>
            <w:tblGrid>
              <w:gridCol w:w="957"/>
              <w:gridCol w:w="2410"/>
              <w:gridCol w:w="4234"/>
            </w:tblGrid>
            <w:tr w14:paraId="68451B7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29" w:type="pct"/>
                  <w:tcBorders>
                    <w:tl2br w:val="nil"/>
                    <w:tr2bl w:val="nil"/>
                  </w:tcBorders>
                  <w:vAlign w:val="center"/>
                </w:tcPr>
                <w:p w14:paraId="5117068A">
                  <w:pPr>
                    <w:adjustRightInd w:val="0"/>
                    <w:snapToGrid w:val="0"/>
                    <w:jc w:val="center"/>
                    <w:rPr>
                      <w:snapToGrid w:val="0"/>
                      <w:color w:val="auto"/>
                      <w:kern w:val="0"/>
                      <w:sz w:val="18"/>
                      <w:szCs w:val="18"/>
                      <w:highlight w:val="none"/>
                    </w:rPr>
                  </w:pPr>
                  <w:r>
                    <w:rPr>
                      <w:snapToGrid w:val="0"/>
                      <w:color w:val="auto"/>
                      <w:kern w:val="0"/>
                      <w:sz w:val="18"/>
                      <w:szCs w:val="18"/>
                      <w:highlight w:val="none"/>
                    </w:rPr>
                    <w:t>防渗分区</w:t>
                  </w:r>
                </w:p>
              </w:tc>
              <w:tc>
                <w:tcPr>
                  <w:tcW w:w="1585" w:type="pct"/>
                  <w:tcBorders>
                    <w:tl2br w:val="nil"/>
                    <w:tr2bl w:val="nil"/>
                  </w:tcBorders>
                  <w:vAlign w:val="center"/>
                </w:tcPr>
                <w:p w14:paraId="69D9F1FA">
                  <w:pPr>
                    <w:adjustRightInd w:val="0"/>
                    <w:snapToGrid w:val="0"/>
                    <w:jc w:val="center"/>
                    <w:rPr>
                      <w:snapToGrid w:val="0"/>
                      <w:color w:val="auto"/>
                      <w:kern w:val="0"/>
                      <w:sz w:val="18"/>
                      <w:szCs w:val="18"/>
                      <w:highlight w:val="none"/>
                    </w:rPr>
                  </w:pPr>
                  <w:r>
                    <w:rPr>
                      <w:snapToGrid w:val="0"/>
                      <w:color w:val="auto"/>
                      <w:kern w:val="0"/>
                      <w:sz w:val="18"/>
                      <w:szCs w:val="18"/>
                      <w:highlight w:val="none"/>
                    </w:rPr>
                    <w:t>厂内分区</w:t>
                  </w:r>
                </w:p>
              </w:tc>
              <w:tc>
                <w:tcPr>
                  <w:tcW w:w="2784" w:type="pct"/>
                  <w:tcBorders>
                    <w:tl2br w:val="nil"/>
                    <w:tr2bl w:val="nil"/>
                  </w:tcBorders>
                  <w:vAlign w:val="center"/>
                </w:tcPr>
                <w:p w14:paraId="53EBE604">
                  <w:pPr>
                    <w:adjustRightInd w:val="0"/>
                    <w:snapToGrid w:val="0"/>
                    <w:jc w:val="center"/>
                    <w:rPr>
                      <w:snapToGrid w:val="0"/>
                      <w:color w:val="auto"/>
                      <w:kern w:val="0"/>
                      <w:sz w:val="18"/>
                      <w:szCs w:val="18"/>
                      <w:highlight w:val="none"/>
                    </w:rPr>
                  </w:pPr>
                  <w:r>
                    <w:rPr>
                      <w:snapToGrid w:val="0"/>
                      <w:color w:val="auto"/>
                      <w:kern w:val="0"/>
                      <w:sz w:val="18"/>
                      <w:szCs w:val="18"/>
                      <w:highlight w:val="none"/>
                    </w:rPr>
                    <w:t>防渗等级</w:t>
                  </w:r>
                </w:p>
              </w:tc>
            </w:tr>
            <w:tr w14:paraId="132AA05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29" w:type="pct"/>
                  <w:tcBorders>
                    <w:tl2br w:val="nil"/>
                    <w:tr2bl w:val="nil"/>
                  </w:tcBorders>
                  <w:vAlign w:val="center"/>
                </w:tcPr>
                <w:p w14:paraId="50BF73F6">
                  <w:pPr>
                    <w:adjustRightInd w:val="0"/>
                    <w:snapToGrid w:val="0"/>
                    <w:jc w:val="center"/>
                    <w:rPr>
                      <w:snapToGrid w:val="0"/>
                      <w:color w:val="auto"/>
                      <w:kern w:val="0"/>
                      <w:sz w:val="18"/>
                      <w:szCs w:val="18"/>
                      <w:highlight w:val="none"/>
                    </w:rPr>
                  </w:pPr>
                  <w:r>
                    <w:rPr>
                      <w:snapToGrid w:val="0"/>
                      <w:color w:val="auto"/>
                      <w:kern w:val="0"/>
                      <w:sz w:val="18"/>
                      <w:szCs w:val="18"/>
                      <w:highlight w:val="none"/>
                    </w:rPr>
                    <w:t>简单防渗区</w:t>
                  </w:r>
                </w:p>
              </w:tc>
              <w:tc>
                <w:tcPr>
                  <w:tcW w:w="1585" w:type="pct"/>
                  <w:tcBorders>
                    <w:tl2br w:val="nil"/>
                    <w:tr2bl w:val="nil"/>
                  </w:tcBorders>
                  <w:vAlign w:val="center"/>
                </w:tcPr>
                <w:p w14:paraId="2ED77706">
                  <w:pPr>
                    <w:adjustRightInd w:val="0"/>
                    <w:snapToGrid w:val="0"/>
                    <w:jc w:val="center"/>
                    <w:rPr>
                      <w:snapToGrid w:val="0"/>
                      <w:color w:val="auto"/>
                      <w:kern w:val="0"/>
                      <w:sz w:val="18"/>
                      <w:szCs w:val="18"/>
                      <w:highlight w:val="none"/>
                    </w:rPr>
                  </w:pPr>
                  <w:r>
                    <w:rPr>
                      <w:rFonts w:hint="default" w:ascii="Times New Roman" w:hAnsi="Times New Roman"/>
                      <w:bCs/>
                      <w:snapToGrid w:val="0"/>
                      <w:color w:val="auto"/>
                      <w:kern w:val="0"/>
                      <w:sz w:val="18"/>
                      <w:szCs w:val="18"/>
                      <w:highlight w:val="none"/>
                    </w:rPr>
                    <w:t>办公场所</w:t>
                  </w:r>
                </w:p>
              </w:tc>
              <w:tc>
                <w:tcPr>
                  <w:tcW w:w="2784" w:type="pct"/>
                  <w:tcBorders>
                    <w:tl2br w:val="nil"/>
                    <w:tr2bl w:val="nil"/>
                  </w:tcBorders>
                  <w:vAlign w:val="center"/>
                </w:tcPr>
                <w:p w14:paraId="7BA18025">
                  <w:pPr>
                    <w:adjustRightInd w:val="0"/>
                    <w:snapToGrid w:val="0"/>
                    <w:jc w:val="center"/>
                    <w:rPr>
                      <w:snapToGrid w:val="0"/>
                      <w:color w:val="auto"/>
                      <w:kern w:val="0"/>
                      <w:sz w:val="18"/>
                      <w:szCs w:val="18"/>
                      <w:highlight w:val="none"/>
                    </w:rPr>
                  </w:pPr>
                  <w:r>
                    <w:rPr>
                      <w:snapToGrid w:val="0"/>
                      <w:color w:val="auto"/>
                      <w:kern w:val="0"/>
                      <w:sz w:val="18"/>
                      <w:szCs w:val="18"/>
                      <w:highlight w:val="none"/>
                    </w:rPr>
                    <w:t>一般地面硬化，不需设置防渗等级</w:t>
                  </w:r>
                </w:p>
              </w:tc>
            </w:tr>
            <w:tr w14:paraId="2CA581F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29" w:type="pct"/>
                  <w:tcBorders>
                    <w:tl2br w:val="nil"/>
                    <w:tr2bl w:val="nil"/>
                  </w:tcBorders>
                  <w:vAlign w:val="center"/>
                </w:tcPr>
                <w:p w14:paraId="63D59F85">
                  <w:pPr>
                    <w:adjustRightInd w:val="0"/>
                    <w:snapToGrid w:val="0"/>
                    <w:jc w:val="center"/>
                    <w:rPr>
                      <w:snapToGrid w:val="0"/>
                      <w:color w:val="auto"/>
                      <w:kern w:val="0"/>
                      <w:sz w:val="18"/>
                      <w:szCs w:val="18"/>
                      <w:highlight w:val="none"/>
                    </w:rPr>
                  </w:pPr>
                  <w:r>
                    <w:rPr>
                      <w:snapToGrid w:val="0"/>
                      <w:color w:val="auto"/>
                      <w:kern w:val="0"/>
                      <w:sz w:val="18"/>
                      <w:szCs w:val="18"/>
                      <w:highlight w:val="none"/>
                    </w:rPr>
                    <w:t>一般防渗区</w:t>
                  </w:r>
                </w:p>
              </w:tc>
              <w:tc>
                <w:tcPr>
                  <w:tcW w:w="1585" w:type="pct"/>
                  <w:tcBorders>
                    <w:tl2br w:val="nil"/>
                    <w:tr2bl w:val="nil"/>
                  </w:tcBorders>
                  <w:vAlign w:val="center"/>
                </w:tcPr>
                <w:p w14:paraId="3C5762B3">
                  <w:pPr>
                    <w:adjustRightInd w:val="0"/>
                    <w:snapToGrid w:val="0"/>
                    <w:jc w:val="center"/>
                    <w:rPr>
                      <w:snapToGrid w:val="0"/>
                      <w:color w:val="auto"/>
                      <w:kern w:val="0"/>
                      <w:sz w:val="18"/>
                      <w:szCs w:val="18"/>
                      <w:highlight w:val="none"/>
                    </w:rPr>
                  </w:pPr>
                  <w:r>
                    <w:rPr>
                      <w:rFonts w:hint="default" w:ascii="Times New Roman" w:hAnsi="Times New Roman"/>
                      <w:bCs/>
                      <w:snapToGrid w:val="0"/>
                      <w:color w:val="auto"/>
                      <w:kern w:val="0"/>
                      <w:sz w:val="18"/>
                      <w:szCs w:val="18"/>
                      <w:highlight w:val="none"/>
                    </w:rPr>
                    <w:t>一般原材料仓库、一般固废仓、</w:t>
                  </w:r>
                  <w:r>
                    <w:rPr>
                      <w:rFonts w:hint="default"/>
                      <w:snapToGrid w:val="0"/>
                      <w:color w:val="auto"/>
                      <w:kern w:val="0"/>
                      <w:sz w:val="18"/>
                      <w:szCs w:val="18"/>
                      <w:highlight w:val="none"/>
                    </w:rPr>
                    <w:t>生产车间</w:t>
                  </w:r>
                </w:p>
              </w:tc>
              <w:tc>
                <w:tcPr>
                  <w:tcW w:w="2784" w:type="pct"/>
                  <w:tcBorders>
                    <w:tl2br w:val="nil"/>
                    <w:tr2bl w:val="nil"/>
                  </w:tcBorders>
                  <w:vAlign w:val="center"/>
                </w:tcPr>
                <w:p w14:paraId="79280059">
                  <w:pPr>
                    <w:adjustRightInd w:val="0"/>
                    <w:snapToGrid w:val="0"/>
                    <w:jc w:val="center"/>
                    <w:rPr>
                      <w:snapToGrid w:val="0"/>
                      <w:color w:val="auto"/>
                      <w:kern w:val="0"/>
                      <w:sz w:val="18"/>
                      <w:szCs w:val="18"/>
                      <w:highlight w:val="none"/>
                    </w:rPr>
                  </w:pPr>
                  <w:r>
                    <w:rPr>
                      <w:snapToGrid w:val="0"/>
                      <w:color w:val="auto"/>
                      <w:kern w:val="0"/>
                      <w:sz w:val="18"/>
                      <w:szCs w:val="18"/>
                      <w:highlight w:val="none"/>
                    </w:rPr>
                    <w:t>进行地面硬化，参照GB18599-2020《一般工业固体废物贮存、处置场污染控制标准》要求进行建设或等效黏土防渗层Mb≥1.5m，防渗系数≤1.0×10</w:t>
                  </w:r>
                  <w:r>
                    <w:rPr>
                      <w:snapToGrid w:val="0"/>
                      <w:color w:val="auto"/>
                      <w:kern w:val="0"/>
                      <w:sz w:val="18"/>
                      <w:szCs w:val="18"/>
                      <w:highlight w:val="none"/>
                      <w:vertAlign w:val="superscript"/>
                    </w:rPr>
                    <w:t>-7</w:t>
                  </w:r>
                  <w:r>
                    <w:rPr>
                      <w:snapToGrid w:val="0"/>
                      <w:color w:val="auto"/>
                      <w:kern w:val="0"/>
                      <w:sz w:val="18"/>
                      <w:szCs w:val="18"/>
                      <w:highlight w:val="none"/>
                    </w:rPr>
                    <w:t>cm/s。</w:t>
                  </w:r>
                </w:p>
              </w:tc>
            </w:tr>
            <w:tr w14:paraId="4D9BFCC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29" w:type="pct"/>
                  <w:tcBorders>
                    <w:tl2br w:val="nil"/>
                    <w:tr2bl w:val="nil"/>
                  </w:tcBorders>
                  <w:vAlign w:val="center"/>
                </w:tcPr>
                <w:p w14:paraId="145117D2">
                  <w:pPr>
                    <w:adjustRightInd w:val="0"/>
                    <w:snapToGrid w:val="0"/>
                    <w:jc w:val="center"/>
                    <w:rPr>
                      <w:snapToGrid w:val="0"/>
                      <w:color w:val="auto"/>
                      <w:kern w:val="0"/>
                      <w:sz w:val="18"/>
                      <w:szCs w:val="18"/>
                      <w:highlight w:val="none"/>
                    </w:rPr>
                  </w:pPr>
                  <w:r>
                    <w:rPr>
                      <w:snapToGrid w:val="0"/>
                      <w:color w:val="auto"/>
                      <w:kern w:val="0"/>
                      <w:sz w:val="18"/>
                      <w:szCs w:val="18"/>
                      <w:highlight w:val="none"/>
                    </w:rPr>
                    <w:t>重点防渗区</w:t>
                  </w:r>
                </w:p>
              </w:tc>
              <w:tc>
                <w:tcPr>
                  <w:tcW w:w="1585" w:type="pct"/>
                  <w:tcBorders>
                    <w:tl2br w:val="nil"/>
                    <w:tr2bl w:val="nil"/>
                  </w:tcBorders>
                  <w:vAlign w:val="center"/>
                </w:tcPr>
                <w:p w14:paraId="4F4E3C26">
                  <w:pPr>
                    <w:adjustRightInd w:val="0"/>
                    <w:snapToGrid w:val="0"/>
                    <w:jc w:val="center"/>
                    <w:rPr>
                      <w:snapToGrid w:val="0"/>
                      <w:color w:val="auto"/>
                      <w:kern w:val="0"/>
                      <w:sz w:val="18"/>
                      <w:szCs w:val="18"/>
                      <w:highlight w:val="none"/>
                    </w:rPr>
                  </w:pPr>
                  <w:r>
                    <w:rPr>
                      <w:rFonts w:hint="default"/>
                      <w:snapToGrid w:val="0"/>
                      <w:color w:val="auto"/>
                      <w:kern w:val="0"/>
                      <w:sz w:val="18"/>
                      <w:szCs w:val="18"/>
                      <w:highlight w:val="none"/>
                    </w:rPr>
                    <w:t>危废仓库</w:t>
                  </w:r>
                </w:p>
              </w:tc>
              <w:tc>
                <w:tcPr>
                  <w:tcW w:w="2784" w:type="pct"/>
                  <w:tcBorders>
                    <w:tl2br w:val="nil"/>
                    <w:tr2bl w:val="nil"/>
                  </w:tcBorders>
                  <w:vAlign w:val="center"/>
                </w:tcPr>
                <w:p w14:paraId="7C345DD3">
                  <w:pPr>
                    <w:adjustRightInd w:val="0"/>
                    <w:snapToGrid w:val="0"/>
                    <w:jc w:val="center"/>
                    <w:rPr>
                      <w:snapToGrid w:val="0"/>
                      <w:color w:val="auto"/>
                      <w:kern w:val="0"/>
                      <w:sz w:val="18"/>
                      <w:szCs w:val="18"/>
                      <w:highlight w:val="none"/>
                    </w:rPr>
                  </w:pPr>
                  <w:r>
                    <w:rPr>
                      <w:snapToGrid w:val="0"/>
                      <w:color w:val="auto"/>
                      <w:kern w:val="0"/>
                      <w:sz w:val="18"/>
                      <w:szCs w:val="18"/>
                      <w:highlight w:val="none"/>
                    </w:rPr>
                    <w:t>参照GB18597-2023《危险废物贮存污染控制标准》进行建设或等效黏土防渗层Mb≥6.0m，防渗系数≤1.0×10</w:t>
                  </w:r>
                  <w:r>
                    <w:rPr>
                      <w:snapToGrid w:val="0"/>
                      <w:color w:val="auto"/>
                      <w:kern w:val="0"/>
                      <w:sz w:val="18"/>
                      <w:szCs w:val="18"/>
                      <w:highlight w:val="none"/>
                      <w:vertAlign w:val="superscript"/>
                    </w:rPr>
                    <w:t>-7</w:t>
                  </w:r>
                  <w:r>
                    <w:rPr>
                      <w:snapToGrid w:val="0"/>
                      <w:color w:val="auto"/>
                      <w:kern w:val="0"/>
                      <w:sz w:val="18"/>
                      <w:szCs w:val="18"/>
                      <w:highlight w:val="none"/>
                    </w:rPr>
                    <w:t>cm/s。</w:t>
                  </w:r>
                </w:p>
              </w:tc>
            </w:tr>
          </w:tbl>
          <w:p w14:paraId="65A484FB">
            <w:pPr>
              <w:spacing w:line="360" w:lineRule="auto"/>
              <w:rPr>
                <w:b/>
                <w:bCs/>
                <w:color w:val="auto"/>
                <w:highlight w:val="none"/>
              </w:rPr>
            </w:pPr>
          </w:p>
          <w:p w14:paraId="018E1BF9">
            <w:pPr>
              <w:spacing w:line="360" w:lineRule="auto"/>
              <w:rPr>
                <w:b/>
                <w:bCs/>
                <w:color w:val="auto"/>
                <w:sz w:val="22"/>
                <w:szCs w:val="28"/>
                <w:highlight w:val="none"/>
              </w:rPr>
            </w:pPr>
            <w:r>
              <w:rPr>
                <w:rFonts w:hint="default"/>
                <w:b/>
                <w:bCs/>
                <w:color w:val="auto"/>
                <w:sz w:val="22"/>
                <w:szCs w:val="28"/>
                <w:highlight w:val="none"/>
              </w:rPr>
              <w:t>4.2.6 环境风险</w:t>
            </w:r>
          </w:p>
          <w:p w14:paraId="09B6ACA1">
            <w:pPr>
              <w:spacing w:line="360" w:lineRule="auto"/>
              <w:rPr>
                <w:b/>
                <w:bCs/>
                <w:color w:val="auto"/>
                <w:highlight w:val="none"/>
              </w:rPr>
            </w:pPr>
            <w:r>
              <w:rPr>
                <w:rFonts w:hint="default"/>
                <w:b/>
                <w:bCs/>
                <w:color w:val="auto"/>
                <w:highlight w:val="none"/>
              </w:rPr>
              <w:t>1、风险调查</w:t>
            </w:r>
          </w:p>
          <w:p w14:paraId="6CA86F08">
            <w:pPr>
              <w:pStyle w:val="20"/>
              <w:spacing w:before="0" w:beforeAutospacing="0" w:after="0" w:afterAutospacing="0" w:line="360" w:lineRule="auto"/>
              <w:ind w:firstLine="420" w:firstLineChars="200"/>
              <w:rPr>
                <w:rFonts w:ascii="Times New Roman" w:hAnsi="Times New Roman"/>
                <w:color w:val="auto"/>
                <w:sz w:val="21"/>
                <w:szCs w:val="21"/>
                <w:highlight w:val="none"/>
              </w:rPr>
            </w:pPr>
            <w:r>
              <w:rPr>
                <w:rFonts w:hint="default" w:ascii="Times New Roman" w:hAnsi="Times New Roman"/>
                <w:color w:val="auto"/>
                <w:sz w:val="21"/>
                <w:szCs w:val="21"/>
                <w:highlight w:val="none"/>
              </w:rPr>
              <w:t>根据《建设项目环境风险评价导则》（HJ 169-2018）附录B，本项目</w:t>
            </w:r>
            <w:r>
              <w:rPr>
                <w:rFonts w:hint="eastAsia" w:ascii="Times New Roman" w:hAnsi="Times New Roman"/>
                <w:color w:val="auto"/>
                <w:sz w:val="21"/>
                <w:szCs w:val="21"/>
                <w:highlight w:val="none"/>
                <w:lang w:val="en-US" w:eastAsia="zh-CN"/>
              </w:rPr>
              <w:t>主要风险</w:t>
            </w:r>
            <w:r>
              <w:rPr>
                <w:rFonts w:hint="default" w:ascii="Times New Roman" w:hAnsi="Times New Roman"/>
                <w:color w:val="auto"/>
                <w:sz w:val="21"/>
                <w:szCs w:val="21"/>
                <w:highlight w:val="none"/>
              </w:rPr>
              <w:t>物质为</w:t>
            </w:r>
            <w:r>
              <w:rPr>
                <w:rFonts w:hint="eastAsia" w:ascii="Times New Roman" w:hAnsi="Times New Roman"/>
                <w:color w:val="auto"/>
                <w:sz w:val="21"/>
                <w:szCs w:val="21"/>
                <w:highlight w:val="none"/>
                <w:lang w:val="en-US" w:eastAsia="zh-CN"/>
              </w:rPr>
              <w:t>含锰物质</w:t>
            </w:r>
            <w:r>
              <w:rPr>
                <w:rFonts w:hint="default" w:ascii="Times New Roman" w:hAnsi="Times New Roman"/>
                <w:color w:val="auto"/>
                <w:sz w:val="21"/>
                <w:szCs w:val="21"/>
                <w:highlight w:val="none"/>
              </w:rPr>
              <w:t>、</w:t>
            </w:r>
            <w:r>
              <w:rPr>
                <w:rFonts w:hint="eastAsia" w:ascii="Times New Roman" w:hAnsi="Times New Roman"/>
                <w:color w:val="auto"/>
                <w:sz w:val="21"/>
                <w:szCs w:val="21"/>
                <w:highlight w:val="none"/>
                <w:lang w:val="en-US" w:eastAsia="zh-CN"/>
              </w:rPr>
              <w:t>NMP、电解液</w:t>
            </w:r>
            <w:r>
              <w:rPr>
                <w:rFonts w:hint="default" w:ascii="Times New Roman" w:hAnsi="Times New Roman"/>
                <w:color w:val="auto"/>
                <w:sz w:val="21"/>
                <w:szCs w:val="21"/>
                <w:highlight w:val="none"/>
              </w:rPr>
              <w:t>和危险废物，本项目环境风险识别情况见表</w:t>
            </w:r>
            <w:r>
              <w:rPr>
                <w:rFonts w:hint="default" w:ascii="Times New Roman" w:hAnsi="Times New Roman"/>
                <w:color w:val="auto"/>
                <w:sz w:val="21"/>
                <w:szCs w:val="21"/>
                <w:highlight w:val="none"/>
                <w:lang w:val="en-US" w:eastAsia="zh-CN"/>
              </w:rPr>
              <w:t>4-</w:t>
            </w:r>
            <w:r>
              <w:rPr>
                <w:rFonts w:hint="eastAsia" w:ascii="Times New Roman" w:hAnsi="Times New Roman"/>
                <w:color w:val="auto"/>
                <w:sz w:val="21"/>
                <w:szCs w:val="21"/>
                <w:highlight w:val="none"/>
                <w:lang w:val="en-US" w:eastAsia="zh-CN"/>
              </w:rPr>
              <w:t>22</w:t>
            </w:r>
            <w:r>
              <w:rPr>
                <w:rFonts w:hint="default" w:ascii="Times New Roman" w:hAnsi="Times New Roman"/>
                <w:color w:val="auto"/>
                <w:sz w:val="21"/>
                <w:szCs w:val="21"/>
                <w:highlight w:val="none"/>
              </w:rPr>
              <w:t>：</w:t>
            </w:r>
          </w:p>
          <w:p w14:paraId="562A5E9F">
            <w:pPr>
              <w:numPr>
                <w:ilvl w:val="0"/>
                <w:numId w:val="8"/>
              </w:numPr>
              <w:spacing w:line="360" w:lineRule="auto"/>
              <w:jc w:val="center"/>
              <w:rPr>
                <w:rFonts w:hint="default" w:ascii="Times New Roman" w:hAnsi="Times New Roman" w:eastAsia="黑体" w:cs="Times New Roman"/>
                <w:b w:val="0"/>
                <w:bCs w:val="0"/>
                <w:color w:val="auto"/>
                <w:szCs w:val="21"/>
                <w:highlight w:val="none"/>
              </w:rPr>
            </w:pPr>
            <w:r>
              <w:rPr>
                <w:rFonts w:hint="default" w:ascii="Times New Roman" w:hAnsi="Times New Roman" w:eastAsia="黑体" w:cs="Times New Roman"/>
                <w:b w:val="0"/>
                <w:bCs w:val="0"/>
                <w:color w:val="auto"/>
                <w:spacing w:val="-10"/>
                <w:szCs w:val="21"/>
                <w:highlight w:val="none"/>
                <w:lang w:val="en-US" w:eastAsia="zh-CN"/>
              </w:rPr>
              <w:t xml:space="preserve"> </w:t>
            </w:r>
            <w:r>
              <w:rPr>
                <w:rFonts w:hint="default" w:ascii="Times New Roman" w:hAnsi="Times New Roman" w:eastAsia="黑体" w:cs="Times New Roman"/>
                <w:b w:val="0"/>
                <w:bCs w:val="0"/>
                <w:color w:val="auto"/>
                <w:spacing w:val="-10"/>
                <w:szCs w:val="21"/>
                <w:highlight w:val="none"/>
              </w:rPr>
              <w:t>建设项目环境风险识别表</w:t>
            </w:r>
          </w:p>
          <w:tbl>
            <w:tblPr>
              <w:tblStyle w:val="24"/>
              <w:tblW w:w="7628" w:type="dxa"/>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
            <w:tblGrid>
              <w:gridCol w:w="643"/>
              <w:gridCol w:w="1029"/>
              <w:gridCol w:w="1020"/>
              <w:gridCol w:w="1368"/>
              <w:gridCol w:w="1250"/>
              <w:gridCol w:w="1252"/>
              <w:gridCol w:w="1066"/>
            </w:tblGrid>
            <w:tr w14:paraId="2A18868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1095" w:type="pct"/>
                  <w:gridSpan w:val="2"/>
                  <w:tcBorders>
                    <w:tl2br w:val="nil"/>
                    <w:tr2bl w:val="nil"/>
                  </w:tcBorders>
                  <w:vAlign w:val="center"/>
                </w:tcPr>
                <w:p w14:paraId="0266BC85">
                  <w:pPr>
                    <w:widowControl/>
                    <w:jc w:val="center"/>
                    <w:textAlignment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kern w:val="0"/>
                      <w:sz w:val="18"/>
                      <w:szCs w:val="18"/>
                      <w:highlight w:val="none"/>
                      <w:lang w:bidi="ar"/>
                    </w:rPr>
                    <w:t>危险单元</w:t>
                  </w:r>
                </w:p>
              </w:tc>
              <w:tc>
                <w:tcPr>
                  <w:tcW w:w="668" w:type="pct"/>
                  <w:vMerge w:val="restart"/>
                  <w:tcBorders>
                    <w:tl2br w:val="nil"/>
                    <w:tr2bl w:val="nil"/>
                  </w:tcBorders>
                  <w:vAlign w:val="center"/>
                </w:tcPr>
                <w:p w14:paraId="0983A725">
                  <w:pPr>
                    <w:widowControl/>
                    <w:jc w:val="center"/>
                    <w:textAlignment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kern w:val="0"/>
                      <w:sz w:val="18"/>
                      <w:szCs w:val="18"/>
                      <w:highlight w:val="none"/>
                      <w:lang w:bidi="ar"/>
                    </w:rPr>
                    <w:t>潜在风险源</w:t>
                  </w:r>
                </w:p>
              </w:tc>
              <w:tc>
                <w:tcPr>
                  <w:tcW w:w="896" w:type="pct"/>
                  <w:vMerge w:val="restart"/>
                  <w:tcBorders>
                    <w:tl2br w:val="nil"/>
                    <w:tr2bl w:val="nil"/>
                  </w:tcBorders>
                  <w:vAlign w:val="center"/>
                </w:tcPr>
                <w:p w14:paraId="59E657CB">
                  <w:pPr>
                    <w:widowControl/>
                    <w:jc w:val="center"/>
                    <w:textAlignment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kern w:val="0"/>
                      <w:sz w:val="18"/>
                      <w:szCs w:val="18"/>
                      <w:highlight w:val="none"/>
                      <w:lang w:bidi="ar"/>
                    </w:rPr>
                    <w:t>主要风险物质</w:t>
                  </w:r>
                </w:p>
              </w:tc>
              <w:tc>
                <w:tcPr>
                  <w:tcW w:w="819" w:type="pct"/>
                  <w:vMerge w:val="restart"/>
                  <w:tcBorders>
                    <w:tl2br w:val="nil"/>
                    <w:tr2bl w:val="nil"/>
                  </w:tcBorders>
                  <w:vAlign w:val="center"/>
                </w:tcPr>
                <w:p w14:paraId="5699498E">
                  <w:pPr>
                    <w:widowControl/>
                    <w:jc w:val="center"/>
                    <w:textAlignment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kern w:val="0"/>
                      <w:sz w:val="18"/>
                      <w:szCs w:val="18"/>
                      <w:highlight w:val="none"/>
                      <w:lang w:bidi="ar"/>
                    </w:rPr>
                    <w:t>环境风险类型</w:t>
                  </w:r>
                </w:p>
              </w:tc>
              <w:tc>
                <w:tcPr>
                  <w:tcW w:w="820" w:type="pct"/>
                  <w:vMerge w:val="restart"/>
                  <w:tcBorders>
                    <w:tl2br w:val="nil"/>
                    <w:tr2bl w:val="nil"/>
                  </w:tcBorders>
                  <w:vAlign w:val="center"/>
                </w:tcPr>
                <w:p w14:paraId="318E2EF0">
                  <w:pPr>
                    <w:widowControl/>
                    <w:jc w:val="center"/>
                    <w:textAlignment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kern w:val="0"/>
                      <w:sz w:val="18"/>
                      <w:szCs w:val="18"/>
                      <w:highlight w:val="none"/>
                      <w:lang w:bidi="ar"/>
                    </w:rPr>
                    <w:t>环境影响途径</w:t>
                  </w:r>
                </w:p>
              </w:tc>
              <w:tc>
                <w:tcPr>
                  <w:tcW w:w="698" w:type="pct"/>
                  <w:vMerge w:val="restart"/>
                  <w:tcBorders>
                    <w:tl2br w:val="nil"/>
                    <w:tr2bl w:val="nil"/>
                  </w:tcBorders>
                  <w:vAlign w:val="center"/>
                </w:tcPr>
                <w:p w14:paraId="59760017">
                  <w:pPr>
                    <w:widowControl/>
                    <w:jc w:val="center"/>
                    <w:textAlignment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kern w:val="0"/>
                      <w:sz w:val="18"/>
                      <w:szCs w:val="18"/>
                      <w:highlight w:val="none"/>
                      <w:lang w:bidi="ar"/>
                    </w:rPr>
                    <w:t>可能受影响的敏感目标</w:t>
                  </w:r>
                </w:p>
              </w:tc>
            </w:tr>
            <w:tr w14:paraId="0B69241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421" w:type="pct"/>
                  <w:tcBorders>
                    <w:tl2br w:val="nil"/>
                    <w:tr2bl w:val="nil"/>
                  </w:tcBorders>
                  <w:vAlign w:val="center"/>
                </w:tcPr>
                <w:p w14:paraId="4C20FEE6">
                  <w:pPr>
                    <w:widowControl/>
                    <w:jc w:val="center"/>
                    <w:textAlignment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kern w:val="0"/>
                      <w:sz w:val="18"/>
                      <w:szCs w:val="18"/>
                      <w:highlight w:val="none"/>
                      <w:lang w:bidi="ar"/>
                    </w:rPr>
                    <w:t>单元</w:t>
                  </w:r>
                </w:p>
              </w:tc>
              <w:tc>
                <w:tcPr>
                  <w:tcW w:w="674" w:type="pct"/>
                  <w:tcBorders>
                    <w:tl2br w:val="nil"/>
                    <w:tr2bl w:val="nil"/>
                  </w:tcBorders>
                  <w:vAlign w:val="center"/>
                </w:tcPr>
                <w:p w14:paraId="3FEBA01C">
                  <w:pPr>
                    <w:widowControl/>
                    <w:jc w:val="center"/>
                    <w:textAlignment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kern w:val="0"/>
                      <w:sz w:val="18"/>
                      <w:szCs w:val="18"/>
                      <w:highlight w:val="none"/>
                      <w:lang w:bidi="ar"/>
                    </w:rPr>
                    <w:t>工序</w:t>
                  </w:r>
                  <w:r>
                    <w:rPr>
                      <w:color w:val="auto"/>
                      <w:kern w:val="0"/>
                      <w:sz w:val="18"/>
                      <w:szCs w:val="18"/>
                      <w:highlight w:val="none"/>
                      <w:lang w:bidi="ar"/>
                    </w:rPr>
                    <w:t>/</w:t>
                  </w:r>
                  <w:r>
                    <w:rPr>
                      <w:rFonts w:hint="default" w:ascii="Times New Roman" w:hAnsi="Times New Roman" w:cs="Times New Roman"/>
                      <w:color w:val="auto"/>
                      <w:kern w:val="0"/>
                      <w:sz w:val="18"/>
                      <w:szCs w:val="18"/>
                      <w:highlight w:val="none"/>
                      <w:lang w:bidi="ar"/>
                    </w:rPr>
                    <w:t>生产线</w:t>
                  </w:r>
                </w:p>
              </w:tc>
              <w:tc>
                <w:tcPr>
                  <w:tcW w:w="668" w:type="pct"/>
                  <w:vMerge w:val="continue"/>
                  <w:tcBorders>
                    <w:tl2br w:val="nil"/>
                    <w:tr2bl w:val="nil"/>
                  </w:tcBorders>
                  <w:vAlign w:val="center"/>
                </w:tcPr>
                <w:p w14:paraId="347D7AB4">
                  <w:pPr>
                    <w:jc w:val="center"/>
                    <w:rPr>
                      <w:rFonts w:hint="default" w:ascii="Times New Roman" w:hAnsi="Times New Roman" w:cs="Times New Roman"/>
                      <w:color w:val="auto"/>
                      <w:sz w:val="18"/>
                      <w:szCs w:val="18"/>
                      <w:highlight w:val="none"/>
                    </w:rPr>
                  </w:pPr>
                </w:p>
              </w:tc>
              <w:tc>
                <w:tcPr>
                  <w:tcW w:w="896" w:type="pct"/>
                  <w:vMerge w:val="continue"/>
                  <w:tcBorders>
                    <w:tl2br w:val="nil"/>
                    <w:tr2bl w:val="nil"/>
                  </w:tcBorders>
                  <w:vAlign w:val="center"/>
                </w:tcPr>
                <w:p w14:paraId="788A6E6B">
                  <w:pPr>
                    <w:jc w:val="center"/>
                    <w:rPr>
                      <w:rFonts w:hint="default" w:ascii="Times New Roman" w:hAnsi="Times New Roman" w:cs="Times New Roman"/>
                      <w:color w:val="auto"/>
                      <w:sz w:val="18"/>
                      <w:szCs w:val="18"/>
                      <w:highlight w:val="none"/>
                    </w:rPr>
                  </w:pPr>
                </w:p>
              </w:tc>
              <w:tc>
                <w:tcPr>
                  <w:tcW w:w="819" w:type="pct"/>
                  <w:vMerge w:val="continue"/>
                  <w:tcBorders>
                    <w:tl2br w:val="nil"/>
                    <w:tr2bl w:val="nil"/>
                  </w:tcBorders>
                  <w:vAlign w:val="center"/>
                </w:tcPr>
                <w:p w14:paraId="2300A354">
                  <w:pPr>
                    <w:jc w:val="center"/>
                    <w:rPr>
                      <w:rFonts w:hint="default" w:ascii="Times New Roman" w:hAnsi="Times New Roman" w:cs="Times New Roman"/>
                      <w:color w:val="auto"/>
                      <w:sz w:val="18"/>
                      <w:szCs w:val="18"/>
                      <w:highlight w:val="none"/>
                    </w:rPr>
                  </w:pPr>
                </w:p>
              </w:tc>
              <w:tc>
                <w:tcPr>
                  <w:tcW w:w="820" w:type="pct"/>
                  <w:vMerge w:val="continue"/>
                  <w:tcBorders>
                    <w:tl2br w:val="nil"/>
                    <w:tr2bl w:val="nil"/>
                  </w:tcBorders>
                  <w:vAlign w:val="center"/>
                </w:tcPr>
                <w:p w14:paraId="0E515631">
                  <w:pPr>
                    <w:jc w:val="center"/>
                    <w:rPr>
                      <w:rFonts w:hint="default" w:ascii="Times New Roman" w:hAnsi="Times New Roman" w:cs="Times New Roman"/>
                      <w:color w:val="auto"/>
                      <w:sz w:val="18"/>
                      <w:szCs w:val="18"/>
                      <w:highlight w:val="none"/>
                    </w:rPr>
                  </w:pPr>
                </w:p>
              </w:tc>
              <w:tc>
                <w:tcPr>
                  <w:tcW w:w="698" w:type="pct"/>
                  <w:vMerge w:val="continue"/>
                  <w:tcBorders>
                    <w:tl2br w:val="nil"/>
                    <w:tr2bl w:val="nil"/>
                  </w:tcBorders>
                  <w:vAlign w:val="center"/>
                </w:tcPr>
                <w:p w14:paraId="6DF2A94C">
                  <w:pPr>
                    <w:jc w:val="center"/>
                    <w:rPr>
                      <w:rFonts w:hint="default" w:ascii="Times New Roman" w:hAnsi="Times New Roman" w:cs="Times New Roman"/>
                      <w:color w:val="auto"/>
                      <w:sz w:val="18"/>
                      <w:szCs w:val="18"/>
                      <w:highlight w:val="none"/>
                    </w:rPr>
                  </w:pPr>
                </w:p>
              </w:tc>
            </w:tr>
            <w:tr w14:paraId="24647AD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421" w:type="pct"/>
                  <w:vMerge w:val="restart"/>
                  <w:tcBorders>
                    <w:tl2br w:val="nil"/>
                    <w:tr2bl w:val="nil"/>
                  </w:tcBorders>
                  <w:vAlign w:val="center"/>
                </w:tcPr>
                <w:p w14:paraId="3203193F">
                  <w:pPr>
                    <w:widowControl/>
                    <w:jc w:val="center"/>
                    <w:textAlignment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kern w:val="0"/>
                      <w:sz w:val="18"/>
                      <w:szCs w:val="18"/>
                      <w:highlight w:val="none"/>
                      <w:lang w:bidi="ar"/>
                    </w:rPr>
                    <w:t>正极材料制备</w:t>
                  </w:r>
                </w:p>
              </w:tc>
              <w:tc>
                <w:tcPr>
                  <w:tcW w:w="674" w:type="pct"/>
                  <w:tcBorders>
                    <w:tl2br w:val="nil"/>
                    <w:tr2bl w:val="nil"/>
                  </w:tcBorders>
                  <w:vAlign w:val="center"/>
                </w:tcPr>
                <w:p w14:paraId="2023A161">
                  <w:pPr>
                    <w:widowControl/>
                    <w:jc w:val="center"/>
                    <w:textAlignment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kern w:val="0"/>
                      <w:sz w:val="18"/>
                      <w:szCs w:val="18"/>
                      <w:highlight w:val="none"/>
                      <w:lang w:bidi="ar"/>
                    </w:rPr>
                    <w:t>研磨</w:t>
                  </w:r>
                </w:p>
              </w:tc>
              <w:tc>
                <w:tcPr>
                  <w:tcW w:w="668" w:type="pct"/>
                  <w:tcBorders>
                    <w:tl2br w:val="nil"/>
                    <w:tr2bl w:val="nil"/>
                  </w:tcBorders>
                  <w:vAlign w:val="center"/>
                </w:tcPr>
                <w:p w14:paraId="3FAA0C38">
                  <w:pPr>
                    <w:widowControl/>
                    <w:jc w:val="center"/>
                    <w:textAlignment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kern w:val="0"/>
                      <w:sz w:val="18"/>
                      <w:szCs w:val="18"/>
                      <w:highlight w:val="none"/>
                      <w:lang w:bidi="ar"/>
                    </w:rPr>
                    <w:t>砂磨机</w:t>
                  </w:r>
                </w:p>
              </w:tc>
              <w:tc>
                <w:tcPr>
                  <w:tcW w:w="896" w:type="pct"/>
                  <w:tcBorders>
                    <w:tl2br w:val="nil"/>
                    <w:tr2bl w:val="nil"/>
                  </w:tcBorders>
                  <w:vAlign w:val="center"/>
                </w:tcPr>
                <w:p w14:paraId="2D000159">
                  <w:pPr>
                    <w:widowControl/>
                    <w:jc w:val="center"/>
                    <w:textAlignment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kern w:val="0"/>
                      <w:sz w:val="18"/>
                      <w:szCs w:val="18"/>
                      <w:highlight w:val="none"/>
                      <w:lang w:bidi="ar"/>
                    </w:rPr>
                    <w:t>锰及其氧化物</w:t>
                  </w:r>
                </w:p>
              </w:tc>
              <w:tc>
                <w:tcPr>
                  <w:tcW w:w="819" w:type="pct"/>
                  <w:tcBorders>
                    <w:tl2br w:val="nil"/>
                    <w:tr2bl w:val="nil"/>
                  </w:tcBorders>
                  <w:vAlign w:val="center"/>
                </w:tcPr>
                <w:p w14:paraId="45955EAA">
                  <w:pPr>
                    <w:widowControl/>
                    <w:jc w:val="center"/>
                    <w:textAlignment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kern w:val="0"/>
                      <w:sz w:val="18"/>
                      <w:szCs w:val="18"/>
                      <w:highlight w:val="none"/>
                      <w:lang w:bidi="ar"/>
                    </w:rPr>
                    <w:t>泄露</w:t>
                  </w:r>
                </w:p>
              </w:tc>
              <w:tc>
                <w:tcPr>
                  <w:tcW w:w="820" w:type="pct"/>
                  <w:tcBorders>
                    <w:tl2br w:val="nil"/>
                    <w:tr2bl w:val="nil"/>
                  </w:tcBorders>
                  <w:vAlign w:val="center"/>
                </w:tcPr>
                <w:p w14:paraId="4B1D7438">
                  <w:pPr>
                    <w:widowControl/>
                    <w:jc w:val="center"/>
                    <w:textAlignment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kern w:val="0"/>
                      <w:sz w:val="18"/>
                      <w:szCs w:val="18"/>
                      <w:highlight w:val="none"/>
                      <w:lang w:bidi="ar"/>
                    </w:rPr>
                    <w:t>地下水</w:t>
                  </w:r>
                </w:p>
              </w:tc>
              <w:tc>
                <w:tcPr>
                  <w:tcW w:w="698" w:type="pct"/>
                  <w:vMerge w:val="restart"/>
                  <w:tcBorders>
                    <w:tl2br w:val="nil"/>
                    <w:tr2bl w:val="nil"/>
                  </w:tcBorders>
                  <w:vAlign w:val="center"/>
                </w:tcPr>
                <w:p w14:paraId="1F011B6B">
                  <w:pPr>
                    <w:widowControl/>
                    <w:jc w:val="center"/>
                    <w:textAlignment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kern w:val="0"/>
                      <w:sz w:val="18"/>
                      <w:szCs w:val="18"/>
                      <w:highlight w:val="none"/>
                      <w:lang w:bidi="ar"/>
                    </w:rPr>
                    <w:t>火灾爆炸等次生污染或废气超标排放事故主要会影响附近的员工等；废水、废液泄漏事故可能会影响附近的地表水体等，或入渗对土壤地下水造成污染；废水超标排放可能会对污水处理厂造成冲击影响。</w:t>
                  </w:r>
                </w:p>
              </w:tc>
            </w:tr>
            <w:tr w14:paraId="7DD1E29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421" w:type="pct"/>
                  <w:vMerge w:val="continue"/>
                  <w:tcBorders>
                    <w:tl2br w:val="nil"/>
                    <w:tr2bl w:val="nil"/>
                  </w:tcBorders>
                  <w:vAlign w:val="center"/>
                </w:tcPr>
                <w:p w14:paraId="6C3C0EAF">
                  <w:pPr>
                    <w:jc w:val="center"/>
                    <w:rPr>
                      <w:rFonts w:hint="default" w:ascii="Times New Roman" w:hAnsi="Times New Roman" w:cs="Times New Roman"/>
                      <w:color w:val="auto"/>
                      <w:sz w:val="18"/>
                      <w:szCs w:val="18"/>
                      <w:highlight w:val="none"/>
                    </w:rPr>
                  </w:pPr>
                </w:p>
              </w:tc>
              <w:tc>
                <w:tcPr>
                  <w:tcW w:w="674" w:type="pct"/>
                  <w:tcBorders>
                    <w:tl2br w:val="nil"/>
                    <w:tr2bl w:val="nil"/>
                  </w:tcBorders>
                  <w:vAlign w:val="center"/>
                </w:tcPr>
                <w:p w14:paraId="5328E136">
                  <w:pPr>
                    <w:widowControl/>
                    <w:jc w:val="center"/>
                    <w:textAlignment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kern w:val="0"/>
                      <w:sz w:val="18"/>
                      <w:szCs w:val="18"/>
                      <w:highlight w:val="none"/>
                      <w:lang w:bidi="ar"/>
                    </w:rPr>
                    <w:t>喷雾干燥</w:t>
                  </w:r>
                </w:p>
              </w:tc>
              <w:tc>
                <w:tcPr>
                  <w:tcW w:w="668" w:type="pct"/>
                  <w:tcBorders>
                    <w:tl2br w:val="nil"/>
                    <w:tr2bl w:val="nil"/>
                  </w:tcBorders>
                  <w:vAlign w:val="center"/>
                </w:tcPr>
                <w:p w14:paraId="3DED3E9A">
                  <w:pPr>
                    <w:widowControl/>
                    <w:jc w:val="center"/>
                    <w:textAlignment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kern w:val="0"/>
                      <w:sz w:val="18"/>
                      <w:szCs w:val="18"/>
                      <w:highlight w:val="none"/>
                      <w:lang w:bidi="ar"/>
                    </w:rPr>
                    <w:t>喷雾干燥器</w:t>
                  </w:r>
                </w:p>
              </w:tc>
              <w:tc>
                <w:tcPr>
                  <w:tcW w:w="896" w:type="pct"/>
                  <w:tcBorders>
                    <w:tl2br w:val="nil"/>
                    <w:tr2bl w:val="nil"/>
                  </w:tcBorders>
                  <w:vAlign w:val="center"/>
                </w:tcPr>
                <w:p w14:paraId="1D8208A6">
                  <w:pPr>
                    <w:widowControl/>
                    <w:jc w:val="center"/>
                    <w:textAlignment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kern w:val="0"/>
                      <w:sz w:val="18"/>
                      <w:szCs w:val="18"/>
                      <w:highlight w:val="none"/>
                      <w:lang w:bidi="ar"/>
                    </w:rPr>
                    <w:t>锰及其氧化物</w:t>
                  </w:r>
                </w:p>
              </w:tc>
              <w:tc>
                <w:tcPr>
                  <w:tcW w:w="819" w:type="pct"/>
                  <w:tcBorders>
                    <w:tl2br w:val="nil"/>
                    <w:tr2bl w:val="nil"/>
                  </w:tcBorders>
                  <w:vAlign w:val="center"/>
                </w:tcPr>
                <w:p w14:paraId="284A020D">
                  <w:pPr>
                    <w:widowControl/>
                    <w:jc w:val="center"/>
                    <w:textAlignment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kern w:val="0"/>
                      <w:sz w:val="18"/>
                      <w:szCs w:val="18"/>
                      <w:highlight w:val="none"/>
                      <w:lang w:bidi="ar"/>
                    </w:rPr>
                    <w:t>泄露</w:t>
                  </w:r>
                  <w:r>
                    <w:rPr>
                      <w:color w:val="auto"/>
                      <w:kern w:val="0"/>
                      <w:sz w:val="18"/>
                      <w:szCs w:val="18"/>
                      <w:highlight w:val="none"/>
                      <w:lang w:bidi="ar"/>
                    </w:rPr>
                    <w:t>/</w:t>
                  </w:r>
                  <w:r>
                    <w:rPr>
                      <w:rFonts w:hint="default" w:ascii="Times New Roman" w:hAnsi="Times New Roman" w:cs="Times New Roman"/>
                      <w:color w:val="auto"/>
                      <w:kern w:val="0"/>
                      <w:sz w:val="18"/>
                      <w:szCs w:val="18"/>
                      <w:highlight w:val="none"/>
                      <w:lang w:bidi="ar"/>
                    </w:rPr>
                    <w:t>火灾爆炸</w:t>
                  </w:r>
                </w:p>
              </w:tc>
              <w:tc>
                <w:tcPr>
                  <w:tcW w:w="820" w:type="pct"/>
                  <w:tcBorders>
                    <w:tl2br w:val="nil"/>
                    <w:tr2bl w:val="nil"/>
                  </w:tcBorders>
                  <w:vAlign w:val="center"/>
                </w:tcPr>
                <w:p w14:paraId="5EE98B02">
                  <w:pPr>
                    <w:widowControl/>
                    <w:jc w:val="center"/>
                    <w:textAlignment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kern w:val="0"/>
                      <w:sz w:val="18"/>
                      <w:szCs w:val="18"/>
                      <w:highlight w:val="none"/>
                      <w:lang w:bidi="ar"/>
                    </w:rPr>
                    <w:t>大气</w:t>
                  </w:r>
                </w:p>
              </w:tc>
              <w:tc>
                <w:tcPr>
                  <w:tcW w:w="698" w:type="pct"/>
                  <w:vMerge w:val="continue"/>
                  <w:tcBorders>
                    <w:tl2br w:val="nil"/>
                    <w:tr2bl w:val="nil"/>
                  </w:tcBorders>
                  <w:vAlign w:val="center"/>
                </w:tcPr>
                <w:p w14:paraId="4839CBE6">
                  <w:pPr>
                    <w:jc w:val="center"/>
                    <w:rPr>
                      <w:rFonts w:hint="default" w:ascii="Times New Roman" w:hAnsi="Times New Roman" w:cs="Times New Roman"/>
                      <w:color w:val="auto"/>
                      <w:sz w:val="18"/>
                      <w:szCs w:val="18"/>
                      <w:highlight w:val="none"/>
                    </w:rPr>
                  </w:pPr>
                </w:p>
              </w:tc>
            </w:tr>
            <w:tr w14:paraId="134FFA2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421" w:type="pct"/>
                  <w:vMerge w:val="continue"/>
                  <w:tcBorders>
                    <w:tl2br w:val="nil"/>
                    <w:tr2bl w:val="nil"/>
                  </w:tcBorders>
                  <w:vAlign w:val="center"/>
                </w:tcPr>
                <w:p w14:paraId="041C60AE">
                  <w:pPr>
                    <w:jc w:val="center"/>
                    <w:rPr>
                      <w:rFonts w:hint="default" w:ascii="Times New Roman" w:hAnsi="Times New Roman" w:cs="Times New Roman"/>
                      <w:color w:val="auto"/>
                      <w:sz w:val="18"/>
                      <w:szCs w:val="18"/>
                      <w:highlight w:val="none"/>
                    </w:rPr>
                  </w:pPr>
                </w:p>
              </w:tc>
              <w:tc>
                <w:tcPr>
                  <w:tcW w:w="674" w:type="pct"/>
                  <w:tcBorders>
                    <w:tl2br w:val="nil"/>
                    <w:tr2bl w:val="nil"/>
                  </w:tcBorders>
                  <w:vAlign w:val="center"/>
                </w:tcPr>
                <w:p w14:paraId="1FBC4149">
                  <w:pPr>
                    <w:widowControl/>
                    <w:jc w:val="center"/>
                    <w:textAlignment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kern w:val="0"/>
                      <w:sz w:val="18"/>
                      <w:szCs w:val="18"/>
                      <w:highlight w:val="none"/>
                      <w:lang w:bidi="ar"/>
                    </w:rPr>
                    <w:t>气氛烧结</w:t>
                  </w:r>
                </w:p>
              </w:tc>
              <w:tc>
                <w:tcPr>
                  <w:tcW w:w="668" w:type="pct"/>
                  <w:tcBorders>
                    <w:tl2br w:val="nil"/>
                    <w:tr2bl w:val="nil"/>
                  </w:tcBorders>
                  <w:vAlign w:val="center"/>
                </w:tcPr>
                <w:p w14:paraId="3D390C87">
                  <w:pPr>
                    <w:widowControl/>
                    <w:jc w:val="center"/>
                    <w:textAlignment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kern w:val="0"/>
                      <w:sz w:val="18"/>
                      <w:szCs w:val="18"/>
                      <w:highlight w:val="none"/>
                      <w:lang w:bidi="ar"/>
                    </w:rPr>
                    <w:t>箱式炉</w:t>
                  </w:r>
                </w:p>
              </w:tc>
              <w:tc>
                <w:tcPr>
                  <w:tcW w:w="896" w:type="pct"/>
                  <w:tcBorders>
                    <w:tl2br w:val="nil"/>
                    <w:tr2bl w:val="nil"/>
                  </w:tcBorders>
                  <w:vAlign w:val="center"/>
                </w:tcPr>
                <w:p w14:paraId="0E3DCD4A">
                  <w:pPr>
                    <w:widowControl/>
                    <w:jc w:val="center"/>
                    <w:textAlignment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kern w:val="0"/>
                      <w:sz w:val="18"/>
                      <w:szCs w:val="18"/>
                      <w:highlight w:val="none"/>
                      <w:lang w:bidi="ar"/>
                    </w:rPr>
                    <w:t>锰及其氧化物</w:t>
                  </w:r>
                </w:p>
              </w:tc>
              <w:tc>
                <w:tcPr>
                  <w:tcW w:w="819" w:type="pct"/>
                  <w:tcBorders>
                    <w:tl2br w:val="nil"/>
                    <w:tr2bl w:val="nil"/>
                  </w:tcBorders>
                  <w:vAlign w:val="center"/>
                </w:tcPr>
                <w:p w14:paraId="0E4C81D5">
                  <w:pPr>
                    <w:widowControl/>
                    <w:jc w:val="center"/>
                    <w:textAlignment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kern w:val="0"/>
                      <w:sz w:val="18"/>
                      <w:szCs w:val="18"/>
                      <w:highlight w:val="none"/>
                      <w:lang w:bidi="ar"/>
                    </w:rPr>
                    <w:t>火灾爆炸</w:t>
                  </w:r>
                </w:p>
              </w:tc>
              <w:tc>
                <w:tcPr>
                  <w:tcW w:w="820" w:type="pct"/>
                  <w:tcBorders>
                    <w:tl2br w:val="nil"/>
                    <w:tr2bl w:val="nil"/>
                  </w:tcBorders>
                  <w:vAlign w:val="center"/>
                </w:tcPr>
                <w:p w14:paraId="4608EC34">
                  <w:pPr>
                    <w:widowControl/>
                    <w:jc w:val="center"/>
                    <w:textAlignment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kern w:val="0"/>
                      <w:sz w:val="18"/>
                      <w:szCs w:val="18"/>
                      <w:highlight w:val="none"/>
                      <w:lang w:bidi="ar"/>
                    </w:rPr>
                    <w:t>大气</w:t>
                  </w:r>
                </w:p>
              </w:tc>
              <w:tc>
                <w:tcPr>
                  <w:tcW w:w="698" w:type="pct"/>
                  <w:vMerge w:val="continue"/>
                  <w:tcBorders>
                    <w:tl2br w:val="nil"/>
                    <w:tr2bl w:val="nil"/>
                  </w:tcBorders>
                  <w:vAlign w:val="center"/>
                </w:tcPr>
                <w:p w14:paraId="06D8F057">
                  <w:pPr>
                    <w:jc w:val="center"/>
                    <w:rPr>
                      <w:rFonts w:hint="default" w:ascii="Times New Roman" w:hAnsi="Times New Roman" w:cs="Times New Roman"/>
                      <w:color w:val="auto"/>
                      <w:sz w:val="18"/>
                      <w:szCs w:val="18"/>
                      <w:highlight w:val="none"/>
                    </w:rPr>
                  </w:pPr>
                </w:p>
              </w:tc>
            </w:tr>
            <w:tr w14:paraId="279B241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421" w:type="pct"/>
                  <w:vMerge w:val="continue"/>
                  <w:tcBorders>
                    <w:tl2br w:val="nil"/>
                    <w:tr2bl w:val="nil"/>
                  </w:tcBorders>
                  <w:vAlign w:val="center"/>
                </w:tcPr>
                <w:p w14:paraId="35A9FFAA">
                  <w:pPr>
                    <w:jc w:val="center"/>
                    <w:rPr>
                      <w:rFonts w:hint="default" w:ascii="Times New Roman" w:hAnsi="Times New Roman" w:cs="Times New Roman"/>
                      <w:color w:val="auto"/>
                      <w:sz w:val="18"/>
                      <w:szCs w:val="18"/>
                      <w:highlight w:val="none"/>
                    </w:rPr>
                  </w:pPr>
                </w:p>
              </w:tc>
              <w:tc>
                <w:tcPr>
                  <w:tcW w:w="674" w:type="pct"/>
                  <w:tcBorders>
                    <w:tl2br w:val="nil"/>
                    <w:tr2bl w:val="nil"/>
                  </w:tcBorders>
                  <w:vAlign w:val="center"/>
                </w:tcPr>
                <w:p w14:paraId="0710E019">
                  <w:pPr>
                    <w:widowControl/>
                    <w:jc w:val="center"/>
                    <w:textAlignment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kern w:val="0"/>
                      <w:sz w:val="18"/>
                      <w:szCs w:val="18"/>
                      <w:highlight w:val="none"/>
                      <w:lang w:bidi="ar"/>
                    </w:rPr>
                    <w:t>气流粉碎</w:t>
                  </w:r>
                </w:p>
              </w:tc>
              <w:tc>
                <w:tcPr>
                  <w:tcW w:w="668" w:type="pct"/>
                  <w:tcBorders>
                    <w:tl2br w:val="nil"/>
                    <w:tr2bl w:val="nil"/>
                  </w:tcBorders>
                  <w:vAlign w:val="center"/>
                </w:tcPr>
                <w:p w14:paraId="70879C76">
                  <w:pPr>
                    <w:widowControl/>
                    <w:jc w:val="center"/>
                    <w:textAlignment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kern w:val="0"/>
                      <w:sz w:val="18"/>
                      <w:szCs w:val="18"/>
                      <w:highlight w:val="none"/>
                      <w:lang w:bidi="ar"/>
                    </w:rPr>
                    <w:t>气流粉碎机</w:t>
                  </w:r>
                </w:p>
              </w:tc>
              <w:tc>
                <w:tcPr>
                  <w:tcW w:w="896" w:type="pct"/>
                  <w:tcBorders>
                    <w:tl2br w:val="nil"/>
                    <w:tr2bl w:val="nil"/>
                  </w:tcBorders>
                  <w:vAlign w:val="center"/>
                </w:tcPr>
                <w:p w14:paraId="634E4B46">
                  <w:pPr>
                    <w:widowControl/>
                    <w:jc w:val="center"/>
                    <w:textAlignment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kern w:val="0"/>
                      <w:sz w:val="18"/>
                      <w:szCs w:val="18"/>
                      <w:highlight w:val="none"/>
                      <w:lang w:bidi="ar"/>
                    </w:rPr>
                    <w:t>锰及其氧化物</w:t>
                  </w:r>
                </w:p>
              </w:tc>
              <w:tc>
                <w:tcPr>
                  <w:tcW w:w="819" w:type="pct"/>
                  <w:tcBorders>
                    <w:tl2br w:val="nil"/>
                    <w:tr2bl w:val="nil"/>
                  </w:tcBorders>
                  <w:vAlign w:val="center"/>
                </w:tcPr>
                <w:p w14:paraId="33855F06">
                  <w:pPr>
                    <w:widowControl/>
                    <w:jc w:val="center"/>
                    <w:textAlignment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kern w:val="0"/>
                      <w:sz w:val="18"/>
                      <w:szCs w:val="18"/>
                      <w:highlight w:val="none"/>
                      <w:lang w:bidi="ar"/>
                    </w:rPr>
                    <w:t>火灾爆炸</w:t>
                  </w:r>
                </w:p>
              </w:tc>
              <w:tc>
                <w:tcPr>
                  <w:tcW w:w="820" w:type="pct"/>
                  <w:tcBorders>
                    <w:tl2br w:val="nil"/>
                    <w:tr2bl w:val="nil"/>
                  </w:tcBorders>
                  <w:vAlign w:val="center"/>
                </w:tcPr>
                <w:p w14:paraId="10CB2C1A">
                  <w:pPr>
                    <w:widowControl/>
                    <w:jc w:val="center"/>
                    <w:textAlignment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kern w:val="0"/>
                      <w:sz w:val="18"/>
                      <w:szCs w:val="18"/>
                      <w:highlight w:val="none"/>
                      <w:lang w:bidi="ar"/>
                    </w:rPr>
                    <w:t>大气</w:t>
                  </w:r>
                </w:p>
              </w:tc>
              <w:tc>
                <w:tcPr>
                  <w:tcW w:w="698" w:type="pct"/>
                  <w:vMerge w:val="continue"/>
                  <w:tcBorders>
                    <w:tl2br w:val="nil"/>
                    <w:tr2bl w:val="nil"/>
                  </w:tcBorders>
                  <w:vAlign w:val="center"/>
                </w:tcPr>
                <w:p w14:paraId="4C4F675C">
                  <w:pPr>
                    <w:jc w:val="center"/>
                    <w:rPr>
                      <w:rFonts w:hint="default" w:ascii="Times New Roman" w:hAnsi="Times New Roman" w:cs="Times New Roman"/>
                      <w:color w:val="auto"/>
                      <w:sz w:val="18"/>
                      <w:szCs w:val="18"/>
                      <w:highlight w:val="none"/>
                    </w:rPr>
                  </w:pPr>
                </w:p>
              </w:tc>
            </w:tr>
            <w:tr w14:paraId="6B2BE79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421" w:type="pct"/>
                  <w:vMerge w:val="continue"/>
                  <w:tcBorders>
                    <w:tl2br w:val="nil"/>
                    <w:tr2bl w:val="nil"/>
                  </w:tcBorders>
                  <w:vAlign w:val="center"/>
                </w:tcPr>
                <w:p w14:paraId="1ED3162C">
                  <w:pPr>
                    <w:jc w:val="center"/>
                    <w:rPr>
                      <w:rFonts w:hint="default" w:ascii="Times New Roman" w:hAnsi="Times New Roman" w:cs="Times New Roman"/>
                      <w:color w:val="auto"/>
                      <w:sz w:val="18"/>
                      <w:szCs w:val="18"/>
                      <w:highlight w:val="none"/>
                    </w:rPr>
                  </w:pPr>
                </w:p>
              </w:tc>
              <w:tc>
                <w:tcPr>
                  <w:tcW w:w="674" w:type="pct"/>
                  <w:tcBorders>
                    <w:tl2br w:val="nil"/>
                    <w:tr2bl w:val="nil"/>
                  </w:tcBorders>
                  <w:vAlign w:val="center"/>
                </w:tcPr>
                <w:p w14:paraId="70BCB75C">
                  <w:pPr>
                    <w:widowControl/>
                    <w:jc w:val="center"/>
                    <w:textAlignment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kern w:val="0"/>
                      <w:sz w:val="18"/>
                      <w:szCs w:val="18"/>
                      <w:highlight w:val="none"/>
                      <w:lang w:bidi="ar"/>
                    </w:rPr>
                    <w:t>涂布干燥</w:t>
                  </w:r>
                </w:p>
              </w:tc>
              <w:tc>
                <w:tcPr>
                  <w:tcW w:w="668" w:type="pct"/>
                  <w:tcBorders>
                    <w:tl2br w:val="nil"/>
                    <w:tr2bl w:val="nil"/>
                  </w:tcBorders>
                  <w:vAlign w:val="center"/>
                </w:tcPr>
                <w:p w14:paraId="26A00FC6">
                  <w:pPr>
                    <w:widowControl/>
                    <w:jc w:val="center"/>
                    <w:textAlignment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kern w:val="0"/>
                      <w:sz w:val="18"/>
                      <w:szCs w:val="18"/>
                      <w:highlight w:val="none"/>
                      <w:lang w:bidi="ar"/>
                    </w:rPr>
                    <w:t>平板涂覆机</w:t>
                  </w:r>
                </w:p>
              </w:tc>
              <w:tc>
                <w:tcPr>
                  <w:tcW w:w="896" w:type="pct"/>
                  <w:tcBorders>
                    <w:tl2br w:val="nil"/>
                    <w:tr2bl w:val="nil"/>
                  </w:tcBorders>
                  <w:vAlign w:val="center"/>
                </w:tcPr>
                <w:p w14:paraId="1FDCAD46">
                  <w:pPr>
                    <w:widowControl/>
                    <w:jc w:val="center"/>
                    <w:textAlignment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kern w:val="0"/>
                      <w:sz w:val="18"/>
                      <w:szCs w:val="18"/>
                      <w:highlight w:val="none"/>
                      <w:lang w:bidi="ar"/>
                    </w:rPr>
                    <w:t>NMP</w:t>
                  </w:r>
                </w:p>
              </w:tc>
              <w:tc>
                <w:tcPr>
                  <w:tcW w:w="819" w:type="pct"/>
                  <w:tcBorders>
                    <w:tl2br w:val="nil"/>
                    <w:tr2bl w:val="nil"/>
                  </w:tcBorders>
                  <w:vAlign w:val="center"/>
                </w:tcPr>
                <w:p w14:paraId="231C2CF1">
                  <w:pPr>
                    <w:widowControl/>
                    <w:jc w:val="center"/>
                    <w:textAlignment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kern w:val="0"/>
                      <w:sz w:val="18"/>
                      <w:szCs w:val="18"/>
                      <w:highlight w:val="none"/>
                      <w:lang w:bidi="ar"/>
                    </w:rPr>
                    <w:t>泄露</w:t>
                  </w:r>
                  <w:r>
                    <w:rPr>
                      <w:color w:val="auto"/>
                      <w:kern w:val="0"/>
                      <w:sz w:val="18"/>
                      <w:szCs w:val="18"/>
                      <w:highlight w:val="none"/>
                      <w:lang w:bidi="ar"/>
                    </w:rPr>
                    <w:t>/</w:t>
                  </w:r>
                  <w:r>
                    <w:rPr>
                      <w:rFonts w:hint="default" w:ascii="Times New Roman" w:hAnsi="Times New Roman" w:cs="Times New Roman"/>
                      <w:color w:val="auto"/>
                      <w:kern w:val="0"/>
                      <w:sz w:val="18"/>
                      <w:szCs w:val="18"/>
                      <w:highlight w:val="none"/>
                      <w:lang w:bidi="ar"/>
                    </w:rPr>
                    <w:t>火灾爆炸</w:t>
                  </w:r>
                  <w:r>
                    <w:rPr>
                      <w:color w:val="auto"/>
                      <w:kern w:val="0"/>
                      <w:sz w:val="18"/>
                      <w:szCs w:val="18"/>
                      <w:highlight w:val="none"/>
                      <w:lang w:bidi="ar"/>
                    </w:rPr>
                    <w:t>/</w:t>
                  </w:r>
                  <w:r>
                    <w:rPr>
                      <w:rFonts w:hint="default" w:ascii="Times New Roman" w:hAnsi="Times New Roman" w:cs="Times New Roman"/>
                      <w:color w:val="auto"/>
                      <w:kern w:val="0"/>
                      <w:sz w:val="18"/>
                      <w:szCs w:val="18"/>
                      <w:highlight w:val="none"/>
                      <w:lang w:bidi="ar"/>
                    </w:rPr>
                    <w:t>中毒</w:t>
                  </w:r>
                </w:p>
              </w:tc>
              <w:tc>
                <w:tcPr>
                  <w:tcW w:w="820" w:type="pct"/>
                  <w:tcBorders>
                    <w:tl2br w:val="nil"/>
                    <w:tr2bl w:val="nil"/>
                  </w:tcBorders>
                  <w:vAlign w:val="center"/>
                </w:tcPr>
                <w:p w14:paraId="1E68281A">
                  <w:pPr>
                    <w:widowControl/>
                    <w:jc w:val="center"/>
                    <w:textAlignment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kern w:val="0"/>
                      <w:sz w:val="18"/>
                      <w:szCs w:val="18"/>
                      <w:highlight w:val="none"/>
                      <w:lang w:bidi="ar"/>
                    </w:rPr>
                    <w:t>大气</w:t>
                  </w:r>
                </w:p>
              </w:tc>
              <w:tc>
                <w:tcPr>
                  <w:tcW w:w="698" w:type="pct"/>
                  <w:vMerge w:val="continue"/>
                  <w:tcBorders>
                    <w:tl2br w:val="nil"/>
                    <w:tr2bl w:val="nil"/>
                  </w:tcBorders>
                  <w:vAlign w:val="center"/>
                </w:tcPr>
                <w:p w14:paraId="0DC7EE52">
                  <w:pPr>
                    <w:jc w:val="center"/>
                    <w:rPr>
                      <w:rFonts w:hint="default" w:ascii="Times New Roman" w:hAnsi="Times New Roman" w:cs="Times New Roman"/>
                      <w:color w:val="auto"/>
                      <w:sz w:val="18"/>
                      <w:szCs w:val="18"/>
                      <w:highlight w:val="none"/>
                    </w:rPr>
                  </w:pPr>
                </w:p>
              </w:tc>
            </w:tr>
            <w:tr w14:paraId="0468BAC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421" w:type="pct"/>
                  <w:tcBorders>
                    <w:tl2br w:val="nil"/>
                    <w:tr2bl w:val="nil"/>
                  </w:tcBorders>
                  <w:vAlign w:val="center"/>
                </w:tcPr>
                <w:p w14:paraId="2C69737C">
                  <w:pPr>
                    <w:widowControl/>
                    <w:jc w:val="center"/>
                    <w:textAlignment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kern w:val="0"/>
                      <w:sz w:val="18"/>
                      <w:szCs w:val="18"/>
                      <w:highlight w:val="none"/>
                      <w:lang w:bidi="ar"/>
                    </w:rPr>
                    <w:t>扣电组装测试</w:t>
                  </w:r>
                </w:p>
              </w:tc>
              <w:tc>
                <w:tcPr>
                  <w:tcW w:w="674" w:type="pct"/>
                  <w:tcBorders>
                    <w:tl2br w:val="nil"/>
                    <w:tr2bl w:val="nil"/>
                  </w:tcBorders>
                  <w:vAlign w:val="center"/>
                </w:tcPr>
                <w:p w14:paraId="6822A477">
                  <w:pPr>
                    <w:widowControl/>
                    <w:jc w:val="center"/>
                    <w:textAlignment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kern w:val="0"/>
                      <w:sz w:val="18"/>
                      <w:szCs w:val="18"/>
                      <w:highlight w:val="none"/>
                      <w:lang w:bidi="ar"/>
                    </w:rPr>
                    <w:t>扣电性能测试</w:t>
                  </w:r>
                </w:p>
              </w:tc>
              <w:tc>
                <w:tcPr>
                  <w:tcW w:w="668" w:type="pct"/>
                  <w:tcBorders>
                    <w:tl2br w:val="nil"/>
                    <w:tr2bl w:val="nil"/>
                  </w:tcBorders>
                  <w:vAlign w:val="center"/>
                </w:tcPr>
                <w:p w14:paraId="7CFAF69A">
                  <w:pPr>
                    <w:widowControl/>
                    <w:jc w:val="center"/>
                    <w:textAlignment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kern w:val="0"/>
                      <w:sz w:val="18"/>
                      <w:szCs w:val="18"/>
                      <w:highlight w:val="none"/>
                      <w:lang w:bidi="ar"/>
                    </w:rPr>
                    <w:t>扣点测试机</w:t>
                  </w:r>
                </w:p>
              </w:tc>
              <w:tc>
                <w:tcPr>
                  <w:tcW w:w="896" w:type="pct"/>
                  <w:tcBorders>
                    <w:tl2br w:val="nil"/>
                    <w:tr2bl w:val="nil"/>
                  </w:tcBorders>
                  <w:vAlign w:val="center"/>
                </w:tcPr>
                <w:p w14:paraId="20EDF65A">
                  <w:pPr>
                    <w:widowControl/>
                    <w:jc w:val="center"/>
                    <w:textAlignment w:val="center"/>
                    <w:rPr>
                      <w:color w:val="auto"/>
                      <w:sz w:val="18"/>
                      <w:szCs w:val="18"/>
                      <w:highlight w:val="none"/>
                    </w:rPr>
                  </w:pPr>
                  <w:r>
                    <w:rPr>
                      <w:color w:val="auto"/>
                      <w:kern w:val="0"/>
                      <w:sz w:val="18"/>
                      <w:szCs w:val="18"/>
                      <w:highlight w:val="none"/>
                      <w:lang w:bidi="ar"/>
                    </w:rPr>
                    <w:t>NMP</w:t>
                  </w:r>
                  <w:r>
                    <w:rPr>
                      <w:rFonts w:hint="default" w:ascii="Times New Roman" w:hAnsi="Times New Roman" w:cs="Times New Roman"/>
                      <w:color w:val="auto"/>
                      <w:kern w:val="0"/>
                      <w:sz w:val="18"/>
                      <w:szCs w:val="18"/>
                      <w:highlight w:val="none"/>
                      <w:lang w:bidi="ar"/>
                    </w:rPr>
                    <w:t>、电解液</w:t>
                  </w:r>
                </w:p>
              </w:tc>
              <w:tc>
                <w:tcPr>
                  <w:tcW w:w="819" w:type="pct"/>
                  <w:tcBorders>
                    <w:tl2br w:val="nil"/>
                    <w:tr2bl w:val="nil"/>
                  </w:tcBorders>
                  <w:vAlign w:val="center"/>
                </w:tcPr>
                <w:p w14:paraId="7B3DA3D7">
                  <w:pPr>
                    <w:widowControl/>
                    <w:jc w:val="center"/>
                    <w:textAlignment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kern w:val="0"/>
                      <w:sz w:val="18"/>
                      <w:szCs w:val="18"/>
                      <w:highlight w:val="none"/>
                      <w:lang w:bidi="ar"/>
                    </w:rPr>
                    <w:t>火灾爆炸</w:t>
                  </w:r>
                </w:p>
              </w:tc>
              <w:tc>
                <w:tcPr>
                  <w:tcW w:w="820" w:type="pct"/>
                  <w:tcBorders>
                    <w:tl2br w:val="nil"/>
                    <w:tr2bl w:val="nil"/>
                  </w:tcBorders>
                  <w:vAlign w:val="center"/>
                </w:tcPr>
                <w:p w14:paraId="15843764">
                  <w:pPr>
                    <w:widowControl/>
                    <w:jc w:val="center"/>
                    <w:textAlignment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kern w:val="0"/>
                      <w:sz w:val="18"/>
                      <w:szCs w:val="18"/>
                      <w:highlight w:val="none"/>
                      <w:lang w:bidi="ar"/>
                    </w:rPr>
                    <w:t>大气</w:t>
                  </w:r>
                </w:p>
              </w:tc>
              <w:tc>
                <w:tcPr>
                  <w:tcW w:w="698" w:type="pct"/>
                  <w:vMerge w:val="continue"/>
                  <w:tcBorders>
                    <w:tl2br w:val="nil"/>
                    <w:tr2bl w:val="nil"/>
                  </w:tcBorders>
                  <w:vAlign w:val="center"/>
                </w:tcPr>
                <w:p w14:paraId="7DA842D3">
                  <w:pPr>
                    <w:jc w:val="center"/>
                    <w:rPr>
                      <w:rFonts w:hint="default" w:ascii="Times New Roman" w:hAnsi="Times New Roman" w:cs="Times New Roman"/>
                      <w:color w:val="auto"/>
                      <w:sz w:val="18"/>
                      <w:szCs w:val="18"/>
                      <w:highlight w:val="none"/>
                    </w:rPr>
                  </w:pPr>
                </w:p>
              </w:tc>
            </w:tr>
            <w:tr w14:paraId="64D1C18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421" w:type="pct"/>
                  <w:vMerge w:val="restart"/>
                  <w:tcBorders>
                    <w:tl2br w:val="nil"/>
                    <w:tr2bl w:val="nil"/>
                  </w:tcBorders>
                  <w:vAlign w:val="center"/>
                </w:tcPr>
                <w:p w14:paraId="4A68F60C">
                  <w:pPr>
                    <w:widowControl/>
                    <w:jc w:val="center"/>
                    <w:textAlignment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kern w:val="0"/>
                      <w:sz w:val="18"/>
                      <w:szCs w:val="18"/>
                      <w:highlight w:val="none"/>
                      <w:lang w:bidi="ar"/>
                    </w:rPr>
                    <w:t>物料储存</w:t>
                  </w:r>
                </w:p>
              </w:tc>
              <w:tc>
                <w:tcPr>
                  <w:tcW w:w="674" w:type="pct"/>
                  <w:tcBorders>
                    <w:tl2br w:val="nil"/>
                    <w:tr2bl w:val="nil"/>
                  </w:tcBorders>
                  <w:vAlign w:val="center"/>
                </w:tcPr>
                <w:p w14:paraId="064EF5C7">
                  <w:pPr>
                    <w:widowControl/>
                    <w:jc w:val="center"/>
                    <w:textAlignment w:val="center"/>
                    <w:rPr>
                      <w:color w:val="auto"/>
                      <w:sz w:val="18"/>
                      <w:szCs w:val="18"/>
                      <w:highlight w:val="none"/>
                    </w:rPr>
                  </w:pPr>
                  <w:r>
                    <w:rPr>
                      <w:color w:val="auto"/>
                      <w:kern w:val="0"/>
                      <w:sz w:val="18"/>
                      <w:szCs w:val="18"/>
                      <w:highlight w:val="none"/>
                      <w:lang w:bidi="ar"/>
                    </w:rPr>
                    <w:t>NMP</w:t>
                  </w:r>
                  <w:r>
                    <w:rPr>
                      <w:rFonts w:hint="default" w:ascii="Times New Roman" w:hAnsi="Times New Roman" w:cs="Times New Roman"/>
                      <w:color w:val="auto"/>
                      <w:kern w:val="0"/>
                      <w:sz w:val="18"/>
                      <w:szCs w:val="18"/>
                      <w:highlight w:val="none"/>
                      <w:lang w:bidi="ar"/>
                    </w:rPr>
                    <w:t>储存</w:t>
                  </w:r>
                </w:p>
              </w:tc>
              <w:tc>
                <w:tcPr>
                  <w:tcW w:w="668" w:type="pct"/>
                  <w:tcBorders>
                    <w:tl2br w:val="nil"/>
                    <w:tr2bl w:val="nil"/>
                  </w:tcBorders>
                  <w:vAlign w:val="center"/>
                </w:tcPr>
                <w:p w14:paraId="6772EDA1">
                  <w:pPr>
                    <w:widowControl/>
                    <w:jc w:val="center"/>
                    <w:textAlignment w:val="center"/>
                    <w:rPr>
                      <w:color w:val="auto"/>
                      <w:sz w:val="18"/>
                      <w:szCs w:val="18"/>
                      <w:highlight w:val="none"/>
                    </w:rPr>
                  </w:pPr>
                  <w:r>
                    <w:rPr>
                      <w:color w:val="auto"/>
                      <w:kern w:val="0"/>
                      <w:sz w:val="18"/>
                      <w:szCs w:val="18"/>
                      <w:highlight w:val="none"/>
                      <w:lang w:bidi="ar"/>
                    </w:rPr>
                    <w:t>NMP</w:t>
                  </w:r>
                  <w:r>
                    <w:rPr>
                      <w:rFonts w:hint="default" w:ascii="Times New Roman" w:hAnsi="Times New Roman" w:cs="Times New Roman"/>
                      <w:color w:val="auto"/>
                      <w:kern w:val="0"/>
                      <w:sz w:val="18"/>
                      <w:szCs w:val="18"/>
                      <w:highlight w:val="none"/>
                      <w:lang w:bidi="ar"/>
                    </w:rPr>
                    <w:t>溶剂瓶</w:t>
                  </w:r>
                </w:p>
              </w:tc>
              <w:tc>
                <w:tcPr>
                  <w:tcW w:w="896" w:type="pct"/>
                  <w:tcBorders>
                    <w:tl2br w:val="nil"/>
                    <w:tr2bl w:val="nil"/>
                  </w:tcBorders>
                  <w:vAlign w:val="center"/>
                </w:tcPr>
                <w:p w14:paraId="0FB4044F">
                  <w:pPr>
                    <w:widowControl/>
                    <w:jc w:val="center"/>
                    <w:textAlignment w:val="center"/>
                    <w:rPr>
                      <w:color w:val="auto"/>
                      <w:sz w:val="18"/>
                      <w:szCs w:val="18"/>
                      <w:highlight w:val="none"/>
                    </w:rPr>
                  </w:pPr>
                  <w:r>
                    <w:rPr>
                      <w:color w:val="auto"/>
                      <w:kern w:val="0"/>
                      <w:sz w:val="18"/>
                      <w:szCs w:val="18"/>
                      <w:highlight w:val="none"/>
                      <w:lang w:bidi="ar"/>
                    </w:rPr>
                    <w:t>NMP</w:t>
                  </w:r>
                </w:p>
              </w:tc>
              <w:tc>
                <w:tcPr>
                  <w:tcW w:w="819" w:type="pct"/>
                  <w:tcBorders>
                    <w:tl2br w:val="nil"/>
                    <w:tr2bl w:val="nil"/>
                  </w:tcBorders>
                  <w:vAlign w:val="center"/>
                </w:tcPr>
                <w:p w14:paraId="08783ED2">
                  <w:pPr>
                    <w:widowControl/>
                    <w:jc w:val="center"/>
                    <w:textAlignment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kern w:val="0"/>
                      <w:sz w:val="18"/>
                      <w:szCs w:val="18"/>
                      <w:highlight w:val="none"/>
                      <w:lang w:bidi="ar"/>
                    </w:rPr>
                    <w:t>泄露</w:t>
                  </w:r>
                  <w:r>
                    <w:rPr>
                      <w:color w:val="auto"/>
                      <w:kern w:val="0"/>
                      <w:sz w:val="18"/>
                      <w:szCs w:val="18"/>
                      <w:highlight w:val="none"/>
                      <w:lang w:bidi="ar"/>
                    </w:rPr>
                    <w:t>/</w:t>
                  </w:r>
                  <w:r>
                    <w:rPr>
                      <w:rFonts w:hint="default" w:ascii="Times New Roman" w:hAnsi="Times New Roman" w:cs="Times New Roman"/>
                      <w:color w:val="auto"/>
                      <w:kern w:val="0"/>
                      <w:sz w:val="18"/>
                      <w:szCs w:val="18"/>
                      <w:highlight w:val="none"/>
                      <w:lang w:bidi="ar"/>
                    </w:rPr>
                    <w:t>火灾爆炸</w:t>
                  </w:r>
                  <w:r>
                    <w:rPr>
                      <w:color w:val="auto"/>
                      <w:kern w:val="0"/>
                      <w:sz w:val="18"/>
                      <w:szCs w:val="18"/>
                      <w:highlight w:val="none"/>
                      <w:lang w:bidi="ar"/>
                    </w:rPr>
                    <w:t>/</w:t>
                  </w:r>
                  <w:r>
                    <w:rPr>
                      <w:rFonts w:hint="default" w:ascii="Times New Roman" w:hAnsi="Times New Roman" w:cs="Times New Roman"/>
                      <w:color w:val="auto"/>
                      <w:kern w:val="0"/>
                      <w:sz w:val="18"/>
                      <w:szCs w:val="18"/>
                      <w:highlight w:val="none"/>
                      <w:lang w:bidi="ar"/>
                    </w:rPr>
                    <w:t>中毒</w:t>
                  </w:r>
                </w:p>
              </w:tc>
              <w:tc>
                <w:tcPr>
                  <w:tcW w:w="820" w:type="pct"/>
                  <w:tcBorders>
                    <w:tl2br w:val="nil"/>
                    <w:tr2bl w:val="nil"/>
                  </w:tcBorders>
                  <w:vAlign w:val="center"/>
                </w:tcPr>
                <w:p w14:paraId="0ADD5D6E">
                  <w:pPr>
                    <w:widowControl/>
                    <w:jc w:val="center"/>
                    <w:textAlignment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kern w:val="0"/>
                      <w:sz w:val="18"/>
                      <w:szCs w:val="18"/>
                      <w:highlight w:val="none"/>
                      <w:lang w:bidi="ar"/>
                    </w:rPr>
                    <w:t>大气、地表水、地下水</w:t>
                  </w:r>
                </w:p>
              </w:tc>
              <w:tc>
                <w:tcPr>
                  <w:tcW w:w="698" w:type="pct"/>
                  <w:vMerge w:val="continue"/>
                  <w:tcBorders>
                    <w:tl2br w:val="nil"/>
                    <w:tr2bl w:val="nil"/>
                  </w:tcBorders>
                  <w:vAlign w:val="center"/>
                </w:tcPr>
                <w:p w14:paraId="1A355EB8">
                  <w:pPr>
                    <w:jc w:val="center"/>
                    <w:rPr>
                      <w:rFonts w:hint="default" w:ascii="Times New Roman" w:hAnsi="Times New Roman" w:cs="Times New Roman"/>
                      <w:color w:val="auto"/>
                      <w:sz w:val="18"/>
                      <w:szCs w:val="18"/>
                      <w:highlight w:val="none"/>
                    </w:rPr>
                  </w:pPr>
                </w:p>
              </w:tc>
            </w:tr>
            <w:tr w14:paraId="66AD5BE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421" w:type="pct"/>
                  <w:vMerge w:val="continue"/>
                  <w:tcBorders>
                    <w:tl2br w:val="nil"/>
                    <w:tr2bl w:val="nil"/>
                  </w:tcBorders>
                  <w:vAlign w:val="center"/>
                </w:tcPr>
                <w:p w14:paraId="2010D1BF">
                  <w:pPr>
                    <w:jc w:val="center"/>
                    <w:rPr>
                      <w:rFonts w:hint="default" w:ascii="Times New Roman" w:hAnsi="Times New Roman" w:cs="Times New Roman"/>
                      <w:color w:val="auto"/>
                      <w:sz w:val="18"/>
                      <w:szCs w:val="18"/>
                      <w:highlight w:val="none"/>
                    </w:rPr>
                  </w:pPr>
                </w:p>
              </w:tc>
              <w:tc>
                <w:tcPr>
                  <w:tcW w:w="674" w:type="pct"/>
                  <w:tcBorders>
                    <w:tl2br w:val="nil"/>
                    <w:tr2bl w:val="nil"/>
                  </w:tcBorders>
                  <w:vAlign w:val="center"/>
                </w:tcPr>
                <w:p w14:paraId="180EE052">
                  <w:pPr>
                    <w:widowControl/>
                    <w:jc w:val="center"/>
                    <w:textAlignment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kern w:val="0"/>
                      <w:sz w:val="18"/>
                      <w:szCs w:val="18"/>
                      <w:highlight w:val="none"/>
                      <w:lang w:bidi="ar"/>
                    </w:rPr>
                    <w:t>含锰物料储存</w:t>
                  </w:r>
                </w:p>
              </w:tc>
              <w:tc>
                <w:tcPr>
                  <w:tcW w:w="668" w:type="pct"/>
                  <w:tcBorders>
                    <w:tl2br w:val="nil"/>
                    <w:tr2bl w:val="nil"/>
                  </w:tcBorders>
                  <w:vAlign w:val="center"/>
                </w:tcPr>
                <w:p w14:paraId="25D07B5F">
                  <w:pPr>
                    <w:widowControl/>
                    <w:jc w:val="center"/>
                    <w:textAlignment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kern w:val="0"/>
                      <w:sz w:val="18"/>
                      <w:szCs w:val="18"/>
                      <w:highlight w:val="none"/>
                      <w:lang w:bidi="ar"/>
                    </w:rPr>
                    <w:t>物料袋</w:t>
                  </w:r>
                </w:p>
              </w:tc>
              <w:tc>
                <w:tcPr>
                  <w:tcW w:w="896" w:type="pct"/>
                  <w:tcBorders>
                    <w:tl2br w:val="nil"/>
                    <w:tr2bl w:val="nil"/>
                  </w:tcBorders>
                  <w:vAlign w:val="center"/>
                </w:tcPr>
                <w:p w14:paraId="531D7FC1">
                  <w:pPr>
                    <w:widowControl/>
                    <w:jc w:val="center"/>
                    <w:textAlignment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kern w:val="0"/>
                      <w:sz w:val="18"/>
                      <w:szCs w:val="18"/>
                      <w:highlight w:val="none"/>
                      <w:lang w:bidi="ar"/>
                    </w:rPr>
                    <w:t>锰及其氧化物</w:t>
                  </w:r>
                </w:p>
              </w:tc>
              <w:tc>
                <w:tcPr>
                  <w:tcW w:w="819" w:type="pct"/>
                  <w:tcBorders>
                    <w:tl2br w:val="nil"/>
                    <w:tr2bl w:val="nil"/>
                  </w:tcBorders>
                  <w:vAlign w:val="center"/>
                </w:tcPr>
                <w:p w14:paraId="65FE8B90">
                  <w:pPr>
                    <w:widowControl/>
                    <w:jc w:val="center"/>
                    <w:textAlignment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kern w:val="0"/>
                      <w:sz w:val="18"/>
                      <w:szCs w:val="18"/>
                      <w:highlight w:val="none"/>
                      <w:lang w:bidi="ar"/>
                    </w:rPr>
                    <w:t>泄露</w:t>
                  </w:r>
                  <w:r>
                    <w:rPr>
                      <w:color w:val="auto"/>
                      <w:kern w:val="0"/>
                      <w:sz w:val="18"/>
                      <w:szCs w:val="18"/>
                      <w:highlight w:val="none"/>
                      <w:lang w:bidi="ar"/>
                    </w:rPr>
                    <w:t>/</w:t>
                  </w:r>
                  <w:r>
                    <w:rPr>
                      <w:rFonts w:hint="default" w:ascii="Times New Roman" w:hAnsi="Times New Roman" w:cs="Times New Roman"/>
                      <w:color w:val="auto"/>
                      <w:kern w:val="0"/>
                      <w:sz w:val="18"/>
                      <w:szCs w:val="18"/>
                      <w:highlight w:val="none"/>
                      <w:lang w:bidi="ar"/>
                    </w:rPr>
                    <w:t>火灾爆炸</w:t>
                  </w:r>
                  <w:r>
                    <w:rPr>
                      <w:color w:val="auto"/>
                      <w:kern w:val="0"/>
                      <w:sz w:val="18"/>
                      <w:szCs w:val="18"/>
                      <w:highlight w:val="none"/>
                      <w:lang w:bidi="ar"/>
                    </w:rPr>
                    <w:t>/</w:t>
                  </w:r>
                  <w:r>
                    <w:rPr>
                      <w:rFonts w:hint="default" w:ascii="Times New Roman" w:hAnsi="Times New Roman" w:cs="Times New Roman"/>
                      <w:color w:val="auto"/>
                      <w:kern w:val="0"/>
                      <w:sz w:val="18"/>
                      <w:szCs w:val="18"/>
                      <w:highlight w:val="none"/>
                      <w:lang w:bidi="ar"/>
                    </w:rPr>
                    <w:t>中毒</w:t>
                  </w:r>
                </w:p>
              </w:tc>
              <w:tc>
                <w:tcPr>
                  <w:tcW w:w="820" w:type="pct"/>
                  <w:tcBorders>
                    <w:tl2br w:val="nil"/>
                    <w:tr2bl w:val="nil"/>
                  </w:tcBorders>
                  <w:vAlign w:val="center"/>
                </w:tcPr>
                <w:p w14:paraId="486BBFF8">
                  <w:pPr>
                    <w:widowControl/>
                    <w:jc w:val="center"/>
                    <w:textAlignment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kern w:val="0"/>
                      <w:sz w:val="18"/>
                      <w:szCs w:val="18"/>
                      <w:highlight w:val="none"/>
                      <w:lang w:bidi="ar"/>
                    </w:rPr>
                    <w:t>大气、地表水、地下水</w:t>
                  </w:r>
                </w:p>
              </w:tc>
              <w:tc>
                <w:tcPr>
                  <w:tcW w:w="698" w:type="pct"/>
                  <w:vMerge w:val="continue"/>
                  <w:tcBorders>
                    <w:tl2br w:val="nil"/>
                    <w:tr2bl w:val="nil"/>
                  </w:tcBorders>
                  <w:vAlign w:val="center"/>
                </w:tcPr>
                <w:p w14:paraId="78BBF9E0">
                  <w:pPr>
                    <w:jc w:val="center"/>
                    <w:rPr>
                      <w:rFonts w:hint="default" w:ascii="Times New Roman" w:hAnsi="Times New Roman" w:cs="Times New Roman"/>
                      <w:color w:val="auto"/>
                      <w:sz w:val="18"/>
                      <w:szCs w:val="18"/>
                      <w:highlight w:val="none"/>
                    </w:rPr>
                  </w:pPr>
                </w:p>
              </w:tc>
            </w:tr>
            <w:tr w14:paraId="0337F4D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32" w:hRule="atLeast"/>
                <w:jc w:val="center"/>
              </w:trPr>
              <w:tc>
                <w:tcPr>
                  <w:tcW w:w="421" w:type="pct"/>
                  <w:vMerge w:val="restart"/>
                  <w:tcBorders>
                    <w:tl2br w:val="nil"/>
                    <w:tr2bl w:val="nil"/>
                  </w:tcBorders>
                  <w:vAlign w:val="center"/>
                </w:tcPr>
                <w:p w14:paraId="691394AC">
                  <w:pPr>
                    <w:widowControl/>
                    <w:jc w:val="center"/>
                    <w:textAlignment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kern w:val="0"/>
                      <w:sz w:val="18"/>
                      <w:szCs w:val="18"/>
                      <w:highlight w:val="none"/>
                      <w:lang w:bidi="ar"/>
                    </w:rPr>
                    <w:t>环保措施</w:t>
                  </w:r>
                </w:p>
              </w:tc>
              <w:tc>
                <w:tcPr>
                  <w:tcW w:w="674" w:type="pct"/>
                  <w:tcBorders>
                    <w:tl2br w:val="nil"/>
                    <w:tr2bl w:val="nil"/>
                  </w:tcBorders>
                  <w:vAlign w:val="center"/>
                </w:tcPr>
                <w:p w14:paraId="26FABB6F">
                  <w:pPr>
                    <w:widowControl/>
                    <w:jc w:val="center"/>
                    <w:textAlignment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kern w:val="0"/>
                      <w:sz w:val="18"/>
                      <w:szCs w:val="18"/>
                      <w:highlight w:val="none"/>
                      <w:lang w:bidi="ar"/>
                    </w:rPr>
                    <w:t>污水处理</w:t>
                  </w:r>
                </w:p>
              </w:tc>
              <w:tc>
                <w:tcPr>
                  <w:tcW w:w="668" w:type="pct"/>
                  <w:tcBorders>
                    <w:tl2br w:val="nil"/>
                    <w:tr2bl w:val="nil"/>
                  </w:tcBorders>
                  <w:vAlign w:val="center"/>
                </w:tcPr>
                <w:p w14:paraId="580CC269">
                  <w:pPr>
                    <w:widowControl/>
                    <w:jc w:val="center"/>
                    <w:textAlignment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kern w:val="0"/>
                      <w:sz w:val="18"/>
                      <w:szCs w:val="18"/>
                      <w:highlight w:val="none"/>
                      <w:lang w:bidi="ar"/>
                    </w:rPr>
                    <w:t>沉淀池</w:t>
                  </w:r>
                </w:p>
              </w:tc>
              <w:tc>
                <w:tcPr>
                  <w:tcW w:w="896" w:type="pct"/>
                  <w:tcBorders>
                    <w:tl2br w:val="nil"/>
                    <w:tr2bl w:val="nil"/>
                  </w:tcBorders>
                  <w:vAlign w:val="center"/>
                </w:tcPr>
                <w:p w14:paraId="414FE463">
                  <w:pPr>
                    <w:widowControl/>
                    <w:jc w:val="center"/>
                    <w:textAlignment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kern w:val="0"/>
                      <w:sz w:val="18"/>
                      <w:szCs w:val="18"/>
                      <w:highlight w:val="none"/>
                      <w:lang w:bidi="ar"/>
                    </w:rPr>
                    <w:t>锰及其氧化物、含磷污泥</w:t>
                  </w:r>
                </w:p>
              </w:tc>
              <w:tc>
                <w:tcPr>
                  <w:tcW w:w="819" w:type="pct"/>
                  <w:tcBorders>
                    <w:tl2br w:val="nil"/>
                    <w:tr2bl w:val="nil"/>
                  </w:tcBorders>
                  <w:vAlign w:val="center"/>
                </w:tcPr>
                <w:p w14:paraId="44641135">
                  <w:pPr>
                    <w:widowControl/>
                    <w:jc w:val="center"/>
                    <w:textAlignment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kern w:val="0"/>
                      <w:sz w:val="18"/>
                      <w:szCs w:val="18"/>
                      <w:highlight w:val="none"/>
                      <w:lang w:bidi="ar"/>
                    </w:rPr>
                    <w:t>泄露</w:t>
                  </w:r>
                </w:p>
              </w:tc>
              <w:tc>
                <w:tcPr>
                  <w:tcW w:w="820" w:type="pct"/>
                  <w:tcBorders>
                    <w:tl2br w:val="nil"/>
                    <w:tr2bl w:val="nil"/>
                  </w:tcBorders>
                  <w:vAlign w:val="center"/>
                </w:tcPr>
                <w:p w14:paraId="60B81586">
                  <w:pPr>
                    <w:widowControl/>
                    <w:jc w:val="center"/>
                    <w:textAlignment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kern w:val="0"/>
                      <w:sz w:val="18"/>
                      <w:szCs w:val="18"/>
                      <w:highlight w:val="none"/>
                      <w:lang w:bidi="ar"/>
                    </w:rPr>
                    <w:t>地表水、地下水</w:t>
                  </w:r>
                </w:p>
              </w:tc>
              <w:tc>
                <w:tcPr>
                  <w:tcW w:w="698" w:type="pct"/>
                  <w:vMerge w:val="continue"/>
                  <w:tcBorders>
                    <w:tl2br w:val="nil"/>
                    <w:tr2bl w:val="nil"/>
                  </w:tcBorders>
                  <w:vAlign w:val="center"/>
                </w:tcPr>
                <w:p w14:paraId="07F41785">
                  <w:pPr>
                    <w:jc w:val="center"/>
                    <w:rPr>
                      <w:rFonts w:hint="default" w:ascii="Times New Roman" w:hAnsi="Times New Roman" w:cs="Times New Roman"/>
                      <w:color w:val="auto"/>
                      <w:sz w:val="18"/>
                      <w:szCs w:val="18"/>
                      <w:highlight w:val="none"/>
                    </w:rPr>
                  </w:pPr>
                </w:p>
              </w:tc>
            </w:tr>
            <w:tr w14:paraId="149272C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421" w:type="pct"/>
                  <w:vMerge w:val="continue"/>
                  <w:tcBorders>
                    <w:tl2br w:val="nil"/>
                    <w:tr2bl w:val="nil"/>
                  </w:tcBorders>
                  <w:vAlign w:val="center"/>
                </w:tcPr>
                <w:p w14:paraId="09ECD6A2">
                  <w:pPr>
                    <w:jc w:val="center"/>
                    <w:rPr>
                      <w:rFonts w:hint="default" w:ascii="Times New Roman" w:hAnsi="Times New Roman" w:cs="Times New Roman"/>
                      <w:color w:val="auto"/>
                      <w:sz w:val="18"/>
                      <w:szCs w:val="18"/>
                      <w:highlight w:val="none"/>
                    </w:rPr>
                  </w:pPr>
                </w:p>
              </w:tc>
              <w:tc>
                <w:tcPr>
                  <w:tcW w:w="674" w:type="pct"/>
                  <w:tcBorders>
                    <w:tl2br w:val="nil"/>
                    <w:tr2bl w:val="nil"/>
                  </w:tcBorders>
                  <w:vAlign w:val="center"/>
                </w:tcPr>
                <w:p w14:paraId="6A8270D5">
                  <w:pPr>
                    <w:widowControl/>
                    <w:jc w:val="center"/>
                    <w:textAlignment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kern w:val="0"/>
                      <w:sz w:val="18"/>
                      <w:szCs w:val="18"/>
                      <w:highlight w:val="none"/>
                      <w:lang w:bidi="ar"/>
                    </w:rPr>
                    <w:t>废气处理</w:t>
                  </w:r>
                </w:p>
              </w:tc>
              <w:tc>
                <w:tcPr>
                  <w:tcW w:w="668" w:type="pct"/>
                  <w:tcBorders>
                    <w:tl2br w:val="nil"/>
                    <w:tr2bl w:val="nil"/>
                  </w:tcBorders>
                  <w:vAlign w:val="center"/>
                </w:tcPr>
                <w:p w14:paraId="4011D45F">
                  <w:pPr>
                    <w:widowControl/>
                    <w:jc w:val="center"/>
                    <w:textAlignment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kern w:val="0"/>
                      <w:sz w:val="18"/>
                      <w:szCs w:val="18"/>
                      <w:highlight w:val="none"/>
                      <w:lang w:bidi="ar"/>
                    </w:rPr>
                    <w:t>处理装置</w:t>
                  </w:r>
                </w:p>
              </w:tc>
              <w:tc>
                <w:tcPr>
                  <w:tcW w:w="896" w:type="pct"/>
                  <w:tcBorders>
                    <w:tl2br w:val="nil"/>
                    <w:tr2bl w:val="nil"/>
                  </w:tcBorders>
                  <w:vAlign w:val="center"/>
                </w:tcPr>
                <w:p w14:paraId="06D6A709">
                  <w:pPr>
                    <w:widowControl/>
                    <w:jc w:val="center"/>
                    <w:textAlignment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kern w:val="0"/>
                      <w:sz w:val="18"/>
                      <w:szCs w:val="18"/>
                      <w:highlight w:val="none"/>
                      <w:lang w:bidi="ar"/>
                    </w:rPr>
                    <w:t>颗粒物、恶臭</w:t>
                  </w:r>
                </w:p>
              </w:tc>
              <w:tc>
                <w:tcPr>
                  <w:tcW w:w="819" w:type="pct"/>
                  <w:tcBorders>
                    <w:tl2br w:val="nil"/>
                    <w:tr2bl w:val="nil"/>
                  </w:tcBorders>
                  <w:vAlign w:val="center"/>
                </w:tcPr>
                <w:p w14:paraId="38C1FDAF">
                  <w:pPr>
                    <w:widowControl/>
                    <w:jc w:val="center"/>
                    <w:textAlignment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kern w:val="0"/>
                      <w:sz w:val="18"/>
                      <w:szCs w:val="18"/>
                      <w:highlight w:val="none"/>
                      <w:lang w:bidi="ar"/>
                    </w:rPr>
                    <w:t>火灾</w:t>
                  </w:r>
                  <w:r>
                    <w:rPr>
                      <w:color w:val="auto"/>
                      <w:kern w:val="0"/>
                      <w:sz w:val="18"/>
                      <w:szCs w:val="18"/>
                      <w:highlight w:val="none"/>
                      <w:lang w:bidi="ar"/>
                    </w:rPr>
                    <w:t>/</w:t>
                  </w:r>
                  <w:r>
                    <w:rPr>
                      <w:rFonts w:hint="default" w:ascii="Times New Roman" w:hAnsi="Times New Roman" w:cs="Times New Roman"/>
                      <w:color w:val="auto"/>
                      <w:kern w:val="0"/>
                      <w:sz w:val="18"/>
                      <w:szCs w:val="18"/>
                      <w:highlight w:val="none"/>
                      <w:lang w:bidi="ar"/>
                    </w:rPr>
                    <w:t>爆炸</w:t>
                  </w:r>
                  <w:r>
                    <w:rPr>
                      <w:color w:val="auto"/>
                      <w:kern w:val="0"/>
                      <w:sz w:val="18"/>
                      <w:szCs w:val="18"/>
                      <w:highlight w:val="none"/>
                      <w:lang w:bidi="ar"/>
                    </w:rPr>
                    <w:t>/</w:t>
                  </w:r>
                  <w:r>
                    <w:rPr>
                      <w:rFonts w:hint="default" w:ascii="Times New Roman" w:hAnsi="Times New Roman" w:cs="Times New Roman"/>
                      <w:color w:val="auto"/>
                      <w:kern w:val="0"/>
                      <w:sz w:val="18"/>
                      <w:szCs w:val="18"/>
                      <w:highlight w:val="none"/>
                      <w:lang w:bidi="ar"/>
                    </w:rPr>
                    <w:t>超标排放</w:t>
                  </w:r>
                </w:p>
              </w:tc>
              <w:tc>
                <w:tcPr>
                  <w:tcW w:w="820" w:type="pct"/>
                  <w:tcBorders>
                    <w:tl2br w:val="nil"/>
                    <w:tr2bl w:val="nil"/>
                  </w:tcBorders>
                  <w:vAlign w:val="center"/>
                </w:tcPr>
                <w:p w14:paraId="15DCBCF8">
                  <w:pPr>
                    <w:widowControl/>
                    <w:jc w:val="center"/>
                    <w:textAlignment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kern w:val="0"/>
                      <w:sz w:val="18"/>
                      <w:szCs w:val="18"/>
                      <w:highlight w:val="none"/>
                      <w:lang w:bidi="ar"/>
                    </w:rPr>
                    <w:t>大气、地下水</w:t>
                  </w:r>
                </w:p>
              </w:tc>
              <w:tc>
                <w:tcPr>
                  <w:tcW w:w="698" w:type="pct"/>
                  <w:vMerge w:val="continue"/>
                  <w:tcBorders>
                    <w:tl2br w:val="nil"/>
                    <w:tr2bl w:val="nil"/>
                  </w:tcBorders>
                  <w:vAlign w:val="center"/>
                </w:tcPr>
                <w:p w14:paraId="6710DA7F">
                  <w:pPr>
                    <w:jc w:val="center"/>
                    <w:rPr>
                      <w:rFonts w:hint="default" w:ascii="Times New Roman" w:hAnsi="Times New Roman" w:cs="Times New Roman"/>
                      <w:color w:val="auto"/>
                      <w:sz w:val="18"/>
                      <w:szCs w:val="18"/>
                      <w:highlight w:val="none"/>
                    </w:rPr>
                  </w:pPr>
                </w:p>
              </w:tc>
            </w:tr>
            <w:tr w14:paraId="546FEC2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421" w:type="pct"/>
                  <w:vMerge w:val="continue"/>
                  <w:tcBorders>
                    <w:tl2br w:val="nil"/>
                    <w:tr2bl w:val="nil"/>
                  </w:tcBorders>
                  <w:vAlign w:val="center"/>
                </w:tcPr>
                <w:p w14:paraId="78F41BA6">
                  <w:pPr>
                    <w:jc w:val="center"/>
                    <w:rPr>
                      <w:rFonts w:hint="default" w:ascii="Times New Roman" w:hAnsi="Times New Roman" w:cs="Times New Roman"/>
                      <w:color w:val="auto"/>
                      <w:sz w:val="18"/>
                      <w:szCs w:val="18"/>
                      <w:highlight w:val="none"/>
                    </w:rPr>
                  </w:pPr>
                </w:p>
              </w:tc>
              <w:tc>
                <w:tcPr>
                  <w:tcW w:w="674" w:type="pct"/>
                  <w:tcBorders>
                    <w:tl2br w:val="nil"/>
                    <w:tr2bl w:val="nil"/>
                  </w:tcBorders>
                  <w:vAlign w:val="center"/>
                </w:tcPr>
                <w:p w14:paraId="66499AD1">
                  <w:pPr>
                    <w:widowControl/>
                    <w:jc w:val="center"/>
                    <w:textAlignment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kern w:val="0"/>
                      <w:sz w:val="18"/>
                      <w:szCs w:val="18"/>
                      <w:highlight w:val="none"/>
                      <w:lang w:bidi="ar"/>
                    </w:rPr>
                    <w:t>危废储存</w:t>
                  </w:r>
                </w:p>
              </w:tc>
              <w:tc>
                <w:tcPr>
                  <w:tcW w:w="668" w:type="pct"/>
                  <w:tcBorders>
                    <w:tl2br w:val="nil"/>
                    <w:tr2bl w:val="nil"/>
                  </w:tcBorders>
                  <w:vAlign w:val="center"/>
                </w:tcPr>
                <w:p w14:paraId="180FA039">
                  <w:pPr>
                    <w:widowControl/>
                    <w:jc w:val="center"/>
                    <w:textAlignment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kern w:val="0"/>
                      <w:sz w:val="18"/>
                      <w:szCs w:val="18"/>
                      <w:highlight w:val="none"/>
                      <w:lang w:bidi="ar"/>
                    </w:rPr>
                    <w:t>危废暂存间</w:t>
                  </w:r>
                </w:p>
              </w:tc>
              <w:tc>
                <w:tcPr>
                  <w:tcW w:w="896" w:type="pct"/>
                  <w:tcBorders>
                    <w:tl2br w:val="nil"/>
                    <w:tr2bl w:val="nil"/>
                  </w:tcBorders>
                  <w:vAlign w:val="center"/>
                </w:tcPr>
                <w:p w14:paraId="7DC6F144">
                  <w:pPr>
                    <w:widowControl/>
                    <w:jc w:val="center"/>
                    <w:textAlignment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cs="Times New Roman"/>
                      <w:color w:val="auto"/>
                      <w:kern w:val="0"/>
                      <w:sz w:val="18"/>
                      <w:szCs w:val="18"/>
                      <w:highlight w:val="none"/>
                      <w:lang w:val="en-US" w:eastAsia="zh-CN" w:bidi="ar"/>
                    </w:rPr>
                    <w:t>沾染化学品的包装、废活性炭、废电池</w:t>
                  </w:r>
                </w:p>
              </w:tc>
              <w:tc>
                <w:tcPr>
                  <w:tcW w:w="819" w:type="pct"/>
                  <w:tcBorders>
                    <w:tl2br w:val="nil"/>
                    <w:tr2bl w:val="nil"/>
                  </w:tcBorders>
                  <w:vAlign w:val="center"/>
                </w:tcPr>
                <w:p w14:paraId="6EEE70AB">
                  <w:pPr>
                    <w:widowControl/>
                    <w:jc w:val="center"/>
                    <w:textAlignment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kern w:val="0"/>
                      <w:sz w:val="18"/>
                      <w:szCs w:val="18"/>
                      <w:highlight w:val="none"/>
                      <w:lang w:bidi="ar"/>
                    </w:rPr>
                    <w:t>泄露/火灾爆炸/中毒</w:t>
                  </w:r>
                </w:p>
              </w:tc>
              <w:tc>
                <w:tcPr>
                  <w:tcW w:w="820" w:type="pct"/>
                  <w:tcBorders>
                    <w:tl2br w:val="nil"/>
                    <w:tr2bl w:val="nil"/>
                  </w:tcBorders>
                  <w:vAlign w:val="center"/>
                </w:tcPr>
                <w:p w14:paraId="2B636DF7">
                  <w:pPr>
                    <w:widowControl/>
                    <w:jc w:val="center"/>
                    <w:textAlignment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kern w:val="0"/>
                      <w:sz w:val="18"/>
                      <w:szCs w:val="18"/>
                      <w:highlight w:val="none"/>
                      <w:lang w:bidi="ar"/>
                    </w:rPr>
                    <w:t>大气、地表水、地下水</w:t>
                  </w:r>
                </w:p>
              </w:tc>
              <w:tc>
                <w:tcPr>
                  <w:tcW w:w="698" w:type="pct"/>
                  <w:vMerge w:val="continue"/>
                  <w:tcBorders>
                    <w:tl2br w:val="nil"/>
                    <w:tr2bl w:val="nil"/>
                  </w:tcBorders>
                  <w:vAlign w:val="center"/>
                </w:tcPr>
                <w:p w14:paraId="478E959B">
                  <w:pPr>
                    <w:jc w:val="center"/>
                    <w:rPr>
                      <w:rFonts w:hint="default" w:ascii="Times New Roman" w:hAnsi="Times New Roman" w:cs="Times New Roman"/>
                      <w:color w:val="auto"/>
                      <w:sz w:val="18"/>
                      <w:szCs w:val="18"/>
                      <w:highlight w:val="none"/>
                    </w:rPr>
                  </w:pPr>
                </w:p>
              </w:tc>
            </w:tr>
          </w:tbl>
          <w:p w14:paraId="0DE46A8E">
            <w:pPr>
              <w:spacing w:line="360" w:lineRule="auto"/>
              <w:ind w:firstLine="420" w:firstLineChars="200"/>
              <w:rPr>
                <w:color w:val="auto"/>
                <w:szCs w:val="21"/>
                <w:highlight w:val="none"/>
              </w:rPr>
            </w:pPr>
            <w:r>
              <w:rPr>
                <w:color w:val="auto"/>
                <w:szCs w:val="21"/>
                <w:highlight w:val="none"/>
              </w:rPr>
              <w:t>根据《建设项目环境风险评价技术导则》（HJ169-2018）附录B确定危险物质的临界量，定量分析危险物质数量与临界量的比值（Q），详见表</w:t>
            </w:r>
            <w:r>
              <w:rPr>
                <w:rFonts w:hint="default"/>
                <w:color w:val="auto"/>
                <w:szCs w:val="21"/>
                <w:highlight w:val="none"/>
                <w:lang w:val="en-US" w:eastAsia="zh-CN"/>
              </w:rPr>
              <w:t>4-2</w:t>
            </w:r>
            <w:r>
              <w:rPr>
                <w:rFonts w:hint="eastAsia"/>
                <w:color w:val="auto"/>
                <w:szCs w:val="21"/>
                <w:highlight w:val="none"/>
                <w:lang w:val="en-US" w:eastAsia="zh-CN"/>
              </w:rPr>
              <w:t>3</w:t>
            </w:r>
            <w:r>
              <w:rPr>
                <w:color w:val="auto"/>
                <w:szCs w:val="21"/>
                <w:highlight w:val="none"/>
              </w:rPr>
              <w:t>：</w:t>
            </w:r>
          </w:p>
          <w:p w14:paraId="15373B75">
            <w:pPr>
              <w:numPr>
                <w:ilvl w:val="0"/>
                <w:numId w:val="8"/>
              </w:numPr>
              <w:spacing w:line="360" w:lineRule="auto"/>
              <w:jc w:val="center"/>
              <w:rPr>
                <w:color w:val="auto"/>
                <w:szCs w:val="21"/>
                <w:highlight w:val="none"/>
              </w:rPr>
            </w:pPr>
            <w:r>
              <w:rPr>
                <w:rFonts w:hint="default" w:ascii="Times New Roman" w:hAnsi="Times New Roman" w:eastAsia="黑体" w:cs="Times New Roman"/>
                <w:b w:val="0"/>
                <w:bCs w:val="0"/>
                <w:color w:val="auto"/>
                <w:spacing w:val="-10"/>
                <w:szCs w:val="21"/>
                <w:highlight w:val="none"/>
                <w:lang w:val="en-US" w:eastAsia="zh-CN"/>
              </w:rPr>
              <w:t xml:space="preserve"> </w:t>
            </w:r>
            <w:r>
              <w:rPr>
                <w:rFonts w:hint="default" w:ascii="Times New Roman" w:hAnsi="Times New Roman" w:eastAsia="黑体" w:cs="Times New Roman"/>
                <w:b w:val="0"/>
                <w:bCs w:val="0"/>
                <w:color w:val="auto"/>
                <w:spacing w:val="-10"/>
                <w:szCs w:val="21"/>
                <w:highlight w:val="none"/>
              </w:rPr>
              <w:t>项目危险物质Q值计算一览表</w:t>
            </w:r>
          </w:p>
          <w:tbl>
            <w:tblPr>
              <w:tblStyle w:val="24"/>
              <w:tblW w:w="4994" w:type="pct"/>
              <w:tblInd w:w="-9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Layout w:type="fixed"/>
              <w:tblCellMar>
                <w:top w:w="0" w:type="dxa"/>
                <w:left w:w="108" w:type="dxa"/>
                <w:bottom w:w="0" w:type="dxa"/>
                <w:right w:w="108" w:type="dxa"/>
              </w:tblCellMar>
            </w:tblPr>
            <w:tblGrid>
              <w:gridCol w:w="1398"/>
              <w:gridCol w:w="1271"/>
              <w:gridCol w:w="870"/>
              <w:gridCol w:w="1945"/>
              <w:gridCol w:w="2"/>
              <w:gridCol w:w="1119"/>
              <w:gridCol w:w="2"/>
              <w:gridCol w:w="3"/>
              <w:gridCol w:w="978"/>
              <w:gridCol w:w="2"/>
              <w:gridCol w:w="3"/>
            </w:tblGrid>
            <w:tr w14:paraId="6BB7040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gridAfter w:val="1"/>
                <w:wAfter w:w="1" w:type="pct"/>
                <w:trHeight w:val="312" w:hRule="atLeast"/>
              </w:trPr>
              <w:tc>
                <w:tcPr>
                  <w:tcW w:w="920" w:type="pct"/>
                  <w:tcBorders>
                    <w:tl2br w:val="nil"/>
                    <w:tr2bl w:val="nil"/>
                  </w:tcBorders>
                  <w:shd w:val="clear" w:color="auto" w:fill="auto"/>
                  <w:vAlign w:val="center"/>
                </w:tcPr>
                <w:p w14:paraId="0B24C016">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单元名称</w:t>
                  </w:r>
                </w:p>
              </w:tc>
              <w:tc>
                <w:tcPr>
                  <w:tcW w:w="836" w:type="pct"/>
                  <w:tcBorders>
                    <w:tl2br w:val="nil"/>
                    <w:tr2bl w:val="nil"/>
                  </w:tcBorders>
                  <w:shd w:val="clear" w:color="auto" w:fill="auto"/>
                  <w:vAlign w:val="center"/>
                </w:tcPr>
                <w:p w14:paraId="48257AB8">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主要危险物质</w:t>
                  </w:r>
                </w:p>
              </w:tc>
              <w:tc>
                <w:tcPr>
                  <w:tcW w:w="1854" w:type="pct"/>
                  <w:gridSpan w:val="3"/>
                  <w:tcBorders>
                    <w:tl2br w:val="nil"/>
                    <w:tr2bl w:val="nil"/>
                  </w:tcBorders>
                  <w:shd w:val="clear" w:color="auto" w:fill="auto"/>
                  <w:noWrap/>
                  <w:vAlign w:val="center"/>
                </w:tcPr>
                <w:p w14:paraId="32444234">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最大存在量/在线量qn (t)</w:t>
                  </w:r>
                </w:p>
              </w:tc>
              <w:tc>
                <w:tcPr>
                  <w:tcW w:w="738" w:type="pct"/>
                  <w:gridSpan w:val="2"/>
                  <w:tcBorders>
                    <w:tl2br w:val="nil"/>
                    <w:tr2bl w:val="nil"/>
                  </w:tcBorders>
                  <w:shd w:val="clear" w:color="auto" w:fill="auto"/>
                  <w:noWrap/>
                  <w:vAlign w:val="center"/>
                </w:tcPr>
                <w:p w14:paraId="50F0561D">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临界量Qn (t)</w:t>
                  </w:r>
                </w:p>
              </w:tc>
              <w:tc>
                <w:tcPr>
                  <w:tcW w:w="647" w:type="pct"/>
                  <w:gridSpan w:val="3"/>
                  <w:tcBorders>
                    <w:tl2br w:val="nil"/>
                    <w:tr2bl w:val="nil"/>
                  </w:tcBorders>
                  <w:shd w:val="clear" w:color="auto" w:fill="auto"/>
                  <w:noWrap/>
                  <w:vAlign w:val="center"/>
                </w:tcPr>
                <w:p w14:paraId="1B333B3C">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Q值</w:t>
                  </w:r>
                </w:p>
              </w:tc>
            </w:tr>
            <w:tr w14:paraId="65ADEA6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gridAfter w:val="2"/>
                <w:wAfter w:w="3" w:type="pct"/>
                <w:trHeight w:val="312" w:hRule="atLeast"/>
              </w:trPr>
              <w:tc>
                <w:tcPr>
                  <w:tcW w:w="920" w:type="pct"/>
                  <w:vMerge w:val="restart"/>
                  <w:tcBorders>
                    <w:tl2br w:val="nil"/>
                    <w:tr2bl w:val="nil"/>
                  </w:tcBorders>
                  <w:shd w:val="clear" w:color="auto" w:fill="auto"/>
                  <w:noWrap/>
                  <w:vAlign w:val="center"/>
                </w:tcPr>
                <w:p w14:paraId="301C431E">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正极材料制备</w:t>
                  </w:r>
                </w:p>
              </w:tc>
              <w:tc>
                <w:tcPr>
                  <w:tcW w:w="836" w:type="pct"/>
                  <w:tcBorders>
                    <w:tl2br w:val="nil"/>
                    <w:tr2bl w:val="nil"/>
                  </w:tcBorders>
                  <w:shd w:val="clear" w:color="auto" w:fill="auto"/>
                  <w:vAlign w:val="center"/>
                </w:tcPr>
                <w:p w14:paraId="53FE4783">
                  <w:pPr>
                    <w:keepNext w:val="0"/>
                    <w:keepLines w:val="0"/>
                    <w:widowControl/>
                    <w:suppressLineNumbers w:val="0"/>
                    <w:jc w:val="center"/>
                    <w:textAlignment w:val="center"/>
                    <w:rPr>
                      <w:rFonts w:hint="default" w:ascii="Times New Roman" w:hAnsi="Times New Roman" w:eastAsia="宋体" w:cs="Times New Roman"/>
                      <w:b/>
                      <w:bCs/>
                      <w:i w:val="0"/>
                      <w:iCs w:val="0"/>
                      <w:color w:val="auto"/>
                      <w:sz w:val="18"/>
                      <w:szCs w:val="18"/>
                      <w:highlight w:val="none"/>
                      <w:u w:val="none"/>
                    </w:rPr>
                  </w:pPr>
                  <w:r>
                    <w:rPr>
                      <w:rFonts w:hint="default" w:ascii="Times New Roman" w:hAnsi="Times New Roman" w:eastAsia="宋体" w:cs="Times New Roman"/>
                      <w:b/>
                      <w:bCs/>
                      <w:i w:val="0"/>
                      <w:iCs w:val="0"/>
                      <w:color w:val="auto"/>
                      <w:kern w:val="0"/>
                      <w:sz w:val="18"/>
                      <w:szCs w:val="18"/>
                      <w:highlight w:val="none"/>
                      <w:u w:val="none"/>
                      <w:lang w:val="en-US" w:eastAsia="zh-CN" w:bidi="ar"/>
                    </w:rPr>
                    <w:t>含锰物料</w:t>
                  </w:r>
                  <w:r>
                    <w:rPr>
                      <w:rFonts w:hint="default" w:ascii="Times New Roman" w:hAnsi="Times New Roman" w:eastAsia="宋体" w:cs="Times New Roman"/>
                      <w:b/>
                      <w:bCs/>
                      <w:i w:val="0"/>
                      <w:iCs w:val="0"/>
                      <w:color w:val="auto"/>
                      <w:kern w:val="0"/>
                      <w:sz w:val="18"/>
                      <w:szCs w:val="18"/>
                      <w:highlight w:val="none"/>
                      <w:u w:val="none"/>
                      <w:vertAlign w:val="superscript"/>
                      <w:lang w:val="en-US" w:eastAsia="zh-CN" w:bidi="ar"/>
                    </w:rPr>
                    <w:t>①</w:t>
                  </w:r>
                </w:p>
              </w:tc>
              <w:tc>
                <w:tcPr>
                  <w:tcW w:w="572" w:type="pct"/>
                  <w:tcBorders>
                    <w:tl2br w:val="nil"/>
                    <w:tr2bl w:val="nil"/>
                  </w:tcBorders>
                  <w:shd w:val="clear" w:color="auto" w:fill="auto"/>
                  <w:noWrap/>
                  <w:vAlign w:val="center"/>
                </w:tcPr>
                <w:p w14:paraId="64317EDA">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化合物</w:t>
                  </w:r>
                </w:p>
              </w:tc>
              <w:tc>
                <w:tcPr>
                  <w:tcW w:w="1280" w:type="pct"/>
                  <w:tcBorders>
                    <w:tl2br w:val="nil"/>
                    <w:tr2bl w:val="nil"/>
                  </w:tcBorders>
                  <w:shd w:val="clear" w:color="auto" w:fill="auto"/>
                  <w:noWrap/>
                  <w:vAlign w:val="center"/>
                </w:tcPr>
                <w:p w14:paraId="7E7398B9">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以锰计</w:t>
                  </w:r>
                </w:p>
              </w:tc>
              <w:tc>
                <w:tcPr>
                  <w:tcW w:w="738" w:type="pct"/>
                  <w:gridSpan w:val="2"/>
                  <w:vMerge w:val="restart"/>
                  <w:tcBorders>
                    <w:tl2br w:val="nil"/>
                    <w:tr2bl w:val="nil"/>
                  </w:tcBorders>
                  <w:shd w:val="clear" w:color="auto" w:fill="auto"/>
                  <w:noWrap/>
                  <w:vAlign w:val="center"/>
                </w:tcPr>
                <w:p w14:paraId="6FE23C00">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0.25</w:t>
                  </w:r>
                </w:p>
              </w:tc>
              <w:tc>
                <w:tcPr>
                  <w:tcW w:w="647" w:type="pct"/>
                  <w:gridSpan w:val="3"/>
                  <w:tcBorders>
                    <w:tl2br w:val="nil"/>
                    <w:tr2bl w:val="nil"/>
                  </w:tcBorders>
                  <w:shd w:val="clear" w:color="auto" w:fill="auto"/>
                  <w:noWrap/>
                  <w:vAlign w:val="center"/>
                </w:tcPr>
                <w:p w14:paraId="6124E07B">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w:t>
                  </w:r>
                </w:p>
              </w:tc>
            </w:tr>
            <w:tr w14:paraId="3577D5F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gridAfter w:val="2"/>
                <w:wAfter w:w="3" w:type="pct"/>
                <w:trHeight w:val="312" w:hRule="atLeast"/>
              </w:trPr>
              <w:tc>
                <w:tcPr>
                  <w:tcW w:w="920" w:type="pct"/>
                  <w:vMerge w:val="continue"/>
                  <w:tcBorders>
                    <w:tl2br w:val="nil"/>
                    <w:tr2bl w:val="nil"/>
                  </w:tcBorders>
                  <w:shd w:val="clear" w:color="auto" w:fill="auto"/>
                  <w:noWrap/>
                  <w:vAlign w:val="center"/>
                </w:tcPr>
                <w:p w14:paraId="288BE797">
                  <w:pPr>
                    <w:jc w:val="center"/>
                    <w:rPr>
                      <w:rFonts w:hint="default" w:ascii="Times New Roman" w:hAnsi="Times New Roman" w:eastAsia="宋体" w:cs="Times New Roman"/>
                      <w:i w:val="0"/>
                      <w:iCs w:val="0"/>
                      <w:color w:val="auto"/>
                      <w:sz w:val="18"/>
                      <w:szCs w:val="18"/>
                      <w:highlight w:val="none"/>
                      <w:u w:val="none"/>
                    </w:rPr>
                  </w:pPr>
                </w:p>
              </w:tc>
              <w:tc>
                <w:tcPr>
                  <w:tcW w:w="836" w:type="pct"/>
                  <w:tcBorders>
                    <w:tl2br w:val="nil"/>
                    <w:tr2bl w:val="nil"/>
                  </w:tcBorders>
                  <w:shd w:val="clear" w:color="auto" w:fill="auto"/>
                  <w:vAlign w:val="center"/>
                </w:tcPr>
                <w:p w14:paraId="358D97DC">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四氧化三锰</w:t>
                  </w:r>
                </w:p>
              </w:tc>
              <w:tc>
                <w:tcPr>
                  <w:tcW w:w="572" w:type="pct"/>
                  <w:tcBorders>
                    <w:tl2br w:val="nil"/>
                    <w:tr2bl w:val="nil"/>
                  </w:tcBorders>
                  <w:shd w:val="clear" w:color="auto" w:fill="auto"/>
                  <w:vAlign w:val="center"/>
                </w:tcPr>
                <w:p w14:paraId="566F632A">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0.05</w:t>
                  </w:r>
                </w:p>
              </w:tc>
              <w:tc>
                <w:tcPr>
                  <w:tcW w:w="1280" w:type="pct"/>
                  <w:tcBorders>
                    <w:tl2br w:val="nil"/>
                    <w:tr2bl w:val="nil"/>
                  </w:tcBorders>
                  <w:shd w:val="clear" w:color="auto" w:fill="FFFFFF"/>
                  <w:vAlign w:val="center"/>
                </w:tcPr>
                <w:p w14:paraId="0F0DDD86">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 xml:space="preserve">0.036 </w:t>
                  </w:r>
                </w:p>
              </w:tc>
              <w:tc>
                <w:tcPr>
                  <w:tcW w:w="738" w:type="pct"/>
                  <w:gridSpan w:val="2"/>
                  <w:vMerge w:val="continue"/>
                  <w:tcBorders>
                    <w:tl2br w:val="nil"/>
                    <w:tr2bl w:val="nil"/>
                  </w:tcBorders>
                  <w:shd w:val="clear" w:color="auto" w:fill="auto"/>
                  <w:noWrap/>
                  <w:vAlign w:val="center"/>
                </w:tcPr>
                <w:p w14:paraId="74E86549">
                  <w:pPr>
                    <w:jc w:val="center"/>
                    <w:rPr>
                      <w:rFonts w:hint="default" w:ascii="Times New Roman" w:hAnsi="Times New Roman" w:eastAsia="宋体" w:cs="Times New Roman"/>
                      <w:i w:val="0"/>
                      <w:iCs w:val="0"/>
                      <w:color w:val="auto"/>
                      <w:sz w:val="18"/>
                      <w:szCs w:val="18"/>
                      <w:highlight w:val="none"/>
                      <w:u w:val="none"/>
                    </w:rPr>
                  </w:pPr>
                </w:p>
              </w:tc>
              <w:tc>
                <w:tcPr>
                  <w:tcW w:w="647" w:type="pct"/>
                  <w:gridSpan w:val="3"/>
                  <w:tcBorders>
                    <w:tl2br w:val="nil"/>
                    <w:tr2bl w:val="nil"/>
                  </w:tcBorders>
                  <w:shd w:val="clear" w:color="auto" w:fill="auto"/>
                  <w:noWrap/>
                  <w:vAlign w:val="center"/>
                </w:tcPr>
                <w:p w14:paraId="5EA85ED6">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w:t>
                  </w:r>
                </w:p>
              </w:tc>
            </w:tr>
            <w:tr w14:paraId="67A6BA2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gridAfter w:val="2"/>
                <w:wAfter w:w="3" w:type="pct"/>
                <w:trHeight w:val="312" w:hRule="atLeast"/>
              </w:trPr>
              <w:tc>
                <w:tcPr>
                  <w:tcW w:w="920" w:type="pct"/>
                  <w:vMerge w:val="continue"/>
                  <w:tcBorders>
                    <w:tl2br w:val="nil"/>
                    <w:tr2bl w:val="nil"/>
                  </w:tcBorders>
                  <w:shd w:val="clear" w:color="auto" w:fill="auto"/>
                  <w:noWrap/>
                  <w:vAlign w:val="center"/>
                </w:tcPr>
                <w:p w14:paraId="59E3FEA8">
                  <w:pPr>
                    <w:jc w:val="center"/>
                    <w:rPr>
                      <w:rFonts w:hint="default" w:ascii="Times New Roman" w:hAnsi="Times New Roman" w:eastAsia="宋体" w:cs="Times New Roman"/>
                      <w:i w:val="0"/>
                      <w:iCs w:val="0"/>
                      <w:color w:val="auto"/>
                      <w:sz w:val="18"/>
                      <w:szCs w:val="18"/>
                      <w:highlight w:val="none"/>
                      <w:u w:val="none"/>
                    </w:rPr>
                  </w:pPr>
                </w:p>
              </w:tc>
              <w:tc>
                <w:tcPr>
                  <w:tcW w:w="836" w:type="pct"/>
                  <w:tcBorders>
                    <w:tl2br w:val="nil"/>
                    <w:tr2bl w:val="nil"/>
                  </w:tcBorders>
                  <w:shd w:val="clear" w:color="auto" w:fill="auto"/>
                  <w:vAlign w:val="center"/>
                </w:tcPr>
                <w:p w14:paraId="042E9DB7">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二氧化锰</w:t>
                  </w:r>
                </w:p>
              </w:tc>
              <w:tc>
                <w:tcPr>
                  <w:tcW w:w="572" w:type="pct"/>
                  <w:tcBorders>
                    <w:tl2br w:val="nil"/>
                    <w:tr2bl w:val="nil"/>
                  </w:tcBorders>
                  <w:shd w:val="clear" w:color="auto" w:fill="auto"/>
                  <w:vAlign w:val="center"/>
                </w:tcPr>
                <w:p w14:paraId="3A61FB1D">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0.05</w:t>
                  </w:r>
                </w:p>
              </w:tc>
              <w:tc>
                <w:tcPr>
                  <w:tcW w:w="1280" w:type="pct"/>
                  <w:tcBorders>
                    <w:tl2br w:val="nil"/>
                    <w:tr2bl w:val="nil"/>
                  </w:tcBorders>
                  <w:shd w:val="clear" w:color="auto" w:fill="FFFFFF"/>
                  <w:vAlign w:val="center"/>
                </w:tcPr>
                <w:p w14:paraId="2285176B">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 xml:space="preserve">0.032 </w:t>
                  </w:r>
                </w:p>
              </w:tc>
              <w:tc>
                <w:tcPr>
                  <w:tcW w:w="738" w:type="pct"/>
                  <w:gridSpan w:val="2"/>
                  <w:vMerge w:val="continue"/>
                  <w:tcBorders>
                    <w:tl2br w:val="nil"/>
                    <w:tr2bl w:val="nil"/>
                  </w:tcBorders>
                  <w:shd w:val="clear" w:color="auto" w:fill="auto"/>
                  <w:noWrap/>
                  <w:vAlign w:val="center"/>
                </w:tcPr>
                <w:p w14:paraId="11D979FC">
                  <w:pPr>
                    <w:jc w:val="center"/>
                    <w:rPr>
                      <w:rFonts w:hint="default" w:ascii="Times New Roman" w:hAnsi="Times New Roman" w:eastAsia="宋体" w:cs="Times New Roman"/>
                      <w:i w:val="0"/>
                      <w:iCs w:val="0"/>
                      <w:color w:val="auto"/>
                      <w:sz w:val="18"/>
                      <w:szCs w:val="18"/>
                      <w:highlight w:val="none"/>
                      <w:u w:val="none"/>
                    </w:rPr>
                  </w:pPr>
                </w:p>
              </w:tc>
              <w:tc>
                <w:tcPr>
                  <w:tcW w:w="647" w:type="pct"/>
                  <w:gridSpan w:val="3"/>
                  <w:tcBorders>
                    <w:tl2br w:val="nil"/>
                    <w:tr2bl w:val="nil"/>
                  </w:tcBorders>
                  <w:shd w:val="clear" w:color="auto" w:fill="auto"/>
                  <w:noWrap/>
                  <w:vAlign w:val="center"/>
                </w:tcPr>
                <w:p w14:paraId="698C8A5B">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w:t>
                  </w:r>
                </w:p>
              </w:tc>
            </w:tr>
            <w:tr w14:paraId="1EB45F4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gridAfter w:val="2"/>
                <w:wAfter w:w="3" w:type="pct"/>
                <w:trHeight w:val="312" w:hRule="atLeast"/>
              </w:trPr>
              <w:tc>
                <w:tcPr>
                  <w:tcW w:w="920" w:type="pct"/>
                  <w:vMerge w:val="continue"/>
                  <w:tcBorders>
                    <w:tl2br w:val="nil"/>
                    <w:tr2bl w:val="nil"/>
                  </w:tcBorders>
                  <w:shd w:val="clear" w:color="auto" w:fill="auto"/>
                  <w:noWrap/>
                  <w:vAlign w:val="center"/>
                </w:tcPr>
                <w:p w14:paraId="50044D1D">
                  <w:pPr>
                    <w:jc w:val="center"/>
                    <w:rPr>
                      <w:rFonts w:hint="default" w:ascii="Times New Roman" w:hAnsi="Times New Roman" w:eastAsia="宋体" w:cs="Times New Roman"/>
                      <w:i w:val="0"/>
                      <w:iCs w:val="0"/>
                      <w:color w:val="auto"/>
                      <w:sz w:val="18"/>
                      <w:szCs w:val="18"/>
                      <w:highlight w:val="none"/>
                      <w:u w:val="none"/>
                    </w:rPr>
                  </w:pPr>
                </w:p>
              </w:tc>
              <w:tc>
                <w:tcPr>
                  <w:tcW w:w="836" w:type="pct"/>
                  <w:tcBorders>
                    <w:tl2br w:val="nil"/>
                    <w:tr2bl w:val="nil"/>
                  </w:tcBorders>
                  <w:shd w:val="clear" w:color="auto" w:fill="auto"/>
                  <w:vAlign w:val="center"/>
                </w:tcPr>
                <w:p w14:paraId="0D5A5300">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碳酸锰</w:t>
                  </w:r>
                </w:p>
              </w:tc>
              <w:tc>
                <w:tcPr>
                  <w:tcW w:w="572" w:type="pct"/>
                  <w:tcBorders>
                    <w:tl2br w:val="nil"/>
                    <w:tr2bl w:val="nil"/>
                  </w:tcBorders>
                  <w:shd w:val="clear" w:color="auto" w:fill="auto"/>
                  <w:vAlign w:val="center"/>
                </w:tcPr>
                <w:p w14:paraId="0CCE30FB">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0.05</w:t>
                  </w:r>
                </w:p>
              </w:tc>
              <w:tc>
                <w:tcPr>
                  <w:tcW w:w="1280" w:type="pct"/>
                  <w:tcBorders>
                    <w:tl2br w:val="nil"/>
                    <w:tr2bl w:val="nil"/>
                  </w:tcBorders>
                  <w:shd w:val="clear" w:color="auto" w:fill="FFFFFF"/>
                  <w:vAlign w:val="center"/>
                </w:tcPr>
                <w:p w14:paraId="3AE1030F">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 xml:space="preserve">0.024 </w:t>
                  </w:r>
                </w:p>
              </w:tc>
              <w:tc>
                <w:tcPr>
                  <w:tcW w:w="738" w:type="pct"/>
                  <w:gridSpan w:val="2"/>
                  <w:vMerge w:val="continue"/>
                  <w:tcBorders>
                    <w:tl2br w:val="nil"/>
                    <w:tr2bl w:val="nil"/>
                  </w:tcBorders>
                  <w:shd w:val="clear" w:color="auto" w:fill="auto"/>
                  <w:noWrap/>
                  <w:vAlign w:val="center"/>
                </w:tcPr>
                <w:p w14:paraId="760C264F">
                  <w:pPr>
                    <w:jc w:val="center"/>
                    <w:rPr>
                      <w:rFonts w:hint="default" w:ascii="Times New Roman" w:hAnsi="Times New Roman" w:eastAsia="宋体" w:cs="Times New Roman"/>
                      <w:i w:val="0"/>
                      <w:iCs w:val="0"/>
                      <w:color w:val="auto"/>
                      <w:sz w:val="18"/>
                      <w:szCs w:val="18"/>
                      <w:highlight w:val="none"/>
                      <w:u w:val="none"/>
                    </w:rPr>
                  </w:pPr>
                </w:p>
              </w:tc>
              <w:tc>
                <w:tcPr>
                  <w:tcW w:w="647" w:type="pct"/>
                  <w:gridSpan w:val="3"/>
                  <w:tcBorders>
                    <w:tl2br w:val="nil"/>
                    <w:tr2bl w:val="nil"/>
                  </w:tcBorders>
                  <w:shd w:val="clear" w:color="auto" w:fill="auto"/>
                  <w:noWrap/>
                  <w:vAlign w:val="center"/>
                </w:tcPr>
                <w:p w14:paraId="174D7231">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w:t>
                  </w:r>
                </w:p>
              </w:tc>
            </w:tr>
            <w:tr w14:paraId="23E2428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gridAfter w:val="2"/>
                <w:wAfter w:w="3" w:type="pct"/>
                <w:trHeight w:val="312" w:hRule="atLeast"/>
              </w:trPr>
              <w:tc>
                <w:tcPr>
                  <w:tcW w:w="920" w:type="pct"/>
                  <w:vMerge w:val="continue"/>
                  <w:tcBorders>
                    <w:tl2br w:val="nil"/>
                    <w:tr2bl w:val="nil"/>
                  </w:tcBorders>
                  <w:shd w:val="clear" w:color="auto" w:fill="auto"/>
                  <w:noWrap/>
                  <w:vAlign w:val="center"/>
                </w:tcPr>
                <w:p w14:paraId="1D6FFEDD">
                  <w:pPr>
                    <w:jc w:val="center"/>
                    <w:rPr>
                      <w:rFonts w:hint="default" w:ascii="Times New Roman" w:hAnsi="Times New Roman" w:eastAsia="宋体" w:cs="Times New Roman"/>
                      <w:i w:val="0"/>
                      <w:iCs w:val="0"/>
                      <w:color w:val="auto"/>
                      <w:sz w:val="18"/>
                      <w:szCs w:val="18"/>
                      <w:highlight w:val="none"/>
                      <w:u w:val="none"/>
                    </w:rPr>
                  </w:pPr>
                </w:p>
              </w:tc>
              <w:tc>
                <w:tcPr>
                  <w:tcW w:w="836" w:type="pct"/>
                  <w:tcBorders>
                    <w:tl2br w:val="nil"/>
                    <w:tr2bl w:val="nil"/>
                  </w:tcBorders>
                  <w:shd w:val="clear" w:color="auto" w:fill="auto"/>
                  <w:vAlign w:val="center"/>
                </w:tcPr>
                <w:p w14:paraId="7016E7F8">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磷酸锰</w:t>
                  </w:r>
                </w:p>
              </w:tc>
              <w:tc>
                <w:tcPr>
                  <w:tcW w:w="572" w:type="pct"/>
                  <w:tcBorders>
                    <w:tl2br w:val="nil"/>
                    <w:tr2bl w:val="nil"/>
                  </w:tcBorders>
                  <w:shd w:val="clear" w:color="auto" w:fill="auto"/>
                  <w:vAlign w:val="center"/>
                </w:tcPr>
                <w:p w14:paraId="6F328CA4">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0.05</w:t>
                  </w:r>
                </w:p>
              </w:tc>
              <w:tc>
                <w:tcPr>
                  <w:tcW w:w="1280" w:type="pct"/>
                  <w:tcBorders>
                    <w:tl2br w:val="nil"/>
                    <w:tr2bl w:val="nil"/>
                  </w:tcBorders>
                  <w:shd w:val="clear" w:color="auto" w:fill="FFFFFF"/>
                  <w:vAlign w:val="center"/>
                </w:tcPr>
                <w:p w14:paraId="7179261A">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 xml:space="preserve">0.018 </w:t>
                  </w:r>
                </w:p>
              </w:tc>
              <w:tc>
                <w:tcPr>
                  <w:tcW w:w="738" w:type="pct"/>
                  <w:gridSpan w:val="2"/>
                  <w:vMerge w:val="continue"/>
                  <w:tcBorders>
                    <w:tl2br w:val="nil"/>
                    <w:tr2bl w:val="nil"/>
                  </w:tcBorders>
                  <w:shd w:val="clear" w:color="auto" w:fill="auto"/>
                  <w:noWrap/>
                  <w:vAlign w:val="center"/>
                </w:tcPr>
                <w:p w14:paraId="040F6BCE">
                  <w:pPr>
                    <w:jc w:val="center"/>
                    <w:rPr>
                      <w:rFonts w:hint="default" w:ascii="Times New Roman" w:hAnsi="Times New Roman" w:eastAsia="宋体" w:cs="Times New Roman"/>
                      <w:i w:val="0"/>
                      <w:iCs w:val="0"/>
                      <w:color w:val="auto"/>
                      <w:sz w:val="18"/>
                      <w:szCs w:val="18"/>
                      <w:highlight w:val="none"/>
                      <w:u w:val="none"/>
                    </w:rPr>
                  </w:pPr>
                </w:p>
              </w:tc>
              <w:tc>
                <w:tcPr>
                  <w:tcW w:w="647" w:type="pct"/>
                  <w:gridSpan w:val="3"/>
                  <w:tcBorders>
                    <w:tl2br w:val="nil"/>
                    <w:tr2bl w:val="nil"/>
                  </w:tcBorders>
                  <w:shd w:val="clear" w:color="auto" w:fill="auto"/>
                  <w:noWrap/>
                  <w:vAlign w:val="center"/>
                </w:tcPr>
                <w:p w14:paraId="4092386A">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w:t>
                  </w:r>
                </w:p>
              </w:tc>
            </w:tr>
            <w:tr w14:paraId="55E1CB7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gridAfter w:val="2"/>
                <w:wAfter w:w="3" w:type="pct"/>
                <w:trHeight w:val="312" w:hRule="atLeast"/>
              </w:trPr>
              <w:tc>
                <w:tcPr>
                  <w:tcW w:w="920" w:type="pct"/>
                  <w:vMerge w:val="continue"/>
                  <w:tcBorders>
                    <w:tl2br w:val="nil"/>
                    <w:tr2bl w:val="nil"/>
                  </w:tcBorders>
                  <w:shd w:val="clear" w:color="auto" w:fill="auto"/>
                  <w:noWrap/>
                  <w:vAlign w:val="center"/>
                </w:tcPr>
                <w:p w14:paraId="55AD54B6">
                  <w:pPr>
                    <w:jc w:val="center"/>
                    <w:rPr>
                      <w:rFonts w:hint="default" w:ascii="Times New Roman" w:hAnsi="Times New Roman" w:eastAsia="宋体" w:cs="Times New Roman"/>
                      <w:i w:val="0"/>
                      <w:iCs w:val="0"/>
                      <w:color w:val="auto"/>
                      <w:sz w:val="18"/>
                      <w:szCs w:val="18"/>
                      <w:highlight w:val="none"/>
                      <w:u w:val="none"/>
                    </w:rPr>
                  </w:pPr>
                </w:p>
              </w:tc>
              <w:tc>
                <w:tcPr>
                  <w:tcW w:w="836" w:type="pct"/>
                  <w:tcBorders>
                    <w:tl2br w:val="nil"/>
                    <w:tr2bl w:val="nil"/>
                  </w:tcBorders>
                  <w:shd w:val="clear" w:color="auto" w:fill="auto"/>
                  <w:vAlign w:val="center"/>
                </w:tcPr>
                <w:p w14:paraId="716379F5">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硫酸锰</w:t>
                  </w:r>
                </w:p>
              </w:tc>
              <w:tc>
                <w:tcPr>
                  <w:tcW w:w="572" w:type="pct"/>
                  <w:tcBorders>
                    <w:tl2br w:val="nil"/>
                    <w:tr2bl w:val="nil"/>
                  </w:tcBorders>
                  <w:shd w:val="clear" w:color="auto" w:fill="auto"/>
                  <w:vAlign w:val="center"/>
                </w:tcPr>
                <w:p w14:paraId="1DDEB07B">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0.05</w:t>
                  </w:r>
                </w:p>
              </w:tc>
              <w:tc>
                <w:tcPr>
                  <w:tcW w:w="1280" w:type="pct"/>
                  <w:tcBorders>
                    <w:tl2br w:val="nil"/>
                    <w:tr2bl w:val="nil"/>
                  </w:tcBorders>
                  <w:shd w:val="clear" w:color="auto" w:fill="FFFFFF"/>
                  <w:vAlign w:val="center"/>
                </w:tcPr>
                <w:p w14:paraId="29B1D111">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 xml:space="preserve">0.018 </w:t>
                  </w:r>
                </w:p>
              </w:tc>
              <w:tc>
                <w:tcPr>
                  <w:tcW w:w="738" w:type="pct"/>
                  <w:gridSpan w:val="2"/>
                  <w:vMerge w:val="continue"/>
                  <w:tcBorders>
                    <w:tl2br w:val="nil"/>
                    <w:tr2bl w:val="nil"/>
                  </w:tcBorders>
                  <w:shd w:val="clear" w:color="auto" w:fill="auto"/>
                  <w:noWrap/>
                  <w:vAlign w:val="center"/>
                </w:tcPr>
                <w:p w14:paraId="737BC349">
                  <w:pPr>
                    <w:jc w:val="center"/>
                    <w:rPr>
                      <w:rFonts w:hint="default" w:ascii="Times New Roman" w:hAnsi="Times New Roman" w:eastAsia="宋体" w:cs="Times New Roman"/>
                      <w:i w:val="0"/>
                      <w:iCs w:val="0"/>
                      <w:color w:val="auto"/>
                      <w:sz w:val="18"/>
                      <w:szCs w:val="18"/>
                      <w:highlight w:val="none"/>
                      <w:u w:val="none"/>
                    </w:rPr>
                  </w:pPr>
                </w:p>
              </w:tc>
              <w:tc>
                <w:tcPr>
                  <w:tcW w:w="647" w:type="pct"/>
                  <w:gridSpan w:val="3"/>
                  <w:tcBorders>
                    <w:tl2br w:val="nil"/>
                    <w:tr2bl w:val="nil"/>
                  </w:tcBorders>
                  <w:shd w:val="clear" w:color="auto" w:fill="auto"/>
                  <w:noWrap/>
                  <w:vAlign w:val="center"/>
                </w:tcPr>
                <w:p w14:paraId="5B51FC5B">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w:t>
                  </w:r>
                </w:p>
              </w:tc>
            </w:tr>
            <w:tr w14:paraId="480EB22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gridAfter w:val="2"/>
                <w:wAfter w:w="3" w:type="pct"/>
                <w:trHeight w:val="312" w:hRule="atLeast"/>
              </w:trPr>
              <w:tc>
                <w:tcPr>
                  <w:tcW w:w="920" w:type="pct"/>
                  <w:vMerge w:val="continue"/>
                  <w:tcBorders>
                    <w:tl2br w:val="nil"/>
                    <w:tr2bl w:val="nil"/>
                  </w:tcBorders>
                  <w:shd w:val="clear" w:color="auto" w:fill="auto"/>
                  <w:noWrap/>
                  <w:vAlign w:val="center"/>
                </w:tcPr>
                <w:p w14:paraId="3EA0B5E1">
                  <w:pPr>
                    <w:jc w:val="center"/>
                    <w:rPr>
                      <w:rFonts w:hint="default" w:ascii="Times New Roman" w:hAnsi="Times New Roman" w:eastAsia="宋体" w:cs="Times New Roman"/>
                      <w:i w:val="0"/>
                      <w:iCs w:val="0"/>
                      <w:color w:val="auto"/>
                      <w:sz w:val="18"/>
                      <w:szCs w:val="18"/>
                      <w:highlight w:val="none"/>
                      <w:u w:val="none"/>
                    </w:rPr>
                  </w:pPr>
                </w:p>
              </w:tc>
              <w:tc>
                <w:tcPr>
                  <w:tcW w:w="836" w:type="pct"/>
                  <w:tcBorders>
                    <w:tl2br w:val="nil"/>
                    <w:tr2bl w:val="nil"/>
                  </w:tcBorders>
                  <w:shd w:val="clear" w:color="auto" w:fill="auto"/>
                  <w:vAlign w:val="center"/>
                </w:tcPr>
                <w:p w14:paraId="7CC2FCB6">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草酸锰</w:t>
                  </w:r>
                </w:p>
              </w:tc>
              <w:tc>
                <w:tcPr>
                  <w:tcW w:w="572" w:type="pct"/>
                  <w:tcBorders>
                    <w:tl2br w:val="nil"/>
                    <w:tr2bl w:val="nil"/>
                  </w:tcBorders>
                  <w:shd w:val="clear" w:color="auto" w:fill="auto"/>
                  <w:vAlign w:val="center"/>
                </w:tcPr>
                <w:p w14:paraId="61DBA069">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0.05</w:t>
                  </w:r>
                </w:p>
              </w:tc>
              <w:tc>
                <w:tcPr>
                  <w:tcW w:w="1280" w:type="pct"/>
                  <w:tcBorders>
                    <w:tl2br w:val="nil"/>
                    <w:tr2bl w:val="nil"/>
                  </w:tcBorders>
                  <w:shd w:val="clear" w:color="auto" w:fill="FFFFFF"/>
                  <w:vAlign w:val="center"/>
                </w:tcPr>
                <w:p w14:paraId="7617FB5F">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 xml:space="preserve">0.016 </w:t>
                  </w:r>
                </w:p>
              </w:tc>
              <w:tc>
                <w:tcPr>
                  <w:tcW w:w="738" w:type="pct"/>
                  <w:gridSpan w:val="2"/>
                  <w:vMerge w:val="continue"/>
                  <w:tcBorders>
                    <w:tl2br w:val="nil"/>
                    <w:tr2bl w:val="nil"/>
                  </w:tcBorders>
                  <w:shd w:val="clear" w:color="auto" w:fill="auto"/>
                  <w:noWrap/>
                  <w:vAlign w:val="center"/>
                </w:tcPr>
                <w:p w14:paraId="38F4A2D3">
                  <w:pPr>
                    <w:jc w:val="center"/>
                    <w:rPr>
                      <w:rFonts w:hint="default" w:ascii="Times New Roman" w:hAnsi="Times New Roman" w:eastAsia="宋体" w:cs="Times New Roman"/>
                      <w:i w:val="0"/>
                      <w:iCs w:val="0"/>
                      <w:color w:val="auto"/>
                      <w:sz w:val="18"/>
                      <w:szCs w:val="18"/>
                      <w:highlight w:val="none"/>
                      <w:u w:val="none"/>
                    </w:rPr>
                  </w:pPr>
                </w:p>
              </w:tc>
              <w:tc>
                <w:tcPr>
                  <w:tcW w:w="647" w:type="pct"/>
                  <w:gridSpan w:val="3"/>
                  <w:tcBorders>
                    <w:tl2br w:val="nil"/>
                    <w:tr2bl w:val="nil"/>
                  </w:tcBorders>
                  <w:shd w:val="clear" w:color="auto" w:fill="auto"/>
                  <w:noWrap/>
                  <w:vAlign w:val="center"/>
                </w:tcPr>
                <w:p w14:paraId="5B3E60E1">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w:t>
                  </w:r>
                </w:p>
              </w:tc>
            </w:tr>
            <w:tr w14:paraId="6C79F32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gridAfter w:val="2"/>
                <w:wAfter w:w="3" w:type="pct"/>
                <w:trHeight w:val="312" w:hRule="atLeast"/>
              </w:trPr>
              <w:tc>
                <w:tcPr>
                  <w:tcW w:w="920" w:type="pct"/>
                  <w:vMerge w:val="continue"/>
                  <w:tcBorders>
                    <w:tl2br w:val="nil"/>
                    <w:tr2bl w:val="nil"/>
                  </w:tcBorders>
                  <w:shd w:val="clear" w:color="auto" w:fill="auto"/>
                  <w:noWrap/>
                  <w:vAlign w:val="center"/>
                </w:tcPr>
                <w:p w14:paraId="00B8660B">
                  <w:pPr>
                    <w:jc w:val="center"/>
                    <w:rPr>
                      <w:rFonts w:hint="default" w:ascii="Times New Roman" w:hAnsi="Times New Roman" w:eastAsia="宋体" w:cs="Times New Roman"/>
                      <w:i w:val="0"/>
                      <w:iCs w:val="0"/>
                      <w:color w:val="auto"/>
                      <w:sz w:val="18"/>
                      <w:szCs w:val="18"/>
                      <w:highlight w:val="none"/>
                      <w:u w:val="none"/>
                    </w:rPr>
                  </w:pPr>
                </w:p>
              </w:tc>
              <w:tc>
                <w:tcPr>
                  <w:tcW w:w="836" w:type="pct"/>
                  <w:tcBorders>
                    <w:tl2br w:val="nil"/>
                    <w:tr2bl w:val="nil"/>
                  </w:tcBorders>
                  <w:shd w:val="clear" w:color="auto" w:fill="auto"/>
                  <w:noWrap/>
                  <w:vAlign w:val="center"/>
                </w:tcPr>
                <w:p w14:paraId="03FE8322">
                  <w:pPr>
                    <w:keepNext w:val="0"/>
                    <w:keepLines w:val="0"/>
                    <w:widowControl/>
                    <w:suppressLineNumbers w:val="0"/>
                    <w:jc w:val="center"/>
                    <w:textAlignment w:val="center"/>
                    <w:rPr>
                      <w:rFonts w:ascii="Times New Roman" w:hAnsi="Times New Roman" w:eastAsia="黑体" w:cs="Times New Roman"/>
                      <w:b/>
                      <w:bCs/>
                      <w:i w:val="0"/>
                      <w:iCs w:val="0"/>
                      <w:color w:val="auto"/>
                      <w:sz w:val="18"/>
                      <w:szCs w:val="18"/>
                      <w:highlight w:val="none"/>
                      <w:u w:val="none"/>
                    </w:rPr>
                  </w:pPr>
                  <w:r>
                    <w:rPr>
                      <w:rFonts w:hint="default" w:ascii="Times New Roman" w:hAnsi="Times New Roman" w:eastAsia="黑体" w:cs="Times New Roman"/>
                      <w:b/>
                      <w:bCs/>
                      <w:i w:val="0"/>
                      <w:iCs w:val="0"/>
                      <w:color w:val="auto"/>
                      <w:kern w:val="0"/>
                      <w:sz w:val="18"/>
                      <w:szCs w:val="18"/>
                      <w:highlight w:val="none"/>
                      <w:u w:val="none"/>
                      <w:lang w:val="en-US" w:eastAsia="zh-CN" w:bidi="ar"/>
                    </w:rPr>
                    <w:t>合计</w:t>
                  </w:r>
                </w:p>
              </w:tc>
              <w:tc>
                <w:tcPr>
                  <w:tcW w:w="572" w:type="pct"/>
                  <w:tcBorders>
                    <w:tl2br w:val="nil"/>
                    <w:tr2bl w:val="nil"/>
                  </w:tcBorders>
                  <w:shd w:val="clear" w:color="auto" w:fill="auto"/>
                  <w:noWrap/>
                  <w:vAlign w:val="center"/>
                </w:tcPr>
                <w:p w14:paraId="5D9B4461">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0.35</w:t>
                  </w:r>
                </w:p>
              </w:tc>
              <w:tc>
                <w:tcPr>
                  <w:tcW w:w="1280" w:type="pct"/>
                  <w:tcBorders>
                    <w:tl2br w:val="nil"/>
                    <w:tr2bl w:val="nil"/>
                  </w:tcBorders>
                  <w:shd w:val="clear" w:color="auto" w:fill="auto"/>
                  <w:noWrap/>
                  <w:vAlign w:val="center"/>
                </w:tcPr>
                <w:p w14:paraId="06937890">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lang w:val="en-US"/>
                    </w:rPr>
                  </w:pPr>
                  <w:r>
                    <w:rPr>
                      <w:rFonts w:hint="eastAsia" w:cs="Times New Roman"/>
                      <w:i w:val="0"/>
                      <w:iCs w:val="0"/>
                      <w:color w:val="auto"/>
                      <w:kern w:val="0"/>
                      <w:sz w:val="18"/>
                      <w:szCs w:val="18"/>
                      <w:highlight w:val="none"/>
                      <w:u w:val="none"/>
                      <w:lang w:val="en-US" w:eastAsia="zh-CN" w:bidi="ar"/>
                    </w:rPr>
                    <w:t>0.144</w:t>
                  </w:r>
                </w:p>
              </w:tc>
              <w:tc>
                <w:tcPr>
                  <w:tcW w:w="738" w:type="pct"/>
                  <w:gridSpan w:val="2"/>
                  <w:vMerge w:val="continue"/>
                  <w:tcBorders>
                    <w:tl2br w:val="nil"/>
                    <w:tr2bl w:val="nil"/>
                  </w:tcBorders>
                  <w:shd w:val="clear" w:color="auto" w:fill="auto"/>
                  <w:noWrap/>
                  <w:vAlign w:val="center"/>
                </w:tcPr>
                <w:p w14:paraId="17046EBE">
                  <w:pPr>
                    <w:jc w:val="center"/>
                    <w:rPr>
                      <w:rFonts w:hint="default" w:ascii="Times New Roman" w:hAnsi="Times New Roman" w:eastAsia="宋体" w:cs="Times New Roman"/>
                      <w:i w:val="0"/>
                      <w:iCs w:val="0"/>
                      <w:color w:val="auto"/>
                      <w:sz w:val="18"/>
                      <w:szCs w:val="18"/>
                      <w:highlight w:val="none"/>
                      <w:u w:val="none"/>
                    </w:rPr>
                  </w:pPr>
                </w:p>
              </w:tc>
              <w:tc>
                <w:tcPr>
                  <w:tcW w:w="647" w:type="pct"/>
                  <w:gridSpan w:val="3"/>
                  <w:tcBorders>
                    <w:tl2br w:val="nil"/>
                    <w:tr2bl w:val="nil"/>
                  </w:tcBorders>
                  <w:shd w:val="clear" w:color="auto" w:fill="auto"/>
                  <w:noWrap/>
                  <w:vAlign w:val="center"/>
                </w:tcPr>
                <w:p w14:paraId="453D6204">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lang w:val="en-US"/>
                    </w:rPr>
                  </w:pPr>
                  <w:r>
                    <w:rPr>
                      <w:rFonts w:hint="eastAsia" w:cs="Times New Roman"/>
                      <w:i w:val="0"/>
                      <w:iCs w:val="0"/>
                      <w:color w:val="auto"/>
                      <w:kern w:val="0"/>
                      <w:sz w:val="18"/>
                      <w:szCs w:val="18"/>
                      <w:highlight w:val="none"/>
                      <w:u w:val="none"/>
                      <w:lang w:val="en-US" w:eastAsia="zh-CN" w:bidi="ar"/>
                    </w:rPr>
                    <w:t>0.576</w:t>
                  </w:r>
                </w:p>
              </w:tc>
            </w:tr>
            <w:tr w14:paraId="7B4BE50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gridAfter w:val="1"/>
                <w:wAfter w:w="1" w:type="pct"/>
                <w:trHeight w:val="312" w:hRule="atLeast"/>
              </w:trPr>
              <w:tc>
                <w:tcPr>
                  <w:tcW w:w="920" w:type="pct"/>
                  <w:vMerge w:val="restart"/>
                  <w:tcBorders>
                    <w:tl2br w:val="nil"/>
                    <w:tr2bl w:val="nil"/>
                  </w:tcBorders>
                  <w:shd w:val="clear" w:color="auto" w:fill="auto"/>
                  <w:noWrap/>
                  <w:vAlign w:val="center"/>
                </w:tcPr>
                <w:p w14:paraId="44638BF6">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扣电组装测试</w:t>
                  </w:r>
                </w:p>
              </w:tc>
              <w:tc>
                <w:tcPr>
                  <w:tcW w:w="836" w:type="pct"/>
                  <w:tcBorders>
                    <w:tl2br w:val="nil"/>
                    <w:tr2bl w:val="nil"/>
                  </w:tcBorders>
                  <w:shd w:val="clear" w:color="auto" w:fill="auto"/>
                  <w:noWrap/>
                  <w:vAlign w:val="center"/>
                </w:tcPr>
                <w:p w14:paraId="328DF173">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NMP</w:t>
                  </w:r>
                  <w:r>
                    <w:rPr>
                      <w:rFonts w:hint="default" w:ascii="Times New Roman" w:hAnsi="Times New Roman" w:eastAsia="宋体" w:cs="Times New Roman"/>
                      <w:i w:val="0"/>
                      <w:iCs w:val="0"/>
                      <w:color w:val="auto"/>
                      <w:kern w:val="0"/>
                      <w:sz w:val="18"/>
                      <w:szCs w:val="18"/>
                      <w:highlight w:val="none"/>
                      <w:u w:val="none"/>
                      <w:vertAlign w:val="superscript"/>
                      <w:lang w:val="en-US" w:eastAsia="zh-CN" w:bidi="ar"/>
                    </w:rPr>
                    <w:t>②</w:t>
                  </w:r>
                </w:p>
              </w:tc>
              <w:tc>
                <w:tcPr>
                  <w:tcW w:w="1854" w:type="pct"/>
                  <w:gridSpan w:val="3"/>
                  <w:tcBorders>
                    <w:tl2br w:val="nil"/>
                    <w:tr2bl w:val="nil"/>
                  </w:tcBorders>
                  <w:shd w:val="clear" w:color="auto" w:fill="auto"/>
                  <w:noWrap/>
                  <w:vAlign w:val="center"/>
                </w:tcPr>
                <w:p w14:paraId="1E4E9E49">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0.001</w:t>
                  </w:r>
                </w:p>
              </w:tc>
              <w:tc>
                <w:tcPr>
                  <w:tcW w:w="738" w:type="pct"/>
                  <w:gridSpan w:val="2"/>
                  <w:tcBorders>
                    <w:tl2br w:val="nil"/>
                    <w:tr2bl w:val="nil"/>
                  </w:tcBorders>
                  <w:shd w:val="clear" w:color="auto" w:fill="auto"/>
                  <w:noWrap/>
                  <w:vAlign w:val="center"/>
                </w:tcPr>
                <w:p w14:paraId="0755EF8C">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10</w:t>
                  </w:r>
                </w:p>
              </w:tc>
              <w:tc>
                <w:tcPr>
                  <w:tcW w:w="647" w:type="pct"/>
                  <w:gridSpan w:val="3"/>
                  <w:tcBorders>
                    <w:tl2br w:val="nil"/>
                    <w:tr2bl w:val="nil"/>
                  </w:tcBorders>
                  <w:shd w:val="clear" w:color="auto" w:fill="auto"/>
                  <w:noWrap/>
                  <w:vAlign w:val="center"/>
                </w:tcPr>
                <w:p w14:paraId="607DBD13">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 xml:space="preserve">0.0001 </w:t>
                  </w:r>
                </w:p>
              </w:tc>
            </w:tr>
            <w:tr w14:paraId="261C1C7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gridAfter w:val="1"/>
                <w:wAfter w:w="1" w:type="pct"/>
                <w:trHeight w:val="312" w:hRule="atLeast"/>
              </w:trPr>
              <w:tc>
                <w:tcPr>
                  <w:tcW w:w="920" w:type="pct"/>
                  <w:vMerge w:val="continue"/>
                  <w:tcBorders>
                    <w:tl2br w:val="nil"/>
                    <w:tr2bl w:val="nil"/>
                  </w:tcBorders>
                  <w:shd w:val="clear" w:color="auto" w:fill="auto"/>
                  <w:noWrap/>
                  <w:vAlign w:val="center"/>
                </w:tcPr>
                <w:p w14:paraId="3DBA6658">
                  <w:pPr>
                    <w:jc w:val="center"/>
                    <w:rPr>
                      <w:rFonts w:hint="default" w:ascii="Times New Roman" w:hAnsi="Times New Roman" w:eastAsia="宋体" w:cs="Times New Roman"/>
                      <w:i w:val="0"/>
                      <w:iCs w:val="0"/>
                      <w:color w:val="auto"/>
                      <w:sz w:val="18"/>
                      <w:szCs w:val="18"/>
                      <w:highlight w:val="none"/>
                      <w:u w:val="none"/>
                    </w:rPr>
                  </w:pPr>
                </w:p>
              </w:tc>
              <w:tc>
                <w:tcPr>
                  <w:tcW w:w="836" w:type="pct"/>
                  <w:tcBorders>
                    <w:tl2br w:val="nil"/>
                    <w:tr2bl w:val="nil"/>
                  </w:tcBorders>
                  <w:shd w:val="clear" w:color="auto" w:fill="auto"/>
                  <w:noWrap/>
                  <w:vAlign w:val="center"/>
                </w:tcPr>
                <w:p w14:paraId="0D7A229F">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电解液</w:t>
                  </w:r>
                  <w:r>
                    <w:rPr>
                      <w:rFonts w:hint="default" w:ascii="Times New Roman" w:hAnsi="Times New Roman" w:eastAsia="宋体" w:cs="Times New Roman"/>
                      <w:i w:val="0"/>
                      <w:iCs w:val="0"/>
                      <w:color w:val="auto"/>
                      <w:kern w:val="0"/>
                      <w:sz w:val="18"/>
                      <w:szCs w:val="18"/>
                      <w:highlight w:val="none"/>
                      <w:u w:val="none"/>
                      <w:vertAlign w:val="superscript"/>
                      <w:lang w:val="en-US" w:eastAsia="zh-CN" w:bidi="ar"/>
                    </w:rPr>
                    <w:t>③</w:t>
                  </w:r>
                </w:p>
              </w:tc>
              <w:tc>
                <w:tcPr>
                  <w:tcW w:w="1854" w:type="pct"/>
                  <w:gridSpan w:val="3"/>
                  <w:tcBorders>
                    <w:tl2br w:val="nil"/>
                    <w:tr2bl w:val="nil"/>
                  </w:tcBorders>
                  <w:shd w:val="clear" w:color="auto" w:fill="auto"/>
                  <w:noWrap/>
                  <w:vAlign w:val="center"/>
                </w:tcPr>
                <w:p w14:paraId="6437A117">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0.0001</w:t>
                  </w:r>
                </w:p>
              </w:tc>
              <w:tc>
                <w:tcPr>
                  <w:tcW w:w="738" w:type="pct"/>
                  <w:gridSpan w:val="2"/>
                  <w:tcBorders>
                    <w:tl2br w:val="nil"/>
                    <w:tr2bl w:val="nil"/>
                  </w:tcBorders>
                  <w:shd w:val="clear" w:color="auto" w:fill="auto"/>
                  <w:noWrap/>
                  <w:vAlign w:val="center"/>
                </w:tcPr>
                <w:p w14:paraId="680557B8">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200</w:t>
                  </w:r>
                </w:p>
              </w:tc>
              <w:tc>
                <w:tcPr>
                  <w:tcW w:w="647" w:type="pct"/>
                  <w:gridSpan w:val="3"/>
                  <w:tcBorders>
                    <w:tl2br w:val="nil"/>
                    <w:tr2bl w:val="nil"/>
                  </w:tcBorders>
                  <w:shd w:val="clear" w:color="auto" w:fill="auto"/>
                  <w:noWrap/>
                  <w:vAlign w:val="center"/>
                </w:tcPr>
                <w:p w14:paraId="033464D1">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 xml:space="preserve">0.0000 </w:t>
                  </w:r>
                </w:p>
              </w:tc>
            </w:tr>
            <w:tr w14:paraId="5978C2B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gridAfter w:val="1"/>
                <w:wAfter w:w="1" w:type="pct"/>
                <w:trHeight w:val="312" w:hRule="atLeast"/>
              </w:trPr>
              <w:tc>
                <w:tcPr>
                  <w:tcW w:w="920" w:type="pct"/>
                  <w:tcBorders>
                    <w:tl2br w:val="nil"/>
                    <w:tr2bl w:val="nil"/>
                  </w:tcBorders>
                  <w:shd w:val="clear" w:color="auto" w:fill="auto"/>
                  <w:noWrap/>
                  <w:vAlign w:val="center"/>
                </w:tcPr>
                <w:p w14:paraId="7AC52DB6">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危废储存</w:t>
                  </w:r>
                </w:p>
              </w:tc>
              <w:tc>
                <w:tcPr>
                  <w:tcW w:w="836" w:type="pct"/>
                  <w:tcBorders>
                    <w:tl2br w:val="nil"/>
                    <w:tr2bl w:val="nil"/>
                  </w:tcBorders>
                  <w:shd w:val="clear" w:color="auto" w:fill="auto"/>
                  <w:noWrap/>
                  <w:vAlign w:val="center"/>
                </w:tcPr>
                <w:p w14:paraId="13D0FED7">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危险废物</w:t>
                  </w:r>
                  <w:r>
                    <w:rPr>
                      <w:rFonts w:hint="default" w:ascii="Times New Roman" w:hAnsi="Times New Roman" w:eastAsia="宋体" w:cs="Times New Roman"/>
                      <w:i w:val="0"/>
                      <w:iCs w:val="0"/>
                      <w:color w:val="auto"/>
                      <w:kern w:val="0"/>
                      <w:sz w:val="18"/>
                      <w:szCs w:val="18"/>
                      <w:highlight w:val="none"/>
                      <w:u w:val="none"/>
                      <w:vertAlign w:val="superscript"/>
                      <w:lang w:val="en-US" w:eastAsia="zh-CN" w:bidi="ar"/>
                    </w:rPr>
                    <w:t>④</w:t>
                  </w:r>
                </w:p>
              </w:tc>
              <w:tc>
                <w:tcPr>
                  <w:tcW w:w="1854" w:type="pct"/>
                  <w:gridSpan w:val="3"/>
                  <w:tcBorders>
                    <w:tl2br w:val="nil"/>
                    <w:tr2bl w:val="nil"/>
                  </w:tcBorders>
                  <w:shd w:val="clear" w:color="auto" w:fill="auto"/>
                  <w:noWrap/>
                  <w:vAlign w:val="center"/>
                </w:tcPr>
                <w:p w14:paraId="5F163A01">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eastAsia" w:cs="Times New Roman"/>
                      <w:i w:val="0"/>
                      <w:iCs w:val="0"/>
                      <w:color w:val="auto"/>
                      <w:kern w:val="0"/>
                      <w:sz w:val="18"/>
                      <w:szCs w:val="18"/>
                      <w:highlight w:val="none"/>
                      <w:u w:val="none"/>
                      <w:lang w:val="en-US" w:eastAsia="zh-CN" w:bidi="ar"/>
                    </w:rPr>
                    <w:t>1</w:t>
                  </w:r>
                </w:p>
              </w:tc>
              <w:tc>
                <w:tcPr>
                  <w:tcW w:w="738" w:type="pct"/>
                  <w:gridSpan w:val="2"/>
                  <w:tcBorders>
                    <w:tl2br w:val="nil"/>
                    <w:tr2bl w:val="nil"/>
                  </w:tcBorders>
                  <w:shd w:val="clear" w:color="auto" w:fill="auto"/>
                  <w:noWrap/>
                  <w:vAlign w:val="center"/>
                </w:tcPr>
                <w:p w14:paraId="440C487F">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50</w:t>
                  </w:r>
                </w:p>
              </w:tc>
              <w:tc>
                <w:tcPr>
                  <w:tcW w:w="647" w:type="pct"/>
                  <w:gridSpan w:val="3"/>
                  <w:tcBorders>
                    <w:tl2br w:val="nil"/>
                    <w:tr2bl w:val="nil"/>
                  </w:tcBorders>
                  <w:shd w:val="clear" w:color="auto" w:fill="auto"/>
                  <w:noWrap/>
                  <w:vAlign w:val="center"/>
                </w:tcPr>
                <w:p w14:paraId="18515B13">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eastAsia" w:cs="Times New Roman"/>
                      <w:i w:val="0"/>
                      <w:iCs w:val="0"/>
                      <w:color w:val="auto"/>
                      <w:kern w:val="0"/>
                      <w:sz w:val="18"/>
                      <w:szCs w:val="18"/>
                      <w:highlight w:val="none"/>
                      <w:u w:val="none"/>
                      <w:lang w:val="en-US" w:eastAsia="zh-CN" w:bidi="ar"/>
                    </w:rPr>
                    <w:t>0.02</w:t>
                  </w:r>
                  <w:r>
                    <w:rPr>
                      <w:rFonts w:hint="default" w:ascii="Times New Roman" w:hAnsi="Times New Roman" w:eastAsia="宋体" w:cs="Times New Roman"/>
                      <w:i w:val="0"/>
                      <w:iCs w:val="0"/>
                      <w:color w:val="auto"/>
                      <w:kern w:val="0"/>
                      <w:sz w:val="18"/>
                      <w:szCs w:val="18"/>
                      <w:highlight w:val="none"/>
                      <w:u w:val="none"/>
                      <w:lang w:val="en-US" w:eastAsia="zh-CN" w:bidi="ar"/>
                    </w:rPr>
                    <w:t xml:space="preserve"> </w:t>
                  </w:r>
                </w:p>
              </w:tc>
            </w:tr>
            <w:tr w14:paraId="13BAB15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12" w:hRule="atLeast"/>
              </w:trPr>
              <w:tc>
                <w:tcPr>
                  <w:tcW w:w="920" w:type="pct"/>
                  <w:tcBorders>
                    <w:tl2br w:val="nil"/>
                    <w:tr2bl w:val="nil"/>
                  </w:tcBorders>
                  <w:shd w:val="clear" w:color="auto" w:fill="auto"/>
                  <w:noWrap/>
                  <w:vAlign w:val="center"/>
                </w:tcPr>
                <w:p w14:paraId="2AE2CD12">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合计</w:t>
                  </w:r>
                </w:p>
              </w:tc>
              <w:tc>
                <w:tcPr>
                  <w:tcW w:w="3432" w:type="pct"/>
                  <w:gridSpan w:val="7"/>
                  <w:tcBorders>
                    <w:tl2br w:val="nil"/>
                    <w:tr2bl w:val="nil"/>
                  </w:tcBorders>
                  <w:shd w:val="clear" w:color="auto" w:fill="auto"/>
                  <w:noWrap/>
                  <w:vAlign w:val="center"/>
                </w:tcPr>
                <w:p w14:paraId="66915DEC">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Q=（qi/Q</w:t>
                  </w:r>
                  <w:r>
                    <w:rPr>
                      <w:rFonts w:hint="default" w:ascii="Times New Roman" w:hAnsi="Times New Roman" w:eastAsia="宋体" w:cs="Times New Roman"/>
                      <w:i w:val="0"/>
                      <w:iCs w:val="0"/>
                      <w:color w:val="auto"/>
                      <w:kern w:val="0"/>
                      <w:sz w:val="18"/>
                      <w:szCs w:val="18"/>
                      <w:highlight w:val="none"/>
                      <w:u w:val="none"/>
                      <w:vertAlign w:val="subscript"/>
                      <w:lang w:val="en-US" w:eastAsia="zh-CN" w:bidi="ar"/>
                    </w:rPr>
                    <w:t>1</w:t>
                  </w:r>
                  <w:r>
                    <w:rPr>
                      <w:rFonts w:hint="default" w:ascii="Times New Roman" w:hAnsi="Times New Roman" w:eastAsia="宋体" w:cs="Times New Roman"/>
                      <w:i w:val="0"/>
                      <w:iCs w:val="0"/>
                      <w:color w:val="auto"/>
                      <w:kern w:val="0"/>
                      <w:sz w:val="18"/>
                      <w:szCs w:val="18"/>
                      <w:highlight w:val="none"/>
                      <w:u w:val="none"/>
                      <w:lang w:val="en-US" w:eastAsia="zh-CN" w:bidi="ar"/>
                    </w:rPr>
                    <w:t>+q</w:t>
                  </w:r>
                  <w:r>
                    <w:rPr>
                      <w:rFonts w:hint="default" w:ascii="Times New Roman" w:hAnsi="Times New Roman" w:eastAsia="宋体" w:cs="Times New Roman"/>
                      <w:i w:val="0"/>
                      <w:iCs w:val="0"/>
                      <w:color w:val="auto"/>
                      <w:kern w:val="0"/>
                      <w:sz w:val="18"/>
                      <w:szCs w:val="18"/>
                      <w:highlight w:val="none"/>
                      <w:u w:val="none"/>
                      <w:vertAlign w:val="subscript"/>
                      <w:lang w:val="en-US" w:eastAsia="zh-CN" w:bidi="ar"/>
                    </w:rPr>
                    <w:t>2</w:t>
                  </w:r>
                  <w:r>
                    <w:rPr>
                      <w:rFonts w:hint="default" w:ascii="Times New Roman" w:hAnsi="Times New Roman" w:eastAsia="宋体" w:cs="Times New Roman"/>
                      <w:i w:val="0"/>
                      <w:iCs w:val="0"/>
                      <w:color w:val="auto"/>
                      <w:kern w:val="0"/>
                      <w:sz w:val="18"/>
                      <w:szCs w:val="18"/>
                      <w:highlight w:val="none"/>
                      <w:u w:val="none"/>
                      <w:lang w:val="en-US" w:eastAsia="zh-CN" w:bidi="ar"/>
                    </w:rPr>
                    <w:t>/Q</w:t>
                  </w:r>
                  <w:r>
                    <w:rPr>
                      <w:rFonts w:hint="default" w:ascii="Times New Roman" w:hAnsi="Times New Roman" w:eastAsia="宋体" w:cs="Times New Roman"/>
                      <w:i w:val="0"/>
                      <w:iCs w:val="0"/>
                      <w:color w:val="auto"/>
                      <w:kern w:val="0"/>
                      <w:sz w:val="18"/>
                      <w:szCs w:val="18"/>
                      <w:highlight w:val="none"/>
                      <w:u w:val="none"/>
                      <w:vertAlign w:val="subscript"/>
                      <w:lang w:val="en-US" w:eastAsia="zh-CN" w:bidi="ar"/>
                    </w:rPr>
                    <w:t>2</w:t>
                  </w:r>
                  <w:r>
                    <w:rPr>
                      <w:rFonts w:hint="default" w:ascii="Times New Roman" w:hAnsi="Times New Roman" w:eastAsia="宋体" w:cs="Times New Roman"/>
                      <w:i w:val="0"/>
                      <w:iCs w:val="0"/>
                      <w:color w:val="auto"/>
                      <w:kern w:val="0"/>
                      <w:sz w:val="18"/>
                      <w:szCs w:val="18"/>
                      <w:highlight w:val="none"/>
                      <w:u w:val="none"/>
                      <w:lang w:val="en-US" w:eastAsia="zh-CN" w:bidi="ar"/>
                    </w:rPr>
                    <w:t>+…+q</w:t>
                  </w:r>
                  <w:r>
                    <w:rPr>
                      <w:rFonts w:hint="default" w:ascii="Times New Roman" w:hAnsi="Times New Roman" w:eastAsia="宋体" w:cs="Times New Roman"/>
                      <w:i w:val="0"/>
                      <w:iCs w:val="0"/>
                      <w:color w:val="auto"/>
                      <w:kern w:val="0"/>
                      <w:sz w:val="18"/>
                      <w:szCs w:val="18"/>
                      <w:highlight w:val="none"/>
                      <w:u w:val="none"/>
                      <w:vertAlign w:val="subscript"/>
                      <w:lang w:val="en-US" w:eastAsia="zh-CN" w:bidi="ar"/>
                    </w:rPr>
                    <w:t>n</w:t>
                  </w:r>
                  <w:r>
                    <w:rPr>
                      <w:rFonts w:hint="default" w:ascii="Times New Roman" w:hAnsi="Times New Roman" w:eastAsia="宋体" w:cs="Times New Roman"/>
                      <w:i w:val="0"/>
                      <w:iCs w:val="0"/>
                      <w:color w:val="auto"/>
                      <w:kern w:val="0"/>
                      <w:sz w:val="18"/>
                      <w:szCs w:val="18"/>
                      <w:highlight w:val="none"/>
                      <w:u w:val="none"/>
                      <w:lang w:val="en-US" w:eastAsia="zh-CN" w:bidi="ar"/>
                    </w:rPr>
                    <w:t>/Q</w:t>
                  </w:r>
                  <w:r>
                    <w:rPr>
                      <w:rFonts w:hint="default" w:ascii="Times New Roman" w:hAnsi="Times New Roman" w:eastAsia="宋体" w:cs="Times New Roman"/>
                      <w:i w:val="0"/>
                      <w:iCs w:val="0"/>
                      <w:color w:val="auto"/>
                      <w:kern w:val="0"/>
                      <w:sz w:val="18"/>
                      <w:szCs w:val="18"/>
                      <w:highlight w:val="none"/>
                      <w:u w:val="none"/>
                      <w:vertAlign w:val="subscript"/>
                      <w:lang w:val="en-US" w:eastAsia="zh-CN" w:bidi="ar"/>
                    </w:rPr>
                    <w:t>n</w:t>
                  </w:r>
                  <w:r>
                    <w:rPr>
                      <w:rFonts w:hint="default" w:ascii="Times New Roman" w:hAnsi="Times New Roman" w:eastAsia="宋体" w:cs="Times New Roman"/>
                      <w:i w:val="0"/>
                      <w:iCs w:val="0"/>
                      <w:color w:val="auto"/>
                      <w:kern w:val="0"/>
                      <w:sz w:val="18"/>
                      <w:szCs w:val="18"/>
                      <w:highlight w:val="none"/>
                      <w:u w:val="none"/>
                      <w:lang w:val="en-US" w:eastAsia="zh-CN" w:bidi="ar"/>
                    </w:rPr>
                    <w:t>）</w:t>
                  </w:r>
                </w:p>
              </w:tc>
              <w:tc>
                <w:tcPr>
                  <w:tcW w:w="647" w:type="pct"/>
                  <w:gridSpan w:val="3"/>
                  <w:tcBorders>
                    <w:tl2br w:val="nil"/>
                    <w:tr2bl w:val="nil"/>
                  </w:tcBorders>
                  <w:shd w:val="clear" w:color="auto" w:fill="auto"/>
                  <w:noWrap/>
                  <w:vAlign w:val="center"/>
                </w:tcPr>
                <w:p w14:paraId="33610D8F">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lang w:val="en-US"/>
                    </w:rPr>
                  </w:pPr>
                  <w:r>
                    <w:rPr>
                      <w:rFonts w:hint="eastAsia" w:cs="Times New Roman"/>
                      <w:i w:val="0"/>
                      <w:iCs w:val="0"/>
                      <w:color w:val="auto"/>
                      <w:kern w:val="0"/>
                      <w:sz w:val="18"/>
                      <w:szCs w:val="18"/>
                      <w:highlight w:val="none"/>
                      <w:u w:val="none"/>
                      <w:lang w:val="en-US" w:eastAsia="zh-CN" w:bidi="ar"/>
                    </w:rPr>
                    <w:t>0.5961</w:t>
                  </w:r>
                </w:p>
              </w:tc>
            </w:tr>
          </w:tbl>
          <w:p w14:paraId="7D37FCE0">
            <w:pPr>
              <w:rPr>
                <w:color w:val="auto"/>
                <w:sz w:val="18"/>
                <w:szCs w:val="18"/>
                <w:highlight w:val="none"/>
              </w:rPr>
            </w:pPr>
            <w:r>
              <w:rPr>
                <w:rFonts w:hint="default"/>
                <w:color w:val="auto"/>
                <w:sz w:val="18"/>
                <w:szCs w:val="18"/>
                <w:highlight w:val="none"/>
              </w:rPr>
              <w:t>注：①参照《建设项目环境风险评价技术导则》（HJ169-2018）附录B.1中序号240：锰及其化合物（以锰计）；②参照《建设项目环境风险评价技术导则》（HJ169-2018）附录B.1中序号53：COD</w:t>
            </w:r>
            <w:r>
              <w:rPr>
                <w:rFonts w:hint="default"/>
                <w:color w:val="auto"/>
                <w:sz w:val="18"/>
                <w:szCs w:val="18"/>
                <w:highlight w:val="none"/>
                <w:vertAlign w:val="subscript"/>
              </w:rPr>
              <w:t>Cr</w:t>
            </w:r>
            <w:r>
              <w:rPr>
                <w:rFonts w:hint="default"/>
                <w:color w:val="auto"/>
                <w:sz w:val="18"/>
                <w:szCs w:val="18"/>
                <w:highlight w:val="none"/>
              </w:rPr>
              <w:t>浓度≥10000 mg/L的有机废液；③参照《危险化学品重大危险源辨识》（GB18218-2018）中表2</w:t>
            </w:r>
            <w:r>
              <w:rPr>
                <w:rFonts w:hint="eastAsia"/>
                <w:color w:val="auto"/>
                <w:sz w:val="18"/>
                <w:szCs w:val="18"/>
                <w:highlight w:val="none"/>
                <w:lang w:eastAsia="zh-CN"/>
              </w:rPr>
              <w:t>，</w:t>
            </w:r>
            <w:r>
              <w:rPr>
                <w:rFonts w:hint="default"/>
                <w:color w:val="auto"/>
                <w:sz w:val="18"/>
                <w:szCs w:val="18"/>
                <w:highlight w:val="none"/>
              </w:rPr>
              <w:t>按照W11分类，临界量取200 t；④参照《浙江省企业环境风险评估技术指南（第二版）》（浙环办函[2015]54号）表1，储存的危险废物临界量为50 t。</w:t>
            </w:r>
          </w:p>
          <w:p w14:paraId="503AC83D">
            <w:pPr>
              <w:rPr>
                <w:color w:val="auto"/>
                <w:sz w:val="18"/>
                <w:szCs w:val="18"/>
                <w:highlight w:val="none"/>
              </w:rPr>
            </w:pPr>
          </w:p>
          <w:p w14:paraId="6A70819D">
            <w:pPr>
              <w:ind w:firstLine="420" w:firstLineChars="200"/>
              <w:rPr>
                <w:color w:val="auto"/>
                <w:sz w:val="18"/>
                <w:szCs w:val="18"/>
                <w:highlight w:val="none"/>
              </w:rPr>
            </w:pPr>
            <w:r>
              <w:rPr>
                <w:color w:val="auto"/>
                <w:szCs w:val="21"/>
                <w:highlight w:val="none"/>
              </w:rPr>
              <w:t>综上，本项目涉及的有毒有害和易燃易爆等危险物质Q值&lt;1，即未超过临界量。</w:t>
            </w:r>
          </w:p>
          <w:p w14:paraId="1BC7AB96">
            <w:pPr>
              <w:numPr>
                <w:ilvl w:val="0"/>
                <w:numId w:val="16"/>
              </w:numPr>
              <w:spacing w:line="360" w:lineRule="auto"/>
              <w:rPr>
                <w:b/>
                <w:bCs/>
                <w:color w:val="auto"/>
                <w:highlight w:val="none"/>
              </w:rPr>
            </w:pPr>
            <w:r>
              <w:rPr>
                <w:rFonts w:hint="default"/>
                <w:b/>
                <w:bCs/>
                <w:color w:val="auto"/>
                <w:highlight w:val="none"/>
              </w:rPr>
              <w:t>风险防范措施</w:t>
            </w:r>
          </w:p>
          <w:p w14:paraId="565C1C75">
            <w:pPr>
              <w:pStyle w:val="9"/>
              <w:snapToGrid w:val="0"/>
              <w:spacing w:line="360" w:lineRule="auto"/>
              <w:ind w:firstLine="460" w:firstLineChars="200"/>
              <w:rPr>
                <w:rFonts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为使环境风险减小到最低限度，必须加强劳动安全卫生管理，制定完备、有效的安全防范措施，尽可能降低该项目环境风险事故发生的概率。结合本项目风险情况，主要采取以下防范措施：</w:t>
            </w:r>
          </w:p>
          <w:p w14:paraId="0995D1C5">
            <w:pPr>
              <w:pStyle w:val="9"/>
              <w:snapToGrid w:val="0"/>
              <w:spacing w:line="360" w:lineRule="auto"/>
              <w:ind w:firstLine="0"/>
              <w:rPr>
                <w:rFonts w:ascii="Times New Roman" w:hAnsi="Times New Roman" w:cs="Times New Roman"/>
                <w:color w:val="auto"/>
                <w:sz w:val="21"/>
                <w:szCs w:val="21"/>
                <w:highlight w:val="none"/>
              </w:rPr>
            </w:pPr>
            <w:r>
              <w:rPr>
                <w:rFonts w:hint="default" w:ascii="Times New Roman" w:hAnsi="Times New Roman" w:cs="Times New Roman"/>
                <w:b/>
                <w:bCs/>
                <w:color w:val="auto"/>
                <w:sz w:val="21"/>
                <w:szCs w:val="21"/>
                <w:highlight w:val="none"/>
              </w:rPr>
              <w:t>（1）总图布置安全措施</w:t>
            </w:r>
          </w:p>
          <w:p w14:paraId="686614B9">
            <w:pPr>
              <w:pStyle w:val="9"/>
              <w:snapToGrid w:val="0"/>
              <w:spacing w:line="360" w:lineRule="auto"/>
              <w:ind w:firstLine="460" w:firstLineChars="200"/>
              <w:rPr>
                <w:rFonts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在总图布置上，严格执行《建筑设计防火规范》，结合场地自然环境，根据生产流程和火灾危险分类，按照功能分区要求进行集中布置。根据规范要求满足建构筑物间的防火间距，确保消防车道畅通。</w:t>
            </w:r>
          </w:p>
          <w:p w14:paraId="1A8D17C3">
            <w:pPr>
              <w:pStyle w:val="9"/>
              <w:snapToGrid w:val="0"/>
              <w:spacing w:line="360" w:lineRule="auto"/>
              <w:ind w:firstLine="0"/>
              <w:rPr>
                <w:rFonts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（2）运输、输送过程的风险控制措施</w:t>
            </w:r>
          </w:p>
          <w:p w14:paraId="47C7E829">
            <w:pPr>
              <w:pStyle w:val="9"/>
              <w:snapToGrid w:val="0"/>
              <w:spacing w:line="360" w:lineRule="auto"/>
              <w:ind w:firstLine="460" w:firstLineChars="200"/>
              <w:rPr>
                <w:rFonts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要求运输途中司机进行安全及环保教育；由具有运输资质单位的专用车辆运输；运输前先检查包装是否完整、密封，运输过程中要确保包装桶不泄漏、不倒塌、不坠落、不损坏；运输时严禁与酸类、氧化剂、食品及食品添加剂混运；运输车辆配备泄漏应急处理设备；运输途中防曝晒、雨淋，防高温。</w:t>
            </w:r>
          </w:p>
          <w:p w14:paraId="4A9A52B5">
            <w:pPr>
              <w:pStyle w:val="9"/>
              <w:snapToGrid w:val="0"/>
              <w:spacing w:line="360" w:lineRule="auto"/>
              <w:ind w:firstLine="0"/>
              <w:rPr>
                <w:rFonts w:ascii="Times New Roman" w:hAnsi="Times New Roman" w:cs="Times New Roman"/>
                <w:color w:val="auto"/>
                <w:sz w:val="21"/>
                <w:szCs w:val="21"/>
                <w:highlight w:val="none"/>
              </w:rPr>
            </w:pPr>
            <w:r>
              <w:rPr>
                <w:rFonts w:hint="default" w:ascii="Times New Roman" w:hAnsi="Times New Roman" w:cs="Times New Roman"/>
                <w:b/>
                <w:bCs/>
                <w:color w:val="auto"/>
                <w:sz w:val="21"/>
                <w:szCs w:val="21"/>
                <w:highlight w:val="none"/>
              </w:rPr>
              <w:t>（3）储存、使用过程的风险控制措施</w:t>
            </w:r>
          </w:p>
          <w:p w14:paraId="2662EC5A">
            <w:pPr>
              <w:pStyle w:val="9"/>
              <w:snapToGrid w:val="0"/>
              <w:spacing w:line="360" w:lineRule="auto"/>
              <w:ind w:firstLine="460" w:firstLineChars="200"/>
              <w:rPr>
                <w:rFonts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储存原料仓库，按照防火间距标准布置，对仓库及时检查；生产区、危废仓库严禁吸烟和使用明火，防止火源进入；设置明显标志；根据市场需求，制定生产计划，严格按计划采购、随用随购，严格控制储存量；安全设施、消防器材齐备；制定各种操作规范，加强监督管理，严格安全、环保检查制度，避免环境事件的发生。</w:t>
            </w:r>
          </w:p>
          <w:p w14:paraId="7B2412E6">
            <w:pPr>
              <w:pStyle w:val="9"/>
              <w:snapToGrid w:val="0"/>
              <w:spacing w:line="360" w:lineRule="auto"/>
              <w:ind w:firstLine="0"/>
              <w:rPr>
                <w:rFonts w:ascii="Times New Roman" w:hAnsi="Times New Roman" w:cs="Times New Roman"/>
                <w:color w:val="auto"/>
                <w:sz w:val="21"/>
                <w:szCs w:val="21"/>
                <w:highlight w:val="none"/>
              </w:rPr>
            </w:pPr>
            <w:r>
              <w:rPr>
                <w:rFonts w:hint="default" w:ascii="Times New Roman" w:hAnsi="Times New Roman" w:cs="Times New Roman"/>
                <w:b/>
                <w:bCs/>
                <w:color w:val="auto"/>
                <w:sz w:val="21"/>
                <w:szCs w:val="21"/>
                <w:highlight w:val="none"/>
              </w:rPr>
              <w:t>（4）大气环境风险防范措施</w:t>
            </w:r>
          </w:p>
          <w:p w14:paraId="76D5DC68">
            <w:pPr>
              <w:pStyle w:val="9"/>
              <w:snapToGrid w:val="0"/>
              <w:spacing w:line="360" w:lineRule="auto"/>
              <w:ind w:firstLine="460" w:firstLineChars="200"/>
              <w:rPr>
                <w:rFonts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为确保处理效率，在车间设备检修期间，末端处理系统也应同时进行检修，日常应有专人负责进行维护。</w:t>
            </w:r>
          </w:p>
          <w:p w14:paraId="270F4C05">
            <w:pPr>
              <w:pStyle w:val="9"/>
              <w:snapToGrid w:val="0"/>
              <w:spacing w:line="360" w:lineRule="auto"/>
              <w:ind w:firstLine="460" w:firstLineChars="200"/>
              <w:rPr>
                <w:rFonts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建议项目废气治理装置设置生产装置与废气治理装置的联控系统。生产期间废气治理装置先于生产装置启动，保证生产装置废气能够得以有效收集、治理；一旦废气收集风机发生事故，装置立即自动报警，并启动应急停车程序，对环保设施进行检修，查实事故原因做好相应记录。</w:t>
            </w:r>
          </w:p>
          <w:p w14:paraId="0CD75AB0">
            <w:pPr>
              <w:pStyle w:val="9"/>
              <w:snapToGrid w:val="0"/>
              <w:spacing w:line="360" w:lineRule="auto"/>
              <w:ind w:firstLine="0"/>
              <w:rPr>
                <w:rFonts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（5）泄漏风险防范措施</w:t>
            </w:r>
          </w:p>
          <w:p w14:paraId="60AFEC33">
            <w:pPr>
              <w:pStyle w:val="9"/>
              <w:snapToGrid w:val="0"/>
              <w:spacing w:line="360" w:lineRule="auto"/>
              <w:ind w:firstLine="460" w:firstLineChars="200"/>
              <w:rPr>
                <w:rFonts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通过在危废仓库内建有堵截泄漏的裙脚，地面采取防腐防渗措施并设置导流沟等，能够及时收集、处置泄漏物料，避免泄漏物料进入周边地表水、土壤及地下水。</w:t>
            </w:r>
          </w:p>
          <w:p w14:paraId="37FB7C5E">
            <w:pPr>
              <w:pStyle w:val="9"/>
              <w:snapToGrid w:val="0"/>
              <w:spacing w:line="360" w:lineRule="auto"/>
              <w:ind w:firstLine="0"/>
              <w:rPr>
                <w:rFonts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（6）火灾和爆炸风险防范措施</w:t>
            </w:r>
          </w:p>
          <w:p w14:paraId="6E21A11D">
            <w:pPr>
              <w:pStyle w:val="9"/>
              <w:snapToGrid w:val="0"/>
              <w:spacing w:line="360" w:lineRule="auto"/>
              <w:ind w:firstLine="460" w:firstLineChars="200"/>
              <w:rPr>
                <w:rFonts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划定禁火区，设有明显警示标志，输配电线、灯具、火灾事故照明和疏散指示标志均应符合安全要求；严禁未安装灭火星装置的车辆出入生产装置区。</w:t>
            </w:r>
          </w:p>
          <w:p w14:paraId="18DB0E6F">
            <w:pPr>
              <w:pStyle w:val="9"/>
              <w:snapToGrid w:val="0"/>
              <w:spacing w:line="360" w:lineRule="auto"/>
              <w:ind w:firstLine="460" w:firstLineChars="200"/>
              <w:rPr>
                <w:rFonts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加强设备的维护，生产设备、电线线路等进行日常检修和维护，针对危废仓库设置危险介质浓度报警探头和应急排风口，在废气处理设施风机总进口处加装阻火器，防止发生火灾、爆炸。</w:t>
            </w:r>
          </w:p>
          <w:p w14:paraId="75A337DC">
            <w:pPr>
              <w:pStyle w:val="9"/>
              <w:snapToGrid w:val="0"/>
              <w:spacing w:line="360" w:lineRule="auto"/>
              <w:ind w:firstLine="460" w:firstLineChars="200"/>
              <w:rPr>
                <w:rFonts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企业应当合理规划应急疏散通道，当发生火灾爆炸以及由此引发的次生污染事故等污染较严重的风险事故时，确保厂内及周边人员尽快撤离事故点，保障人员生命安全。</w:t>
            </w:r>
          </w:p>
          <w:p w14:paraId="15F1C36F">
            <w:pPr>
              <w:pStyle w:val="9"/>
              <w:snapToGrid w:val="0"/>
              <w:spacing w:line="360" w:lineRule="auto"/>
              <w:ind w:firstLine="0"/>
              <w:rPr>
                <w:rFonts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（7）应急联动</w:t>
            </w:r>
          </w:p>
          <w:p w14:paraId="13F72A13">
            <w:pPr>
              <w:pStyle w:val="9"/>
              <w:snapToGrid w:val="0"/>
              <w:spacing w:line="360" w:lineRule="auto"/>
              <w:ind w:firstLine="460" w:firstLineChars="200"/>
              <w:rPr>
                <w:rFonts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由于事故触发具有不确定性，厂内环境风险防控系统应纳入区域环境风险防控体系，落实风险防控设施，与区域风险防控体系做好衔接。极端事故风险防控及应急处置应按分级响应要求及时启动园区/区域环境风险防范措施，与区域环境风险防控设施及管理有效联动，有效防控环境风险。</w:t>
            </w:r>
          </w:p>
          <w:p w14:paraId="0CE789CC">
            <w:pPr>
              <w:pStyle w:val="9"/>
              <w:snapToGrid w:val="0"/>
              <w:spacing w:line="360" w:lineRule="auto"/>
              <w:ind w:firstLine="0"/>
              <w:rPr>
                <w:rFonts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（8）应急预案编制</w:t>
            </w:r>
          </w:p>
          <w:p w14:paraId="6CA94D6F">
            <w:pPr>
              <w:adjustRightInd w:val="0"/>
              <w:snapToGrid w:val="0"/>
              <w:spacing w:line="360" w:lineRule="auto"/>
              <w:ind w:firstLine="420" w:firstLineChars="200"/>
              <w:rPr>
                <w:color w:val="auto"/>
                <w:szCs w:val="21"/>
                <w:highlight w:val="none"/>
              </w:rPr>
            </w:pPr>
            <w:r>
              <w:rPr>
                <w:color w:val="auto"/>
                <w:szCs w:val="21"/>
                <w:highlight w:val="none"/>
              </w:rPr>
              <w:t>制定风险事故应急预案的目的是为了在发生风险事故时，能以最快的速度发挥最大的效能，有序的实施救援，尽快控制事态的发展，降低事故造成的危害，减少事故造成的损失。</w:t>
            </w:r>
          </w:p>
          <w:p w14:paraId="68C80CFF">
            <w:pPr>
              <w:adjustRightInd w:val="0"/>
              <w:snapToGrid w:val="0"/>
              <w:spacing w:line="360" w:lineRule="auto"/>
              <w:ind w:firstLine="420" w:firstLineChars="200"/>
              <w:rPr>
                <w:color w:val="auto"/>
                <w:szCs w:val="21"/>
                <w:highlight w:val="none"/>
              </w:rPr>
            </w:pPr>
            <w:r>
              <w:rPr>
                <w:rFonts w:hint="default"/>
                <w:color w:val="auto"/>
                <w:szCs w:val="21"/>
                <w:highlight w:val="none"/>
              </w:rPr>
              <w:t>本项目属于</w:t>
            </w:r>
            <w:r>
              <w:rPr>
                <w:rFonts w:hint="default"/>
                <w:color w:val="auto"/>
                <w:highlight w:val="none"/>
              </w:rPr>
              <w:t>实验室</w:t>
            </w:r>
            <w:r>
              <w:rPr>
                <w:rFonts w:hint="eastAsia"/>
                <w:color w:val="auto"/>
                <w:highlight w:val="none"/>
                <w:lang w:val="en-US" w:eastAsia="zh-CN"/>
              </w:rPr>
              <w:t>研发</w:t>
            </w:r>
            <w:r>
              <w:rPr>
                <w:rFonts w:hint="default"/>
                <w:color w:val="auto"/>
                <w:highlight w:val="none"/>
              </w:rPr>
              <w:t>项目</w:t>
            </w:r>
            <w:r>
              <w:rPr>
                <w:rFonts w:hint="default"/>
                <w:color w:val="auto"/>
                <w:szCs w:val="21"/>
                <w:highlight w:val="none"/>
              </w:rPr>
              <w:t>，对照《浙江省环境保护厅关于公布2018年度突发环境事件应急预案备案重点行业目录（指导性意见）的通知》（浙环办函[2018]46号），本项目不在应急预案备案重点行业目录中，考虑企业生产会产生危险废物，</w:t>
            </w:r>
            <w:r>
              <w:rPr>
                <w:color w:val="auto"/>
                <w:szCs w:val="21"/>
                <w:highlight w:val="none"/>
              </w:rPr>
              <w:t>根据环发[2015]4号《关于印发&lt;企业事业单位突发环境事件应急预案备案管理办法(试行)&gt;的通知》的相关要求编制有针对性的突发环境事件应急预案，完善各类应急措施、物资等</w:t>
            </w:r>
            <w:r>
              <w:rPr>
                <w:rFonts w:hint="default"/>
                <w:color w:val="auto"/>
                <w:szCs w:val="21"/>
                <w:highlight w:val="none"/>
              </w:rPr>
              <w:t>。</w:t>
            </w:r>
          </w:p>
          <w:p w14:paraId="4199CCD2">
            <w:pPr>
              <w:pStyle w:val="9"/>
              <w:snapToGrid w:val="0"/>
              <w:spacing w:line="360" w:lineRule="auto"/>
              <w:ind w:firstLine="0"/>
              <w:rPr>
                <w:rFonts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（9）环保设施环境风险源分析和识别</w:t>
            </w:r>
          </w:p>
          <w:p w14:paraId="7390C170">
            <w:pPr>
              <w:spacing w:line="360" w:lineRule="auto"/>
              <w:ind w:firstLine="420" w:firstLineChars="200"/>
              <w:rPr>
                <w:color w:val="auto"/>
                <w:szCs w:val="21"/>
                <w:highlight w:val="none"/>
              </w:rPr>
            </w:pPr>
            <w:r>
              <w:rPr>
                <w:rFonts w:hint="default"/>
                <w:color w:val="auto"/>
                <w:szCs w:val="21"/>
                <w:highlight w:val="none"/>
              </w:rPr>
              <w:t>根据《浙江省应急管理厅 浙江省生态环境厅关于加强工业企业环保设施安全生产工作的指导意见》（浙应急基础[2022]143号）中相关要求，企业不得采用淘汰的设备和工艺；在设计阶段，企业应委托有相应资质设计单位对环保设施进行设计，自行开展或组织环保、安全生产有关专家参与设计审查。在建设和验收阶段，严格按照设计方案和施工技术标准施工，组织环保设施竣工验收，形成书面报告。已建成的重点环保设施且未进行正规设计的，要委托第三方单位开展设计诊断，落实整改措施，实行销号闭环管理。生态环境部门、应急管理部门会对企业开展环保、安全风险辨识和隐患排查治理，定期组织安全环保联合检查，严厉打击企业违反环境保护和安全生产法律法规的行为。</w:t>
            </w:r>
          </w:p>
          <w:p w14:paraId="4304719F">
            <w:pPr>
              <w:pStyle w:val="9"/>
              <w:spacing w:line="360" w:lineRule="auto"/>
              <w:ind w:firstLine="0"/>
              <w:rPr>
                <w:rFonts w:ascii="Times New Roman" w:hAnsi="Times New Roman" w:cs="Times New Roman"/>
                <w:b/>
                <w:bCs/>
                <w:color w:val="auto"/>
                <w:sz w:val="21"/>
                <w:szCs w:val="16"/>
                <w:highlight w:val="none"/>
              </w:rPr>
            </w:pPr>
            <w:r>
              <w:rPr>
                <w:rFonts w:hint="default" w:ascii="Times New Roman" w:hAnsi="Times New Roman" w:cs="Times New Roman"/>
                <w:b/>
                <w:color w:val="auto"/>
                <w:sz w:val="21"/>
                <w:szCs w:val="21"/>
                <w:highlight w:val="none"/>
              </w:rPr>
              <w:t>3、</w:t>
            </w:r>
            <w:r>
              <w:rPr>
                <w:rFonts w:ascii="Times New Roman" w:hAnsi="Times New Roman" w:cs="Times New Roman"/>
                <w:b/>
                <w:bCs/>
                <w:color w:val="auto"/>
                <w:sz w:val="21"/>
                <w:szCs w:val="16"/>
                <w:highlight w:val="none"/>
              </w:rPr>
              <w:t>环境风险分析结论</w:t>
            </w:r>
          </w:p>
          <w:p w14:paraId="60EB5203">
            <w:pPr>
              <w:pStyle w:val="14"/>
              <w:ind w:firstLine="420" w:firstLineChars="200"/>
              <w:rPr>
                <w:rFonts w:ascii="Times New Roman" w:hAnsi="Times New Roman" w:cs="Times New Roman"/>
                <w:color w:val="auto"/>
                <w:highlight w:val="none"/>
              </w:rPr>
            </w:pPr>
            <w:r>
              <w:rPr>
                <w:rFonts w:hint="default"/>
                <w:color w:val="auto"/>
                <w:szCs w:val="21"/>
                <w:highlight w:val="none"/>
              </w:rPr>
              <w:t>项目</w:t>
            </w:r>
            <w:r>
              <w:rPr>
                <w:color w:val="auto"/>
                <w:szCs w:val="21"/>
                <w:highlight w:val="none"/>
              </w:rPr>
              <w:t>落实环境风险防范措施及应急要求</w:t>
            </w:r>
            <w:r>
              <w:rPr>
                <w:rFonts w:hint="default"/>
                <w:color w:val="auto"/>
                <w:szCs w:val="21"/>
                <w:highlight w:val="none"/>
              </w:rPr>
              <w:t>的情况下</w:t>
            </w:r>
            <w:r>
              <w:rPr>
                <w:color w:val="auto"/>
                <w:szCs w:val="21"/>
                <w:highlight w:val="none"/>
              </w:rPr>
              <w:t>，</w:t>
            </w:r>
            <w:r>
              <w:rPr>
                <w:rFonts w:hint="default"/>
                <w:color w:val="auto"/>
                <w:szCs w:val="21"/>
                <w:highlight w:val="none"/>
              </w:rPr>
              <w:t>本项目</w:t>
            </w:r>
            <w:r>
              <w:rPr>
                <w:color w:val="auto"/>
                <w:szCs w:val="21"/>
                <w:highlight w:val="none"/>
              </w:rPr>
              <w:t>环境风险</w:t>
            </w:r>
            <w:r>
              <w:rPr>
                <w:rFonts w:hint="default"/>
                <w:color w:val="auto"/>
                <w:szCs w:val="21"/>
                <w:highlight w:val="none"/>
              </w:rPr>
              <w:t>可控</w:t>
            </w:r>
            <w:r>
              <w:rPr>
                <w:color w:val="auto"/>
                <w:szCs w:val="21"/>
                <w:highlight w:val="none"/>
              </w:rPr>
              <w:t>。</w:t>
            </w:r>
          </w:p>
          <w:p w14:paraId="7F43A058">
            <w:pPr>
              <w:spacing w:line="360" w:lineRule="auto"/>
              <w:rPr>
                <w:b/>
                <w:bCs/>
                <w:color w:val="auto"/>
                <w:sz w:val="22"/>
                <w:szCs w:val="28"/>
                <w:highlight w:val="none"/>
              </w:rPr>
            </w:pPr>
            <w:r>
              <w:rPr>
                <w:rFonts w:hint="default"/>
                <w:b/>
                <w:bCs/>
                <w:color w:val="auto"/>
                <w:sz w:val="22"/>
                <w:szCs w:val="28"/>
                <w:highlight w:val="none"/>
              </w:rPr>
              <w:t>4.2.7 环保投资估算</w:t>
            </w:r>
          </w:p>
          <w:p w14:paraId="73C019AF">
            <w:pPr>
              <w:pStyle w:val="20"/>
              <w:widowControl w:val="0"/>
              <w:adjustRightInd w:val="0"/>
              <w:snapToGrid w:val="0"/>
              <w:spacing w:before="0" w:beforeAutospacing="0" w:after="0" w:afterAutospacing="0" w:line="360" w:lineRule="auto"/>
              <w:ind w:firstLine="420" w:firstLineChars="200"/>
              <w:jc w:val="both"/>
              <w:rPr>
                <w:rFonts w:hint="default" w:ascii="Times New Roman" w:hAnsi="Times New Roman"/>
                <w:color w:val="auto"/>
                <w:sz w:val="21"/>
                <w:szCs w:val="16"/>
                <w:highlight w:val="none"/>
                <w:lang w:bidi="ar"/>
              </w:rPr>
            </w:pPr>
            <w:r>
              <w:rPr>
                <w:rFonts w:ascii="Times New Roman" w:hAnsi="Times New Roman"/>
                <w:color w:val="auto"/>
                <w:sz w:val="21"/>
                <w:szCs w:val="16"/>
                <w:highlight w:val="none"/>
                <w:lang w:bidi="ar"/>
              </w:rPr>
              <w:t>该项目总投资</w:t>
            </w:r>
            <w:r>
              <w:rPr>
                <w:rFonts w:ascii="Times New Roman" w:hAnsi="Times New Roman"/>
                <w:bCs/>
                <w:color w:val="auto"/>
                <w:sz w:val="21"/>
                <w:szCs w:val="16"/>
                <w:highlight w:val="none"/>
                <w:lang w:bidi="ar"/>
              </w:rPr>
              <w:t>为</w:t>
            </w:r>
            <w:r>
              <w:rPr>
                <w:rFonts w:hint="default" w:ascii="Times New Roman" w:hAnsi="Times New Roman"/>
                <w:bCs/>
                <w:color w:val="auto"/>
                <w:sz w:val="21"/>
                <w:szCs w:val="16"/>
                <w:highlight w:val="none"/>
                <w:lang w:bidi="ar"/>
              </w:rPr>
              <w:t>596.5</w:t>
            </w:r>
            <w:r>
              <w:rPr>
                <w:rFonts w:ascii="Times New Roman" w:hAnsi="Times New Roman"/>
                <w:color w:val="auto"/>
                <w:sz w:val="21"/>
                <w:szCs w:val="16"/>
                <w:highlight w:val="none"/>
                <w:lang w:bidi="ar"/>
              </w:rPr>
              <w:t>万元，</w:t>
            </w:r>
            <w:r>
              <w:rPr>
                <w:rFonts w:ascii="Times New Roman" w:hAnsi="Times New Roman"/>
                <w:color w:val="auto"/>
                <w:sz w:val="21"/>
                <w:szCs w:val="16"/>
                <w:highlight w:val="none"/>
              </w:rPr>
              <w:t>其中环保投资</w:t>
            </w:r>
            <w:r>
              <w:rPr>
                <w:rFonts w:hint="default" w:ascii="Times New Roman" w:hAnsi="Times New Roman"/>
                <w:color w:val="auto"/>
                <w:sz w:val="21"/>
                <w:szCs w:val="16"/>
                <w:highlight w:val="none"/>
                <w:lang w:val="en-US" w:eastAsia="zh-CN"/>
              </w:rPr>
              <w:t>21</w:t>
            </w:r>
            <w:r>
              <w:rPr>
                <w:rFonts w:ascii="Times New Roman" w:hAnsi="Times New Roman"/>
                <w:color w:val="auto"/>
                <w:sz w:val="21"/>
                <w:szCs w:val="16"/>
                <w:highlight w:val="none"/>
              </w:rPr>
              <w:t>万元，占总投资额的</w:t>
            </w:r>
            <w:r>
              <w:rPr>
                <w:rFonts w:hint="default" w:ascii="Times New Roman" w:hAnsi="Times New Roman"/>
                <w:color w:val="auto"/>
                <w:sz w:val="21"/>
                <w:szCs w:val="16"/>
                <w:highlight w:val="none"/>
                <w:lang w:val="en-US" w:eastAsia="zh-CN"/>
              </w:rPr>
              <w:t>3.52</w:t>
            </w:r>
            <w:r>
              <w:rPr>
                <w:rFonts w:ascii="Times New Roman" w:hAnsi="Times New Roman"/>
                <w:color w:val="auto"/>
                <w:sz w:val="21"/>
                <w:szCs w:val="16"/>
                <w:highlight w:val="none"/>
              </w:rPr>
              <w:t>%。项目</w:t>
            </w:r>
            <w:r>
              <w:rPr>
                <w:rFonts w:ascii="Times New Roman" w:hAnsi="Times New Roman"/>
                <w:color w:val="auto"/>
                <w:sz w:val="21"/>
                <w:szCs w:val="16"/>
                <w:highlight w:val="none"/>
                <w:lang w:bidi="ar"/>
              </w:rPr>
              <w:t>环保投资估算</w:t>
            </w:r>
            <w:r>
              <w:rPr>
                <w:rFonts w:hint="default" w:ascii="Times New Roman" w:hAnsi="Times New Roman"/>
                <w:color w:val="auto"/>
                <w:sz w:val="21"/>
                <w:szCs w:val="16"/>
                <w:highlight w:val="none"/>
                <w:lang w:bidi="ar"/>
              </w:rPr>
              <w:t>具体</w:t>
            </w:r>
            <w:r>
              <w:rPr>
                <w:rFonts w:ascii="Times New Roman" w:hAnsi="Times New Roman"/>
                <w:color w:val="auto"/>
                <w:sz w:val="21"/>
                <w:szCs w:val="16"/>
                <w:highlight w:val="none"/>
                <w:lang w:bidi="ar"/>
              </w:rPr>
              <w:t>见表</w:t>
            </w:r>
            <w:r>
              <w:rPr>
                <w:rFonts w:hint="default" w:ascii="Times New Roman" w:hAnsi="Times New Roman"/>
                <w:color w:val="auto"/>
                <w:sz w:val="21"/>
                <w:szCs w:val="16"/>
                <w:highlight w:val="none"/>
                <w:lang w:val="en-US" w:eastAsia="zh-CN" w:bidi="ar"/>
              </w:rPr>
              <w:t>4-2</w:t>
            </w:r>
            <w:r>
              <w:rPr>
                <w:rFonts w:hint="eastAsia" w:ascii="Times New Roman" w:hAnsi="Times New Roman"/>
                <w:color w:val="auto"/>
                <w:sz w:val="21"/>
                <w:szCs w:val="16"/>
                <w:highlight w:val="none"/>
                <w:lang w:val="en-US" w:eastAsia="zh-CN" w:bidi="ar"/>
              </w:rPr>
              <w:t>4</w:t>
            </w:r>
            <w:r>
              <w:rPr>
                <w:rFonts w:hint="default" w:ascii="Times New Roman" w:hAnsi="Times New Roman"/>
                <w:color w:val="auto"/>
                <w:sz w:val="21"/>
                <w:szCs w:val="16"/>
                <w:highlight w:val="none"/>
                <w:lang w:bidi="ar"/>
              </w:rPr>
              <w:t>：</w:t>
            </w:r>
          </w:p>
          <w:p w14:paraId="5F667ED4">
            <w:pPr>
              <w:numPr>
                <w:ilvl w:val="0"/>
                <w:numId w:val="8"/>
              </w:numPr>
              <w:spacing w:line="360" w:lineRule="auto"/>
              <w:jc w:val="center"/>
              <w:rPr>
                <w:rFonts w:hint="default" w:ascii="Times New Roman" w:hAnsi="Times New Roman" w:eastAsia="黑体" w:cs="Times New Roman"/>
                <w:b w:val="0"/>
                <w:bCs w:val="0"/>
                <w:color w:val="auto"/>
                <w:szCs w:val="21"/>
                <w:highlight w:val="none"/>
              </w:rPr>
            </w:pPr>
            <w:r>
              <w:rPr>
                <w:rFonts w:hint="default" w:ascii="Times New Roman" w:hAnsi="Times New Roman" w:eastAsia="黑体" w:cs="Times New Roman"/>
                <w:b w:val="0"/>
                <w:bCs w:val="0"/>
                <w:color w:val="auto"/>
                <w:spacing w:val="-10"/>
                <w:szCs w:val="21"/>
                <w:highlight w:val="none"/>
                <w:lang w:val="en-US" w:eastAsia="zh-CN"/>
              </w:rPr>
              <w:t xml:space="preserve"> </w:t>
            </w:r>
            <w:r>
              <w:rPr>
                <w:rFonts w:hint="default" w:ascii="Times New Roman" w:hAnsi="Times New Roman" w:eastAsia="黑体" w:cs="Times New Roman"/>
                <w:b w:val="0"/>
                <w:bCs w:val="0"/>
                <w:color w:val="auto"/>
                <w:spacing w:val="-10"/>
                <w:szCs w:val="21"/>
                <w:highlight w:val="none"/>
              </w:rPr>
              <w:t>项目环保设施与投资概算一览表</w:t>
            </w:r>
          </w:p>
          <w:tbl>
            <w:tblPr>
              <w:tblStyle w:val="24"/>
              <w:tblW w:w="7669" w:type="dxa"/>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
            <w:tblGrid>
              <w:gridCol w:w="1200"/>
              <w:gridCol w:w="4357"/>
              <w:gridCol w:w="1056"/>
              <w:gridCol w:w="1056"/>
            </w:tblGrid>
            <w:tr w14:paraId="0CE284F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1200" w:type="dxa"/>
                  <w:tcBorders>
                    <w:tl2br w:val="nil"/>
                    <w:tr2bl w:val="nil"/>
                  </w:tcBorders>
                  <w:vAlign w:val="center"/>
                </w:tcPr>
                <w:p w14:paraId="6361FCFF">
                  <w:pPr>
                    <w:widowControl/>
                    <w:jc w:val="center"/>
                    <w:textAlignment w:val="center"/>
                    <w:rPr>
                      <w:color w:val="auto"/>
                      <w:sz w:val="18"/>
                      <w:szCs w:val="18"/>
                      <w:highlight w:val="none"/>
                    </w:rPr>
                  </w:pPr>
                  <w:r>
                    <w:rPr>
                      <w:color w:val="auto"/>
                      <w:kern w:val="0"/>
                      <w:sz w:val="18"/>
                      <w:szCs w:val="18"/>
                      <w:highlight w:val="none"/>
                      <w:lang w:bidi="ar"/>
                    </w:rPr>
                    <w:t>项目</w:t>
                  </w:r>
                </w:p>
              </w:tc>
              <w:tc>
                <w:tcPr>
                  <w:tcW w:w="4356" w:type="dxa"/>
                  <w:tcBorders>
                    <w:tl2br w:val="nil"/>
                    <w:tr2bl w:val="nil"/>
                  </w:tcBorders>
                  <w:vAlign w:val="center"/>
                </w:tcPr>
                <w:p w14:paraId="55516BDD">
                  <w:pPr>
                    <w:widowControl/>
                    <w:jc w:val="center"/>
                    <w:textAlignment w:val="center"/>
                    <w:rPr>
                      <w:color w:val="auto"/>
                      <w:sz w:val="18"/>
                      <w:szCs w:val="18"/>
                      <w:highlight w:val="none"/>
                    </w:rPr>
                  </w:pPr>
                  <w:r>
                    <w:rPr>
                      <w:color w:val="auto"/>
                      <w:kern w:val="0"/>
                      <w:sz w:val="18"/>
                      <w:szCs w:val="18"/>
                      <w:highlight w:val="none"/>
                      <w:lang w:bidi="ar"/>
                    </w:rPr>
                    <w:t>环保措施名称</w:t>
                  </w:r>
                </w:p>
              </w:tc>
              <w:tc>
                <w:tcPr>
                  <w:tcW w:w="1056" w:type="dxa"/>
                  <w:tcBorders>
                    <w:tl2br w:val="nil"/>
                    <w:tr2bl w:val="nil"/>
                  </w:tcBorders>
                  <w:vAlign w:val="center"/>
                </w:tcPr>
                <w:p w14:paraId="32642C6A">
                  <w:pPr>
                    <w:widowControl/>
                    <w:jc w:val="center"/>
                    <w:textAlignment w:val="center"/>
                    <w:rPr>
                      <w:color w:val="auto"/>
                      <w:sz w:val="18"/>
                      <w:szCs w:val="18"/>
                      <w:highlight w:val="none"/>
                    </w:rPr>
                  </w:pPr>
                  <w:r>
                    <w:rPr>
                      <w:color w:val="auto"/>
                      <w:kern w:val="0"/>
                      <w:sz w:val="18"/>
                      <w:szCs w:val="18"/>
                      <w:highlight w:val="none"/>
                      <w:lang w:bidi="ar"/>
                    </w:rPr>
                    <w:t>投资(万元)</w:t>
                  </w:r>
                </w:p>
              </w:tc>
              <w:tc>
                <w:tcPr>
                  <w:tcW w:w="1056" w:type="dxa"/>
                  <w:tcBorders>
                    <w:tl2br w:val="nil"/>
                    <w:tr2bl w:val="nil"/>
                  </w:tcBorders>
                  <w:vAlign w:val="center"/>
                </w:tcPr>
                <w:p w14:paraId="5BDB4348">
                  <w:pPr>
                    <w:widowControl/>
                    <w:jc w:val="center"/>
                    <w:textAlignment w:val="center"/>
                    <w:rPr>
                      <w:color w:val="auto"/>
                      <w:sz w:val="18"/>
                      <w:szCs w:val="18"/>
                      <w:highlight w:val="none"/>
                    </w:rPr>
                  </w:pPr>
                  <w:r>
                    <w:rPr>
                      <w:color w:val="auto"/>
                      <w:kern w:val="0"/>
                      <w:sz w:val="18"/>
                      <w:szCs w:val="18"/>
                      <w:highlight w:val="none"/>
                      <w:lang w:bidi="ar"/>
                    </w:rPr>
                    <w:t>备注</w:t>
                  </w:r>
                </w:p>
              </w:tc>
            </w:tr>
            <w:tr w14:paraId="427CB31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1200" w:type="dxa"/>
                  <w:vMerge w:val="restart"/>
                  <w:tcBorders>
                    <w:tl2br w:val="nil"/>
                    <w:tr2bl w:val="nil"/>
                  </w:tcBorders>
                  <w:vAlign w:val="center"/>
                </w:tcPr>
                <w:p w14:paraId="04F6D5E3">
                  <w:pPr>
                    <w:widowControl/>
                    <w:jc w:val="center"/>
                    <w:textAlignment w:val="center"/>
                    <w:rPr>
                      <w:color w:val="auto"/>
                      <w:sz w:val="18"/>
                      <w:szCs w:val="18"/>
                      <w:highlight w:val="none"/>
                    </w:rPr>
                  </w:pPr>
                  <w:r>
                    <w:rPr>
                      <w:color w:val="auto"/>
                      <w:kern w:val="0"/>
                      <w:sz w:val="18"/>
                      <w:szCs w:val="18"/>
                      <w:highlight w:val="none"/>
                      <w:lang w:bidi="ar"/>
                    </w:rPr>
                    <w:t>废气</w:t>
                  </w:r>
                </w:p>
              </w:tc>
              <w:tc>
                <w:tcPr>
                  <w:tcW w:w="4356" w:type="dxa"/>
                  <w:tcBorders>
                    <w:tl2br w:val="nil"/>
                    <w:tr2bl w:val="nil"/>
                  </w:tcBorders>
                  <w:vAlign w:val="center"/>
                </w:tcPr>
                <w:p w14:paraId="302C3173">
                  <w:pPr>
                    <w:widowControl/>
                    <w:jc w:val="center"/>
                    <w:textAlignment w:val="center"/>
                    <w:rPr>
                      <w:color w:val="auto"/>
                      <w:sz w:val="18"/>
                      <w:szCs w:val="18"/>
                      <w:highlight w:val="none"/>
                    </w:rPr>
                  </w:pPr>
                  <w:r>
                    <w:rPr>
                      <w:color w:val="auto"/>
                      <w:kern w:val="0"/>
                      <w:sz w:val="18"/>
                      <w:szCs w:val="18"/>
                      <w:highlight w:val="none"/>
                      <w:lang w:bidi="ar"/>
                    </w:rPr>
                    <w:t>2套布袋除尘装置</w:t>
                  </w:r>
                </w:p>
              </w:tc>
              <w:tc>
                <w:tcPr>
                  <w:tcW w:w="1056" w:type="dxa"/>
                  <w:tcBorders>
                    <w:tl2br w:val="nil"/>
                    <w:tr2bl w:val="nil"/>
                  </w:tcBorders>
                  <w:vAlign w:val="center"/>
                </w:tcPr>
                <w:p w14:paraId="108D0DE9">
                  <w:pPr>
                    <w:widowControl/>
                    <w:jc w:val="center"/>
                    <w:textAlignment w:val="center"/>
                    <w:rPr>
                      <w:color w:val="auto"/>
                      <w:sz w:val="18"/>
                      <w:szCs w:val="18"/>
                      <w:highlight w:val="none"/>
                    </w:rPr>
                  </w:pPr>
                  <w:r>
                    <w:rPr>
                      <w:color w:val="auto"/>
                      <w:kern w:val="0"/>
                      <w:sz w:val="18"/>
                      <w:szCs w:val="18"/>
                      <w:highlight w:val="none"/>
                      <w:lang w:bidi="ar"/>
                    </w:rPr>
                    <w:t>/</w:t>
                  </w:r>
                </w:p>
              </w:tc>
              <w:tc>
                <w:tcPr>
                  <w:tcW w:w="1056" w:type="dxa"/>
                  <w:tcBorders>
                    <w:tl2br w:val="nil"/>
                    <w:tr2bl w:val="nil"/>
                  </w:tcBorders>
                  <w:vAlign w:val="center"/>
                </w:tcPr>
                <w:p w14:paraId="613CABBE">
                  <w:pPr>
                    <w:widowControl/>
                    <w:jc w:val="center"/>
                    <w:textAlignment w:val="center"/>
                    <w:rPr>
                      <w:rFonts w:hint="default" w:eastAsia="宋体"/>
                      <w:color w:val="auto"/>
                      <w:sz w:val="18"/>
                      <w:szCs w:val="18"/>
                      <w:highlight w:val="none"/>
                      <w:lang w:val="en-US" w:eastAsia="zh-CN"/>
                    </w:rPr>
                  </w:pPr>
                  <w:r>
                    <w:rPr>
                      <w:color w:val="auto"/>
                      <w:kern w:val="0"/>
                      <w:sz w:val="18"/>
                      <w:szCs w:val="18"/>
                      <w:highlight w:val="none"/>
                      <w:lang w:bidi="ar"/>
                    </w:rPr>
                    <w:t>设备自带</w:t>
                  </w:r>
                  <w:r>
                    <w:rPr>
                      <w:rFonts w:hint="default"/>
                      <w:color w:val="auto"/>
                      <w:kern w:val="0"/>
                      <w:sz w:val="18"/>
                      <w:szCs w:val="18"/>
                      <w:highlight w:val="none"/>
                      <w:vertAlign w:val="superscript"/>
                      <w:lang w:val="en-US" w:eastAsia="zh-CN" w:bidi="ar"/>
                    </w:rPr>
                    <w:t>①</w:t>
                  </w:r>
                </w:p>
              </w:tc>
            </w:tr>
            <w:tr w14:paraId="5824DC9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1200" w:type="dxa"/>
                  <w:vMerge w:val="continue"/>
                  <w:tcBorders>
                    <w:tl2br w:val="nil"/>
                    <w:tr2bl w:val="nil"/>
                  </w:tcBorders>
                  <w:vAlign w:val="center"/>
                </w:tcPr>
                <w:p w14:paraId="1B9FC217">
                  <w:pPr>
                    <w:jc w:val="center"/>
                    <w:rPr>
                      <w:color w:val="auto"/>
                      <w:sz w:val="18"/>
                      <w:szCs w:val="18"/>
                      <w:highlight w:val="none"/>
                    </w:rPr>
                  </w:pPr>
                </w:p>
              </w:tc>
              <w:tc>
                <w:tcPr>
                  <w:tcW w:w="4356" w:type="dxa"/>
                  <w:tcBorders>
                    <w:tl2br w:val="nil"/>
                    <w:tr2bl w:val="nil"/>
                  </w:tcBorders>
                  <w:vAlign w:val="center"/>
                </w:tcPr>
                <w:p w14:paraId="4FD62CC3">
                  <w:pPr>
                    <w:widowControl/>
                    <w:jc w:val="center"/>
                    <w:textAlignment w:val="center"/>
                    <w:rPr>
                      <w:color w:val="auto"/>
                      <w:sz w:val="18"/>
                      <w:szCs w:val="18"/>
                      <w:highlight w:val="none"/>
                    </w:rPr>
                  </w:pPr>
                  <w:r>
                    <w:rPr>
                      <w:color w:val="auto"/>
                      <w:kern w:val="0"/>
                      <w:sz w:val="18"/>
                      <w:szCs w:val="18"/>
                      <w:highlight w:val="none"/>
                      <w:lang w:bidi="ar"/>
                    </w:rPr>
                    <w:t>1套水喷淋+除雾+活性炭吸附装置</w:t>
                  </w:r>
                </w:p>
              </w:tc>
              <w:tc>
                <w:tcPr>
                  <w:tcW w:w="1056" w:type="dxa"/>
                  <w:tcBorders>
                    <w:tl2br w:val="nil"/>
                    <w:tr2bl w:val="nil"/>
                  </w:tcBorders>
                  <w:vAlign w:val="center"/>
                </w:tcPr>
                <w:p w14:paraId="4A1BFC37">
                  <w:pPr>
                    <w:widowControl/>
                    <w:jc w:val="center"/>
                    <w:textAlignment w:val="center"/>
                    <w:rPr>
                      <w:color w:val="auto"/>
                      <w:sz w:val="18"/>
                      <w:szCs w:val="18"/>
                      <w:highlight w:val="none"/>
                    </w:rPr>
                  </w:pPr>
                  <w:r>
                    <w:rPr>
                      <w:color w:val="auto"/>
                      <w:kern w:val="0"/>
                      <w:sz w:val="18"/>
                      <w:szCs w:val="18"/>
                      <w:highlight w:val="none"/>
                      <w:lang w:bidi="ar"/>
                    </w:rPr>
                    <w:t>5</w:t>
                  </w:r>
                </w:p>
              </w:tc>
              <w:tc>
                <w:tcPr>
                  <w:tcW w:w="1056" w:type="dxa"/>
                  <w:tcBorders>
                    <w:tl2br w:val="nil"/>
                    <w:tr2bl w:val="nil"/>
                  </w:tcBorders>
                  <w:vAlign w:val="center"/>
                </w:tcPr>
                <w:p w14:paraId="3ED5699C">
                  <w:pPr>
                    <w:widowControl/>
                    <w:jc w:val="center"/>
                    <w:textAlignment w:val="center"/>
                    <w:rPr>
                      <w:color w:val="auto"/>
                      <w:sz w:val="18"/>
                      <w:szCs w:val="18"/>
                      <w:highlight w:val="none"/>
                    </w:rPr>
                  </w:pPr>
                  <w:r>
                    <w:rPr>
                      <w:color w:val="auto"/>
                      <w:kern w:val="0"/>
                      <w:sz w:val="18"/>
                      <w:szCs w:val="18"/>
                      <w:highlight w:val="none"/>
                      <w:lang w:bidi="ar"/>
                    </w:rPr>
                    <w:t>新增</w:t>
                  </w:r>
                </w:p>
              </w:tc>
            </w:tr>
            <w:tr w14:paraId="5D088A5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1200" w:type="dxa"/>
                  <w:tcBorders>
                    <w:tl2br w:val="nil"/>
                    <w:tr2bl w:val="nil"/>
                  </w:tcBorders>
                  <w:vAlign w:val="center"/>
                </w:tcPr>
                <w:p w14:paraId="35355B99">
                  <w:pPr>
                    <w:widowControl/>
                    <w:jc w:val="center"/>
                    <w:textAlignment w:val="center"/>
                    <w:rPr>
                      <w:color w:val="auto"/>
                      <w:sz w:val="18"/>
                      <w:szCs w:val="18"/>
                      <w:highlight w:val="none"/>
                    </w:rPr>
                  </w:pPr>
                  <w:r>
                    <w:rPr>
                      <w:color w:val="auto"/>
                      <w:kern w:val="0"/>
                      <w:sz w:val="18"/>
                      <w:szCs w:val="18"/>
                      <w:highlight w:val="none"/>
                      <w:lang w:bidi="ar"/>
                    </w:rPr>
                    <w:t>废水</w:t>
                  </w:r>
                </w:p>
              </w:tc>
              <w:tc>
                <w:tcPr>
                  <w:tcW w:w="4356" w:type="dxa"/>
                  <w:tcBorders>
                    <w:tl2br w:val="nil"/>
                    <w:tr2bl w:val="nil"/>
                  </w:tcBorders>
                  <w:vAlign w:val="center"/>
                </w:tcPr>
                <w:p w14:paraId="7198F2D6">
                  <w:pPr>
                    <w:widowControl/>
                    <w:jc w:val="center"/>
                    <w:textAlignment w:val="center"/>
                    <w:rPr>
                      <w:color w:val="auto"/>
                      <w:sz w:val="18"/>
                      <w:szCs w:val="18"/>
                      <w:highlight w:val="none"/>
                    </w:rPr>
                  </w:pPr>
                  <w:r>
                    <w:rPr>
                      <w:color w:val="auto"/>
                      <w:kern w:val="0"/>
                      <w:sz w:val="18"/>
                      <w:szCs w:val="18"/>
                      <w:highlight w:val="none"/>
                      <w:lang w:bidi="ar"/>
                    </w:rPr>
                    <w:t>修建1座小型沉淀池，PAC化学除磷+沉淀</w:t>
                  </w:r>
                </w:p>
              </w:tc>
              <w:tc>
                <w:tcPr>
                  <w:tcW w:w="1056" w:type="dxa"/>
                  <w:tcBorders>
                    <w:tl2br w:val="nil"/>
                    <w:tr2bl w:val="nil"/>
                  </w:tcBorders>
                  <w:vAlign w:val="center"/>
                </w:tcPr>
                <w:p w14:paraId="44B0C1FF">
                  <w:pPr>
                    <w:widowControl/>
                    <w:jc w:val="center"/>
                    <w:textAlignment w:val="center"/>
                    <w:rPr>
                      <w:color w:val="auto"/>
                      <w:sz w:val="18"/>
                      <w:szCs w:val="18"/>
                      <w:highlight w:val="none"/>
                    </w:rPr>
                  </w:pPr>
                  <w:r>
                    <w:rPr>
                      <w:color w:val="auto"/>
                      <w:kern w:val="0"/>
                      <w:sz w:val="18"/>
                      <w:szCs w:val="18"/>
                      <w:highlight w:val="none"/>
                      <w:lang w:bidi="ar"/>
                    </w:rPr>
                    <w:t>3</w:t>
                  </w:r>
                </w:p>
              </w:tc>
              <w:tc>
                <w:tcPr>
                  <w:tcW w:w="1056" w:type="dxa"/>
                  <w:tcBorders>
                    <w:tl2br w:val="nil"/>
                    <w:tr2bl w:val="nil"/>
                  </w:tcBorders>
                  <w:vAlign w:val="center"/>
                </w:tcPr>
                <w:p w14:paraId="49BF0478">
                  <w:pPr>
                    <w:widowControl/>
                    <w:jc w:val="center"/>
                    <w:textAlignment w:val="center"/>
                    <w:rPr>
                      <w:color w:val="auto"/>
                      <w:sz w:val="18"/>
                      <w:szCs w:val="18"/>
                      <w:highlight w:val="none"/>
                    </w:rPr>
                  </w:pPr>
                  <w:r>
                    <w:rPr>
                      <w:color w:val="auto"/>
                      <w:kern w:val="0"/>
                      <w:sz w:val="18"/>
                      <w:szCs w:val="18"/>
                      <w:highlight w:val="none"/>
                      <w:lang w:bidi="ar"/>
                    </w:rPr>
                    <w:t>新增</w:t>
                  </w:r>
                </w:p>
              </w:tc>
            </w:tr>
            <w:tr w14:paraId="1D76B52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1200" w:type="dxa"/>
                  <w:vMerge w:val="restart"/>
                  <w:tcBorders>
                    <w:tl2br w:val="nil"/>
                    <w:tr2bl w:val="nil"/>
                  </w:tcBorders>
                  <w:vAlign w:val="center"/>
                </w:tcPr>
                <w:p w14:paraId="6F79BF50">
                  <w:pPr>
                    <w:widowControl/>
                    <w:jc w:val="center"/>
                    <w:textAlignment w:val="center"/>
                    <w:rPr>
                      <w:color w:val="auto"/>
                      <w:sz w:val="18"/>
                      <w:szCs w:val="18"/>
                      <w:highlight w:val="none"/>
                    </w:rPr>
                  </w:pPr>
                  <w:r>
                    <w:rPr>
                      <w:color w:val="auto"/>
                      <w:kern w:val="0"/>
                      <w:sz w:val="18"/>
                      <w:szCs w:val="18"/>
                      <w:highlight w:val="none"/>
                      <w:lang w:bidi="ar"/>
                    </w:rPr>
                    <w:t>固体废物</w:t>
                  </w:r>
                </w:p>
              </w:tc>
              <w:tc>
                <w:tcPr>
                  <w:tcW w:w="4356" w:type="dxa"/>
                  <w:tcBorders>
                    <w:tl2br w:val="nil"/>
                    <w:tr2bl w:val="nil"/>
                  </w:tcBorders>
                  <w:vAlign w:val="center"/>
                </w:tcPr>
                <w:p w14:paraId="7EF1DD91">
                  <w:pPr>
                    <w:widowControl/>
                    <w:jc w:val="center"/>
                    <w:textAlignment w:val="center"/>
                    <w:rPr>
                      <w:color w:val="auto"/>
                      <w:sz w:val="18"/>
                      <w:szCs w:val="18"/>
                      <w:highlight w:val="none"/>
                    </w:rPr>
                  </w:pPr>
                  <w:r>
                    <w:rPr>
                      <w:color w:val="auto"/>
                      <w:kern w:val="0"/>
                      <w:sz w:val="18"/>
                      <w:szCs w:val="18"/>
                      <w:highlight w:val="none"/>
                      <w:lang w:bidi="ar"/>
                    </w:rPr>
                    <w:t>修建1间一般固体废物暂存仓库</w:t>
                  </w:r>
                </w:p>
              </w:tc>
              <w:tc>
                <w:tcPr>
                  <w:tcW w:w="1056" w:type="dxa"/>
                  <w:tcBorders>
                    <w:tl2br w:val="nil"/>
                    <w:tr2bl w:val="nil"/>
                  </w:tcBorders>
                  <w:vAlign w:val="center"/>
                </w:tcPr>
                <w:p w14:paraId="73DA4217">
                  <w:pPr>
                    <w:widowControl/>
                    <w:jc w:val="center"/>
                    <w:textAlignment w:val="center"/>
                    <w:rPr>
                      <w:color w:val="auto"/>
                      <w:sz w:val="18"/>
                      <w:szCs w:val="18"/>
                      <w:highlight w:val="none"/>
                    </w:rPr>
                  </w:pPr>
                  <w:r>
                    <w:rPr>
                      <w:color w:val="auto"/>
                      <w:kern w:val="0"/>
                      <w:sz w:val="18"/>
                      <w:szCs w:val="18"/>
                      <w:highlight w:val="none"/>
                      <w:lang w:bidi="ar"/>
                    </w:rPr>
                    <w:t>2</w:t>
                  </w:r>
                </w:p>
              </w:tc>
              <w:tc>
                <w:tcPr>
                  <w:tcW w:w="1056" w:type="dxa"/>
                  <w:tcBorders>
                    <w:tl2br w:val="nil"/>
                    <w:tr2bl w:val="nil"/>
                  </w:tcBorders>
                  <w:vAlign w:val="center"/>
                </w:tcPr>
                <w:p w14:paraId="6AF88F8D">
                  <w:pPr>
                    <w:widowControl/>
                    <w:jc w:val="center"/>
                    <w:textAlignment w:val="center"/>
                    <w:rPr>
                      <w:color w:val="auto"/>
                      <w:sz w:val="18"/>
                      <w:szCs w:val="18"/>
                      <w:highlight w:val="none"/>
                    </w:rPr>
                  </w:pPr>
                  <w:r>
                    <w:rPr>
                      <w:color w:val="auto"/>
                      <w:kern w:val="0"/>
                      <w:sz w:val="18"/>
                      <w:szCs w:val="18"/>
                      <w:highlight w:val="none"/>
                      <w:lang w:bidi="ar"/>
                    </w:rPr>
                    <w:t>依托</w:t>
                  </w:r>
                </w:p>
              </w:tc>
            </w:tr>
            <w:tr w14:paraId="41D277B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1200" w:type="dxa"/>
                  <w:vMerge w:val="continue"/>
                  <w:tcBorders>
                    <w:tl2br w:val="nil"/>
                    <w:tr2bl w:val="nil"/>
                  </w:tcBorders>
                  <w:vAlign w:val="center"/>
                </w:tcPr>
                <w:p w14:paraId="50999CB4">
                  <w:pPr>
                    <w:jc w:val="center"/>
                    <w:rPr>
                      <w:color w:val="auto"/>
                      <w:sz w:val="18"/>
                      <w:szCs w:val="18"/>
                      <w:highlight w:val="none"/>
                    </w:rPr>
                  </w:pPr>
                </w:p>
              </w:tc>
              <w:tc>
                <w:tcPr>
                  <w:tcW w:w="4356" w:type="dxa"/>
                  <w:tcBorders>
                    <w:tl2br w:val="nil"/>
                    <w:tr2bl w:val="nil"/>
                  </w:tcBorders>
                  <w:vAlign w:val="center"/>
                </w:tcPr>
                <w:p w14:paraId="7C2EDDC5">
                  <w:pPr>
                    <w:widowControl/>
                    <w:jc w:val="center"/>
                    <w:textAlignment w:val="center"/>
                    <w:rPr>
                      <w:color w:val="auto"/>
                      <w:sz w:val="18"/>
                      <w:szCs w:val="18"/>
                      <w:highlight w:val="none"/>
                    </w:rPr>
                  </w:pPr>
                  <w:r>
                    <w:rPr>
                      <w:color w:val="auto"/>
                      <w:kern w:val="0"/>
                      <w:sz w:val="18"/>
                      <w:szCs w:val="18"/>
                      <w:highlight w:val="none"/>
                      <w:lang w:bidi="ar"/>
                    </w:rPr>
                    <w:t>修建1间危险废物暂存间</w:t>
                  </w:r>
                </w:p>
              </w:tc>
              <w:tc>
                <w:tcPr>
                  <w:tcW w:w="1056" w:type="dxa"/>
                  <w:tcBorders>
                    <w:tl2br w:val="nil"/>
                    <w:tr2bl w:val="nil"/>
                  </w:tcBorders>
                  <w:vAlign w:val="center"/>
                </w:tcPr>
                <w:p w14:paraId="42E3786E">
                  <w:pPr>
                    <w:widowControl/>
                    <w:jc w:val="center"/>
                    <w:textAlignment w:val="center"/>
                    <w:rPr>
                      <w:color w:val="auto"/>
                      <w:sz w:val="18"/>
                      <w:szCs w:val="18"/>
                      <w:highlight w:val="none"/>
                    </w:rPr>
                  </w:pPr>
                  <w:r>
                    <w:rPr>
                      <w:color w:val="auto"/>
                      <w:kern w:val="0"/>
                      <w:sz w:val="18"/>
                      <w:szCs w:val="18"/>
                      <w:highlight w:val="none"/>
                      <w:lang w:bidi="ar"/>
                    </w:rPr>
                    <w:t>5</w:t>
                  </w:r>
                </w:p>
              </w:tc>
              <w:tc>
                <w:tcPr>
                  <w:tcW w:w="1056" w:type="dxa"/>
                  <w:tcBorders>
                    <w:tl2br w:val="nil"/>
                    <w:tr2bl w:val="nil"/>
                  </w:tcBorders>
                  <w:vAlign w:val="center"/>
                </w:tcPr>
                <w:p w14:paraId="701ABCEA">
                  <w:pPr>
                    <w:widowControl/>
                    <w:jc w:val="center"/>
                    <w:textAlignment w:val="center"/>
                    <w:rPr>
                      <w:color w:val="auto"/>
                      <w:sz w:val="18"/>
                      <w:szCs w:val="18"/>
                      <w:highlight w:val="none"/>
                    </w:rPr>
                  </w:pPr>
                  <w:r>
                    <w:rPr>
                      <w:color w:val="auto"/>
                      <w:kern w:val="0"/>
                      <w:sz w:val="18"/>
                      <w:szCs w:val="18"/>
                      <w:highlight w:val="none"/>
                      <w:lang w:bidi="ar"/>
                    </w:rPr>
                    <w:t>新增</w:t>
                  </w:r>
                </w:p>
              </w:tc>
            </w:tr>
            <w:tr w14:paraId="38BA27A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1200" w:type="dxa"/>
                  <w:tcBorders>
                    <w:tl2br w:val="nil"/>
                    <w:tr2bl w:val="nil"/>
                  </w:tcBorders>
                  <w:vAlign w:val="center"/>
                </w:tcPr>
                <w:p w14:paraId="76E47B77">
                  <w:pPr>
                    <w:widowControl/>
                    <w:jc w:val="center"/>
                    <w:textAlignment w:val="center"/>
                    <w:rPr>
                      <w:color w:val="auto"/>
                      <w:sz w:val="18"/>
                      <w:szCs w:val="18"/>
                      <w:highlight w:val="none"/>
                    </w:rPr>
                  </w:pPr>
                  <w:r>
                    <w:rPr>
                      <w:color w:val="auto"/>
                      <w:kern w:val="0"/>
                      <w:sz w:val="18"/>
                      <w:szCs w:val="18"/>
                      <w:highlight w:val="none"/>
                      <w:lang w:bidi="ar"/>
                    </w:rPr>
                    <w:t>噪声治理</w:t>
                  </w:r>
                </w:p>
              </w:tc>
              <w:tc>
                <w:tcPr>
                  <w:tcW w:w="4356" w:type="dxa"/>
                  <w:tcBorders>
                    <w:tl2br w:val="nil"/>
                    <w:tr2bl w:val="nil"/>
                  </w:tcBorders>
                  <w:vAlign w:val="center"/>
                </w:tcPr>
                <w:p w14:paraId="76724A22">
                  <w:pPr>
                    <w:widowControl/>
                    <w:jc w:val="center"/>
                    <w:textAlignment w:val="center"/>
                    <w:rPr>
                      <w:color w:val="auto"/>
                      <w:sz w:val="18"/>
                      <w:szCs w:val="18"/>
                      <w:highlight w:val="none"/>
                    </w:rPr>
                  </w:pPr>
                  <w:r>
                    <w:rPr>
                      <w:color w:val="auto"/>
                      <w:kern w:val="0"/>
                      <w:sz w:val="18"/>
                      <w:szCs w:val="18"/>
                      <w:highlight w:val="none"/>
                      <w:lang w:bidi="ar"/>
                    </w:rPr>
                    <w:t>隔声降噪装置</w:t>
                  </w:r>
                </w:p>
              </w:tc>
              <w:tc>
                <w:tcPr>
                  <w:tcW w:w="1056" w:type="dxa"/>
                  <w:tcBorders>
                    <w:tl2br w:val="nil"/>
                    <w:tr2bl w:val="nil"/>
                  </w:tcBorders>
                  <w:vAlign w:val="center"/>
                </w:tcPr>
                <w:p w14:paraId="0E0A36F3">
                  <w:pPr>
                    <w:widowControl/>
                    <w:jc w:val="center"/>
                    <w:textAlignment w:val="center"/>
                    <w:rPr>
                      <w:color w:val="auto"/>
                      <w:sz w:val="18"/>
                      <w:szCs w:val="18"/>
                      <w:highlight w:val="none"/>
                    </w:rPr>
                  </w:pPr>
                  <w:r>
                    <w:rPr>
                      <w:color w:val="auto"/>
                      <w:kern w:val="0"/>
                      <w:sz w:val="18"/>
                      <w:szCs w:val="18"/>
                      <w:highlight w:val="none"/>
                      <w:lang w:bidi="ar"/>
                    </w:rPr>
                    <w:t>6</w:t>
                  </w:r>
                </w:p>
              </w:tc>
              <w:tc>
                <w:tcPr>
                  <w:tcW w:w="1056" w:type="dxa"/>
                  <w:tcBorders>
                    <w:tl2br w:val="nil"/>
                    <w:tr2bl w:val="nil"/>
                  </w:tcBorders>
                  <w:vAlign w:val="center"/>
                </w:tcPr>
                <w:p w14:paraId="0E99BE3E">
                  <w:pPr>
                    <w:widowControl/>
                    <w:jc w:val="center"/>
                    <w:textAlignment w:val="center"/>
                    <w:rPr>
                      <w:color w:val="auto"/>
                      <w:sz w:val="18"/>
                      <w:szCs w:val="18"/>
                      <w:highlight w:val="none"/>
                    </w:rPr>
                  </w:pPr>
                  <w:r>
                    <w:rPr>
                      <w:color w:val="auto"/>
                      <w:kern w:val="0"/>
                      <w:sz w:val="18"/>
                      <w:szCs w:val="18"/>
                      <w:highlight w:val="none"/>
                      <w:lang w:bidi="ar"/>
                    </w:rPr>
                    <w:t>新增</w:t>
                  </w:r>
                </w:p>
              </w:tc>
            </w:tr>
            <w:tr w14:paraId="7DA6165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5556" w:type="dxa"/>
                  <w:gridSpan w:val="2"/>
                  <w:tcBorders>
                    <w:tl2br w:val="nil"/>
                    <w:tr2bl w:val="nil"/>
                  </w:tcBorders>
                  <w:vAlign w:val="center"/>
                </w:tcPr>
                <w:p w14:paraId="7D08FA68">
                  <w:pPr>
                    <w:widowControl/>
                    <w:jc w:val="center"/>
                    <w:textAlignment w:val="center"/>
                    <w:rPr>
                      <w:color w:val="auto"/>
                      <w:sz w:val="18"/>
                      <w:szCs w:val="18"/>
                      <w:highlight w:val="none"/>
                    </w:rPr>
                  </w:pPr>
                  <w:r>
                    <w:rPr>
                      <w:color w:val="auto"/>
                      <w:kern w:val="0"/>
                      <w:sz w:val="18"/>
                      <w:szCs w:val="18"/>
                      <w:highlight w:val="none"/>
                      <w:lang w:bidi="ar"/>
                    </w:rPr>
                    <w:t>环保投资合计</w:t>
                  </w:r>
                </w:p>
              </w:tc>
              <w:tc>
                <w:tcPr>
                  <w:tcW w:w="1056" w:type="dxa"/>
                  <w:tcBorders>
                    <w:tl2br w:val="nil"/>
                    <w:tr2bl w:val="nil"/>
                  </w:tcBorders>
                  <w:vAlign w:val="center"/>
                </w:tcPr>
                <w:p w14:paraId="4924B140">
                  <w:pPr>
                    <w:widowControl/>
                    <w:jc w:val="center"/>
                    <w:textAlignment w:val="center"/>
                    <w:rPr>
                      <w:color w:val="auto"/>
                      <w:sz w:val="18"/>
                      <w:szCs w:val="18"/>
                      <w:highlight w:val="none"/>
                    </w:rPr>
                  </w:pPr>
                  <w:r>
                    <w:rPr>
                      <w:color w:val="auto"/>
                      <w:kern w:val="0"/>
                      <w:sz w:val="18"/>
                      <w:szCs w:val="18"/>
                      <w:highlight w:val="none"/>
                      <w:lang w:bidi="ar"/>
                    </w:rPr>
                    <w:t>21</w:t>
                  </w:r>
                </w:p>
              </w:tc>
              <w:tc>
                <w:tcPr>
                  <w:tcW w:w="1056" w:type="dxa"/>
                  <w:tcBorders>
                    <w:tl2br w:val="nil"/>
                    <w:tr2bl w:val="nil"/>
                  </w:tcBorders>
                  <w:vAlign w:val="center"/>
                </w:tcPr>
                <w:p w14:paraId="45E8436A">
                  <w:pPr>
                    <w:widowControl/>
                    <w:jc w:val="center"/>
                    <w:textAlignment w:val="center"/>
                    <w:rPr>
                      <w:color w:val="auto"/>
                      <w:sz w:val="18"/>
                      <w:szCs w:val="18"/>
                      <w:highlight w:val="none"/>
                    </w:rPr>
                  </w:pPr>
                  <w:r>
                    <w:rPr>
                      <w:color w:val="auto"/>
                      <w:kern w:val="0"/>
                      <w:sz w:val="18"/>
                      <w:szCs w:val="18"/>
                      <w:highlight w:val="none"/>
                      <w:lang w:bidi="ar"/>
                    </w:rPr>
                    <w:t>/</w:t>
                  </w:r>
                </w:p>
              </w:tc>
            </w:tr>
            <w:tr w14:paraId="51462CA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5556" w:type="dxa"/>
                  <w:gridSpan w:val="2"/>
                  <w:tcBorders>
                    <w:tl2br w:val="nil"/>
                    <w:tr2bl w:val="nil"/>
                  </w:tcBorders>
                  <w:vAlign w:val="center"/>
                </w:tcPr>
                <w:p w14:paraId="4C1AD6BD">
                  <w:pPr>
                    <w:widowControl/>
                    <w:jc w:val="center"/>
                    <w:textAlignment w:val="center"/>
                    <w:rPr>
                      <w:color w:val="auto"/>
                      <w:sz w:val="18"/>
                      <w:szCs w:val="18"/>
                      <w:highlight w:val="none"/>
                    </w:rPr>
                  </w:pPr>
                  <w:r>
                    <w:rPr>
                      <w:color w:val="auto"/>
                      <w:kern w:val="0"/>
                      <w:sz w:val="18"/>
                      <w:szCs w:val="18"/>
                      <w:highlight w:val="none"/>
                      <w:lang w:bidi="ar"/>
                    </w:rPr>
                    <w:t>占项目总投资的百分比</w:t>
                  </w:r>
                </w:p>
              </w:tc>
              <w:tc>
                <w:tcPr>
                  <w:tcW w:w="1056" w:type="dxa"/>
                  <w:tcBorders>
                    <w:tl2br w:val="nil"/>
                    <w:tr2bl w:val="nil"/>
                  </w:tcBorders>
                  <w:vAlign w:val="center"/>
                </w:tcPr>
                <w:p w14:paraId="2C46AA41">
                  <w:pPr>
                    <w:widowControl/>
                    <w:jc w:val="center"/>
                    <w:textAlignment w:val="center"/>
                    <w:rPr>
                      <w:color w:val="auto"/>
                      <w:sz w:val="18"/>
                      <w:szCs w:val="18"/>
                      <w:highlight w:val="none"/>
                    </w:rPr>
                  </w:pPr>
                  <w:r>
                    <w:rPr>
                      <w:color w:val="auto"/>
                      <w:kern w:val="0"/>
                      <w:sz w:val="18"/>
                      <w:szCs w:val="18"/>
                      <w:highlight w:val="none"/>
                      <w:lang w:bidi="ar"/>
                    </w:rPr>
                    <w:t>3.52%</w:t>
                  </w:r>
                </w:p>
              </w:tc>
              <w:tc>
                <w:tcPr>
                  <w:tcW w:w="1056" w:type="dxa"/>
                  <w:tcBorders>
                    <w:tl2br w:val="nil"/>
                    <w:tr2bl w:val="nil"/>
                  </w:tcBorders>
                  <w:vAlign w:val="center"/>
                </w:tcPr>
                <w:p w14:paraId="69C98E26">
                  <w:pPr>
                    <w:widowControl/>
                    <w:jc w:val="center"/>
                    <w:textAlignment w:val="center"/>
                    <w:rPr>
                      <w:color w:val="auto"/>
                      <w:sz w:val="18"/>
                      <w:szCs w:val="18"/>
                      <w:highlight w:val="none"/>
                    </w:rPr>
                  </w:pPr>
                  <w:r>
                    <w:rPr>
                      <w:color w:val="auto"/>
                      <w:kern w:val="0"/>
                      <w:sz w:val="18"/>
                      <w:szCs w:val="18"/>
                      <w:highlight w:val="none"/>
                      <w:lang w:bidi="ar"/>
                    </w:rPr>
                    <w:t>/</w:t>
                  </w:r>
                </w:p>
              </w:tc>
            </w:tr>
          </w:tbl>
          <w:p w14:paraId="3934A3C0">
            <w:pPr>
              <w:spacing w:line="360" w:lineRule="auto"/>
              <w:rPr>
                <w:rFonts w:hint="default" w:eastAsia="宋体"/>
                <w:b w:val="0"/>
                <w:bCs w:val="0"/>
                <w:color w:val="auto"/>
                <w:sz w:val="18"/>
                <w:szCs w:val="21"/>
                <w:highlight w:val="none"/>
                <w:lang w:val="en-US" w:eastAsia="zh-CN"/>
              </w:rPr>
            </w:pPr>
            <w:r>
              <w:rPr>
                <w:rFonts w:hint="default"/>
                <w:b w:val="0"/>
                <w:bCs w:val="0"/>
                <w:color w:val="auto"/>
                <w:sz w:val="18"/>
                <w:szCs w:val="21"/>
                <w:highlight w:val="none"/>
                <w:lang w:val="en-US" w:eastAsia="zh-CN"/>
              </w:rPr>
              <w:t>注：① 设备内自带布袋除尘装置，计入设备采购成本，不计入新增环保投资。</w:t>
            </w:r>
          </w:p>
          <w:p w14:paraId="05F3D8F4">
            <w:pPr>
              <w:spacing w:line="360" w:lineRule="auto"/>
              <w:rPr>
                <w:color w:val="auto"/>
                <w:highlight w:val="none"/>
              </w:rPr>
            </w:pPr>
            <w:r>
              <w:rPr>
                <w:rFonts w:hint="default"/>
                <w:b/>
                <w:bCs/>
                <w:color w:val="auto"/>
                <w:highlight w:val="none"/>
              </w:rPr>
              <w:t>4.2.8 全厂污染源强汇总</w:t>
            </w:r>
          </w:p>
          <w:p w14:paraId="15123455">
            <w:pPr>
              <w:spacing w:line="360" w:lineRule="auto"/>
              <w:ind w:firstLine="420" w:firstLineChars="200"/>
              <w:rPr>
                <w:rFonts w:hint="default"/>
                <w:color w:val="auto"/>
                <w:highlight w:val="none"/>
                <w:lang w:val="en-US" w:eastAsia="zh-CN"/>
              </w:rPr>
            </w:pPr>
            <w:r>
              <w:rPr>
                <w:rFonts w:hint="default"/>
                <w:color w:val="auto"/>
                <w:highlight w:val="none"/>
                <w:lang w:val="en-US" w:eastAsia="zh-CN"/>
              </w:rPr>
              <w:t>本项目污染源源强汇总如表4-2</w:t>
            </w:r>
            <w:r>
              <w:rPr>
                <w:rFonts w:hint="eastAsia"/>
                <w:color w:val="auto"/>
                <w:highlight w:val="none"/>
                <w:lang w:val="en-US" w:eastAsia="zh-CN"/>
              </w:rPr>
              <w:t>5</w:t>
            </w:r>
            <w:r>
              <w:rPr>
                <w:rFonts w:hint="default"/>
                <w:color w:val="auto"/>
                <w:highlight w:val="none"/>
                <w:lang w:val="en-US" w:eastAsia="zh-CN"/>
              </w:rPr>
              <w:t>。</w:t>
            </w:r>
          </w:p>
          <w:p w14:paraId="0343CFE2">
            <w:pPr>
              <w:numPr>
                <w:ilvl w:val="0"/>
                <w:numId w:val="8"/>
              </w:numPr>
              <w:spacing w:line="360" w:lineRule="auto"/>
              <w:jc w:val="center"/>
              <w:rPr>
                <w:rFonts w:hint="default" w:ascii="Times New Roman" w:hAnsi="Times New Roman" w:eastAsia="黑体" w:cs="Times New Roman"/>
                <w:b w:val="0"/>
                <w:bCs w:val="0"/>
                <w:color w:val="auto"/>
                <w:szCs w:val="21"/>
                <w:highlight w:val="none"/>
              </w:rPr>
            </w:pPr>
            <w:r>
              <w:rPr>
                <w:rFonts w:hint="default" w:ascii="Times New Roman" w:hAnsi="Times New Roman" w:eastAsia="黑体" w:cs="Times New Roman"/>
                <w:b w:val="0"/>
                <w:bCs w:val="0"/>
                <w:color w:val="auto"/>
                <w:spacing w:val="-10"/>
                <w:szCs w:val="21"/>
                <w:highlight w:val="none"/>
                <w:lang w:val="en-US" w:eastAsia="zh-CN"/>
              </w:rPr>
              <w:t xml:space="preserve"> </w:t>
            </w:r>
            <w:r>
              <w:rPr>
                <w:rFonts w:hint="default" w:ascii="Times New Roman" w:hAnsi="Times New Roman" w:eastAsia="黑体" w:cs="Times New Roman"/>
                <w:b w:val="0"/>
                <w:bCs w:val="0"/>
                <w:color w:val="auto"/>
                <w:spacing w:val="-10"/>
                <w:szCs w:val="21"/>
                <w:highlight w:val="none"/>
              </w:rPr>
              <w:t>项目污染源源强汇总一览表  单位：</w:t>
            </w:r>
            <w:r>
              <w:rPr>
                <w:rFonts w:hint="eastAsia" w:eastAsia="黑体" w:cs="Times New Roman"/>
                <w:b w:val="0"/>
                <w:bCs w:val="0"/>
                <w:color w:val="auto"/>
                <w:spacing w:val="-10"/>
                <w:szCs w:val="21"/>
                <w:highlight w:val="none"/>
                <w:lang w:val="en-US" w:eastAsia="zh-CN"/>
              </w:rPr>
              <w:t>t/a</w:t>
            </w:r>
          </w:p>
          <w:tbl>
            <w:tblPr>
              <w:tblStyle w:val="24"/>
              <w:tblW w:w="7631" w:type="dxa"/>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Layout w:type="fixed"/>
              <w:tblCellMar>
                <w:top w:w="0" w:type="dxa"/>
                <w:left w:w="108" w:type="dxa"/>
                <w:bottom w:w="0" w:type="dxa"/>
                <w:right w:w="108" w:type="dxa"/>
              </w:tblCellMar>
            </w:tblPr>
            <w:tblGrid>
              <w:gridCol w:w="1468"/>
              <w:gridCol w:w="659"/>
              <w:gridCol w:w="2241"/>
              <w:gridCol w:w="1653"/>
              <w:gridCol w:w="804"/>
              <w:gridCol w:w="806"/>
            </w:tblGrid>
            <w:tr w14:paraId="73DAE02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1468" w:type="dxa"/>
                  <w:tcBorders>
                    <w:tl2br w:val="nil"/>
                    <w:tr2bl w:val="nil"/>
                  </w:tcBorders>
                  <w:shd w:val="clear" w:color="auto" w:fill="auto"/>
                  <w:noWrap/>
                  <w:vAlign w:val="center"/>
                </w:tcPr>
                <w:p w14:paraId="22A68ED0">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序号</w:t>
                  </w:r>
                </w:p>
              </w:tc>
              <w:tc>
                <w:tcPr>
                  <w:tcW w:w="659" w:type="dxa"/>
                  <w:tcBorders>
                    <w:tl2br w:val="nil"/>
                    <w:tr2bl w:val="nil"/>
                  </w:tcBorders>
                  <w:shd w:val="clear" w:color="auto" w:fill="auto"/>
                  <w:noWrap/>
                  <w:vAlign w:val="center"/>
                </w:tcPr>
                <w:p w14:paraId="550372DF">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类别</w:t>
                  </w:r>
                </w:p>
              </w:tc>
              <w:tc>
                <w:tcPr>
                  <w:tcW w:w="2241" w:type="dxa"/>
                  <w:tcBorders>
                    <w:tl2br w:val="nil"/>
                    <w:tr2bl w:val="nil"/>
                  </w:tcBorders>
                  <w:shd w:val="clear" w:color="auto" w:fill="auto"/>
                  <w:noWrap/>
                  <w:vAlign w:val="center"/>
                </w:tcPr>
                <w:p w14:paraId="1E734469">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污染物名称</w:t>
                  </w:r>
                </w:p>
              </w:tc>
              <w:tc>
                <w:tcPr>
                  <w:tcW w:w="1653" w:type="dxa"/>
                  <w:tcBorders>
                    <w:tl2br w:val="nil"/>
                    <w:tr2bl w:val="nil"/>
                  </w:tcBorders>
                  <w:shd w:val="clear" w:color="auto" w:fill="auto"/>
                  <w:noWrap/>
                  <w:vAlign w:val="center"/>
                </w:tcPr>
                <w:p w14:paraId="4F4AED77">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产生量</w:t>
                  </w:r>
                </w:p>
              </w:tc>
              <w:tc>
                <w:tcPr>
                  <w:tcW w:w="804" w:type="dxa"/>
                  <w:tcBorders>
                    <w:tl2br w:val="nil"/>
                    <w:tr2bl w:val="nil"/>
                  </w:tcBorders>
                  <w:shd w:val="clear" w:color="auto" w:fill="auto"/>
                  <w:noWrap/>
                  <w:vAlign w:val="center"/>
                </w:tcPr>
                <w:p w14:paraId="572F9808">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削减量</w:t>
                  </w:r>
                </w:p>
              </w:tc>
              <w:tc>
                <w:tcPr>
                  <w:tcW w:w="806" w:type="dxa"/>
                  <w:tcBorders>
                    <w:tl2br w:val="nil"/>
                    <w:tr2bl w:val="nil"/>
                  </w:tcBorders>
                  <w:shd w:val="clear" w:color="auto" w:fill="auto"/>
                  <w:noWrap/>
                  <w:vAlign w:val="center"/>
                </w:tcPr>
                <w:p w14:paraId="5B2CCD6E">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排放量</w:t>
                  </w:r>
                </w:p>
              </w:tc>
            </w:tr>
            <w:tr w14:paraId="32AE1CF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1468" w:type="dxa"/>
                  <w:tcBorders>
                    <w:tl2br w:val="nil"/>
                    <w:tr2bl w:val="nil"/>
                  </w:tcBorders>
                  <w:shd w:val="clear" w:color="auto" w:fill="auto"/>
                  <w:noWrap/>
                  <w:vAlign w:val="center"/>
                </w:tcPr>
                <w:p w14:paraId="37C52746">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1</w:t>
                  </w:r>
                </w:p>
              </w:tc>
              <w:tc>
                <w:tcPr>
                  <w:tcW w:w="659" w:type="dxa"/>
                  <w:vMerge w:val="restart"/>
                  <w:tcBorders>
                    <w:tl2br w:val="nil"/>
                    <w:tr2bl w:val="nil"/>
                  </w:tcBorders>
                  <w:shd w:val="clear" w:color="auto" w:fill="auto"/>
                  <w:noWrap/>
                  <w:vAlign w:val="center"/>
                </w:tcPr>
                <w:p w14:paraId="29469E4F">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废气</w:t>
                  </w:r>
                </w:p>
              </w:tc>
              <w:tc>
                <w:tcPr>
                  <w:tcW w:w="2241" w:type="dxa"/>
                  <w:tcBorders>
                    <w:tl2br w:val="nil"/>
                    <w:tr2bl w:val="nil"/>
                  </w:tcBorders>
                  <w:shd w:val="clear" w:color="auto" w:fill="auto"/>
                  <w:noWrap/>
                  <w:vAlign w:val="center"/>
                </w:tcPr>
                <w:p w14:paraId="6A1F4B03">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颗粒物</w:t>
                  </w:r>
                </w:p>
              </w:tc>
              <w:tc>
                <w:tcPr>
                  <w:tcW w:w="1653" w:type="dxa"/>
                  <w:tcBorders>
                    <w:tl2br w:val="nil"/>
                    <w:tr2bl w:val="nil"/>
                  </w:tcBorders>
                  <w:shd w:val="clear" w:color="auto" w:fill="auto"/>
                  <w:noWrap/>
                  <w:vAlign w:val="center"/>
                </w:tcPr>
                <w:p w14:paraId="2176D3CD">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lang w:val="en-US"/>
                    </w:rPr>
                  </w:pPr>
                  <w:r>
                    <w:rPr>
                      <w:rFonts w:hint="eastAsia" w:cs="Times New Roman"/>
                      <w:i w:val="0"/>
                      <w:iCs w:val="0"/>
                      <w:color w:val="auto"/>
                      <w:kern w:val="0"/>
                      <w:sz w:val="18"/>
                      <w:szCs w:val="18"/>
                      <w:highlight w:val="none"/>
                      <w:u w:val="none"/>
                      <w:lang w:val="en-US" w:eastAsia="zh-CN" w:bidi="ar"/>
                    </w:rPr>
                    <w:t>0.018</w:t>
                  </w:r>
                </w:p>
              </w:tc>
              <w:tc>
                <w:tcPr>
                  <w:tcW w:w="804" w:type="dxa"/>
                  <w:tcBorders>
                    <w:tl2br w:val="nil"/>
                    <w:tr2bl w:val="nil"/>
                  </w:tcBorders>
                  <w:shd w:val="clear" w:color="auto" w:fill="auto"/>
                  <w:noWrap/>
                  <w:vAlign w:val="center"/>
                </w:tcPr>
                <w:p w14:paraId="77EB523E">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eastAsia" w:cs="Times New Roman"/>
                      <w:i w:val="0"/>
                      <w:iCs w:val="0"/>
                      <w:color w:val="auto"/>
                      <w:kern w:val="0"/>
                      <w:sz w:val="18"/>
                      <w:szCs w:val="18"/>
                      <w:highlight w:val="none"/>
                      <w:u w:val="none"/>
                      <w:lang w:val="en-US" w:eastAsia="zh-CN" w:bidi="ar"/>
                    </w:rPr>
                    <w:t>0.01</w:t>
                  </w:r>
                  <w:r>
                    <w:rPr>
                      <w:rFonts w:hint="default" w:ascii="Times New Roman" w:hAnsi="Times New Roman" w:eastAsia="宋体" w:cs="Times New Roman"/>
                      <w:i w:val="0"/>
                      <w:iCs w:val="0"/>
                      <w:color w:val="auto"/>
                      <w:kern w:val="0"/>
                      <w:sz w:val="18"/>
                      <w:szCs w:val="18"/>
                      <w:highlight w:val="none"/>
                      <w:u w:val="none"/>
                      <w:lang w:val="en-US" w:eastAsia="zh-CN" w:bidi="ar"/>
                    </w:rPr>
                    <w:t xml:space="preserve"> </w:t>
                  </w:r>
                </w:p>
              </w:tc>
              <w:tc>
                <w:tcPr>
                  <w:tcW w:w="806" w:type="dxa"/>
                  <w:tcBorders>
                    <w:tl2br w:val="nil"/>
                    <w:tr2bl w:val="nil"/>
                  </w:tcBorders>
                  <w:shd w:val="clear" w:color="auto" w:fill="auto"/>
                  <w:noWrap/>
                  <w:vAlign w:val="center"/>
                </w:tcPr>
                <w:p w14:paraId="6DCB1528">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lang w:val="en-US"/>
                    </w:rPr>
                  </w:pPr>
                  <w:r>
                    <w:rPr>
                      <w:rFonts w:hint="eastAsia" w:cs="Times New Roman"/>
                      <w:i w:val="0"/>
                      <w:iCs w:val="0"/>
                      <w:color w:val="auto"/>
                      <w:kern w:val="0"/>
                      <w:sz w:val="18"/>
                      <w:szCs w:val="18"/>
                      <w:highlight w:val="none"/>
                      <w:u w:val="none"/>
                      <w:lang w:val="en-US" w:eastAsia="zh-CN" w:bidi="ar"/>
                    </w:rPr>
                    <w:t>0.008</w:t>
                  </w:r>
                </w:p>
              </w:tc>
            </w:tr>
            <w:tr w14:paraId="534FED3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1468" w:type="dxa"/>
                  <w:tcBorders>
                    <w:tl2br w:val="nil"/>
                    <w:tr2bl w:val="nil"/>
                  </w:tcBorders>
                  <w:shd w:val="clear" w:color="auto" w:fill="auto"/>
                  <w:noWrap/>
                  <w:vAlign w:val="center"/>
                </w:tcPr>
                <w:p w14:paraId="3BAF6B4D">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2</w:t>
                  </w:r>
                </w:p>
              </w:tc>
              <w:tc>
                <w:tcPr>
                  <w:tcW w:w="659" w:type="dxa"/>
                  <w:vMerge w:val="continue"/>
                  <w:tcBorders>
                    <w:tl2br w:val="nil"/>
                    <w:tr2bl w:val="nil"/>
                  </w:tcBorders>
                  <w:shd w:val="clear" w:color="auto" w:fill="auto"/>
                  <w:noWrap/>
                  <w:vAlign w:val="center"/>
                </w:tcPr>
                <w:p w14:paraId="447ECC2F">
                  <w:pPr>
                    <w:jc w:val="center"/>
                    <w:rPr>
                      <w:rFonts w:hint="default" w:ascii="Times New Roman" w:hAnsi="Times New Roman" w:eastAsia="宋体" w:cs="Times New Roman"/>
                      <w:i w:val="0"/>
                      <w:iCs w:val="0"/>
                      <w:color w:val="auto"/>
                      <w:sz w:val="18"/>
                      <w:szCs w:val="18"/>
                      <w:highlight w:val="none"/>
                      <w:u w:val="none"/>
                    </w:rPr>
                  </w:pPr>
                </w:p>
              </w:tc>
              <w:tc>
                <w:tcPr>
                  <w:tcW w:w="2241" w:type="dxa"/>
                  <w:tcBorders>
                    <w:tl2br w:val="nil"/>
                    <w:tr2bl w:val="nil"/>
                  </w:tcBorders>
                  <w:shd w:val="clear" w:color="auto" w:fill="auto"/>
                  <w:noWrap/>
                  <w:vAlign w:val="center"/>
                </w:tcPr>
                <w:p w14:paraId="1C51BD86">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非甲烷总烃</w:t>
                  </w:r>
                </w:p>
              </w:tc>
              <w:tc>
                <w:tcPr>
                  <w:tcW w:w="1653" w:type="dxa"/>
                  <w:tcBorders>
                    <w:tl2br w:val="nil"/>
                    <w:tr2bl w:val="nil"/>
                  </w:tcBorders>
                  <w:shd w:val="clear" w:color="auto" w:fill="auto"/>
                  <w:noWrap/>
                  <w:vAlign w:val="center"/>
                </w:tcPr>
                <w:p w14:paraId="649822EE">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lang w:val="en-US"/>
                    </w:rPr>
                  </w:pPr>
                  <w:r>
                    <w:rPr>
                      <w:rFonts w:hint="eastAsia" w:cs="Times New Roman"/>
                      <w:i w:val="0"/>
                      <w:iCs w:val="0"/>
                      <w:color w:val="auto"/>
                      <w:kern w:val="0"/>
                      <w:sz w:val="18"/>
                      <w:szCs w:val="18"/>
                      <w:highlight w:val="none"/>
                      <w:u w:val="none"/>
                      <w:lang w:val="en-US" w:eastAsia="zh-CN" w:bidi="ar"/>
                    </w:rPr>
                    <w:t>0.007</w:t>
                  </w:r>
                </w:p>
              </w:tc>
              <w:tc>
                <w:tcPr>
                  <w:tcW w:w="804" w:type="dxa"/>
                  <w:tcBorders>
                    <w:tl2br w:val="nil"/>
                    <w:tr2bl w:val="nil"/>
                  </w:tcBorders>
                  <w:shd w:val="clear" w:color="auto" w:fill="auto"/>
                  <w:noWrap/>
                  <w:vAlign w:val="center"/>
                </w:tcPr>
                <w:p w14:paraId="1C83F8B3">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lang w:val="en-US"/>
                    </w:rPr>
                  </w:pPr>
                  <w:r>
                    <w:rPr>
                      <w:rFonts w:hint="eastAsia" w:cs="Times New Roman"/>
                      <w:i w:val="0"/>
                      <w:iCs w:val="0"/>
                      <w:color w:val="auto"/>
                      <w:kern w:val="0"/>
                      <w:sz w:val="18"/>
                      <w:szCs w:val="18"/>
                      <w:highlight w:val="none"/>
                      <w:u w:val="none"/>
                      <w:lang w:val="en-US" w:eastAsia="zh-CN" w:bidi="ar"/>
                    </w:rPr>
                    <w:t>0.003</w:t>
                  </w:r>
                </w:p>
              </w:tc>
              <w:tc>
                <w:tcPr>
                  <w:tcW w:w="806" w:type="dxa"/>
                  <w:tcBorders>
                    <w:tl2br w:val="nil"/>
                    <w:tr2bl w:val="nil"/>
                  </w:tcBorders>
                  <w:shd w:val="clear" w:color="auto" w:fill="auto"/>
                  <w:noWrap/>
                  <w:vAlign w:val="center"/>
                </w:tcPr>
                <w:p w14:paraId="157B6A07">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lang w:val="en-US"/>
                    </w:rPr>
                  </w:pPr>
                  <w:r>
                    <w:rPr>
                      <w:rFonts w:hint="eastAsia" w:cs="Times New Roman"/>
                      <w:i w:val="0"/>
                      <w:iCs w:val="0"/>
                      <w:color w:val="auto"/>
                      <w:kern w:val="0"/>
                      <w:sz w:val="18"/>
                      <w:szCs w:val="18"/>
                      <w:highlight w:val="none"/>
                      <w:u w:val="none"/>
                      <w:lang w:val="en-US" w:eastAsia="zh-CN" w:bidi="ar"/>
                    </w:rPr>
                    <w:t>0.004</w:t>
                  </w:r>
                </w:p>
              </w:tc>
            </w:tr>
            <w:tr w14:paraId="383508B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1468" w:type="dxa"/>
                  <w:tcBorders>
                    <w:tl2br w:val="nil"/>
                    <w:tr2bl w:val="nil"/>
                  </w:tcBorders>
                  <w:shd w:val="clear" w:color="auto" w:fill="auto"/>
                  <w:noWrap/>
                  <w:vAlign w:val="center"/>
                </w:tcPr>
                <w:p w14:paraId="0ED2F4B5">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3</w:t>
                  </w:r>
                </w:p>
              </w:tc>
              <w:tc>
                <w:tcPr>
                  <w:tcW w:w="659" w:type="dxa"/>
                  <w:vMerge w:val="restart"/>
                  <w:tcBorders>
                    <w:tl2br w:val="nil"/>
                    <w:tr2bl w:val="nil"/>
                  </w:tcBorders>
                  <w:shd w:val="clear" w:color="auto" w:fill="auto"/>
                  <w:vAlign w:val="center"/>
                </w:tcPr>
                <w:p w14:paraId="3A46617F">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废水</w:t>
                  </w:r>
                </w:p>
              </w:tc>
              <w:tc>
                <w:tcPr>
                  <w:tcW w:w="2241" w:type="dxa"/>
                  <w:tcBorders>
                    <w:tl2br w:val="nil"/>
                    <w:tr2bl w:val="nil"/>
                  </w:tcBorders>
                  <w:shd w:val="clear" w:color="auto" w:fill="auto"/>
                  <w:noWrap/>
                  <w:vAlign w:val="center"/>
                </w:tcPr>
                <w:p w14:paraId="209F3EC4">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废水量</w:t>
                  </w:r>
                </w:p>
              </w:tc>
              <w:tc>
                <w:tcPr>
                  <w:tcW w:w="1653" w:type="dxa"/>
                  <w:tcBorders>
                    <w:tl2br w:val="nil"/>
                    <w:tr2bl w:val="nil"/>
                  </w:tcBorders>
                  <w:shd w:val="clear" w:color="auto" w:fill="auto"/>
                  <w:noWrap/>
                  <w:vAlign w:val="center"/>
                </w:tcPr>
                <w:p w14:paraId="4466F09D">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lang w:val="en-US"/>
                    </w:rPr>
                  </w:pPr>
                  <w:r>
                    <w:rPr>
                      <w:rFonts w:hint="eastAsia" w:cs="Times New Roman"/>
                      <w:i w:val="0"/>
                      <w:iCs w:val="0"/>
                      <w:color w:val="auto"/>
                      <w:kern w:val="0"/>
                      <w:sz w:val="18"/>
                      <w:szCs w:val="18"/>
                      <w:highlight w:val="none"/>
                      <w:u w:val="none"/>
                      <w:lang w:val="en-US" w:eastAsia="zh-CN" w:bidi="ar"/>
                    </w:rPr>
                    <w:t>199</w:t>
                  </w:r>
                </w:p>
              </w:tc>
              <w:tc>
                <w:tcPr>
                  <w:tcW w:w="804" w:type="dxa"/>
                  <w:tcBorders>
                    <w:tl2br w:val="nil"/>
                    <w:tr2bl w:val="nil"/>
                  </w:tcBorders>
                  <w:shd w:val="clear" w:color="auto" w:fill="auto"/>
                  <w:noWrap/>
                  <w:vAlign w:val="center"/>
                </w:tcPr>
                <w:p w14:paraId="39F1F47F">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 xml:space="preserve">0.00 </w:t>
                  </w:r>
                </w:p>
              </w:tc>
              <w:tc>
                <w:tcPr>
                  <w:tcW w:w="806" w:type="dxa"/>
                  <w:tcBorders>
                    <w:tl2br w:val="nil"/>
                    <w:tr2bl w:val="nil"/>
                  </w:tcBorders>
                  <w:shd w:val="clear" w:color="auto" w:fill="auto"/>
                  <w:noWrap/>
                  <w:vAlign w:val="center"/>
                </w:tcPr>
                <w:p w14:paraId="69DA0752">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eastAsia" w:cs="Times New Roman"/>
                      <w:i w:val="0"/>
                      <w:iCs w:val="0"/>
                      <w:color w:val="auto"/>
                      <w:kern w:val="0"/>
                      <w:sz w:val="18"/>
                      <w:szCs w:val="18"/>
                      <w:highlight w:val="none"/>
                      <w:u w:val="none"/>
                      <w:lang w:val="en-US" w:eastAsia="zh-CN" w:bidi="ar"/>
                    </w:rPr>
                    <w:t>199</w:t>
                  </w:r>
                  <w:r>
                    <w:rPr>
                      <w:rFonts w:hint="default" w:ascii="Times New Roman" w:hAnsi="Times New Roman" w:eastAsia="宋体" w:cs="Times New Roman"/>
                      <w:i w:val="0"/>
                      <w:iCs w:val="0"/>
                      <w:color w:val="auto"/>
                      <w:kern w:val="0"/>
                      <w:sz w:val="18"/>
                      <w:szCs w:val="18"/>
                      <w:highlight w:val="none"/>
                      <w:u w:val="none"/>
                      <w:lang w:val="en-US" w:eastAsia="zh-CN" w:bidi="ar"/>
                    </w:rPr>
                    <w:t xml:space="preserve"> </w:t>
                  </w:r>
                </w:p>
              </w:tc>
            </w:tr>
            <w:tr w14:paraId="2BE78A2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1468" w:type="dxa"/>
                  <w:tcBorders>
                    <w:tl2br w:val="nil"/>
                    <w:tr2bl w:val="nil"/>
                  </w:tcBorders>
                  <w:shd w:val="clear" w:color="auto" w:fill="auto"/>
                  <w:noWrap/>
                  <w:vAlign w:val="center"/>
                </w:tcPr>
                <w:p w14:paraId="768E150E">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4</w:t>
                  </w:r>
                </w:p>
              </w:tc>
              <w:tc>
                <w:tcPr>
                  <w:tcW w:w="659" w:type="dxa"/>
                  <w:vMerge w:val="continue"/>
                  <w:tcBorders>
                    <w:tl2br w:val="nil"/>
                    <w:tr2bl w:val="nil"/>
                  </w:tcBorders>
                  <w:shd w:val="clear" w:color="auto" w:fill="auto"/>
                  <w:vAlign w:val="center"/>
                </w:tcPr>
                <w:p w14:paraId="266E06D8">
                  <w:pPr>
                    <w:jc w:val="center"/>
                    <w:rPr>
                      <w:rFonts w:hint="default" w:ascii="Times New Roman" w:hAnsi="Times New Roman" w:eastAsia="宋体" w:cs="Times New Roman"/>
                      <w:i w:val="0"/>
                      <w:iCs w:val="0"/>
                      <w:color w:val="auto"/>
                      <w:sz w:val="18"/>
                      <w:szCs w:val="18"/>
                      <w:highlight w:val="none"/>
                      <w:u w:val="none"/>
                    </w:rPr>
                  </w:pPr>
                </w:p>
              </w:tc>
              <w:tc>
                <w:tcPr>
                  <w:tcW w:w="2241" w:type="dxa"/>
                  <w:tcBorders>
                    <w:tl2br w:val="nil"/>
                    <w:tr2bl w:val="nil"/>
                  </w:tcBorders>
                  <w:shd w:val="clear" w:color="auto" w:fill="auto"/>
                  <w:noWrap/>
                  <w:vAlign w:val="center"/>
                </w:tcPr>
                <w:p w14:paraId="005C8EBD">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COD</w:t>
                  </w:r>
                  <w:r>
                    <w:rPr>
                      <w:rFonts w:hint="default" w:ascii="Times New Roman" w:hAnsi="Times New Roman" w:eastAsia="宋体" w:cs="Times New Roman"/>
                      <w:i w:val="0"/>
                      <w:iCs w:val="0"/>
                      <w:color w:val="auto"/>
                      <w:kern w:val="0"/>
                      <w:sz w:val="18"/>
                      <w:szCs w:val="18"/>
                      <w:highlight w:val="none"/>
                      <w:u w:val="none"/>
                      <w:vertAlign w:val="subscript"/>
                      <w:lang w:val="en-US" w:eastAsia="zh-CN" w:bidi="ar"/>
                    </w:rPr>
                    <w:t>Cr</w:t>
                  </w:r>
                </w:p>
              </w:tc>
              <w:tc>
                <w:tcPr>
                  <w:tcW w:w="1653" w:type="dxa"/>
                  <w:tcBorders>
                    <w:tl2br w:val="nil"/>
                    <w:tr2bl w:val="nil"/>
                  </w:tcBorders>
                  <w:shd w:val="clear" w:color="auto" w:fill="auto"/>
                  <w:noWrap/>
                  <w:vAlign w:val="center"/>
                </w:tcPr>
                <w:p w14:paraId="2B1A1CAD">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lang w:val="en-US"/>
                    </w:rPr>
                  </w:pPr>
                  <w:r>
                    <w:rPr>
                      <w:rFonts w:hint="eastAsia" w:cs="Times New Roman"/>
                      <w:i w:val="0"/>
                      <w:iCs w:val="0"/>
                      <w:color w:val="auto"/>
                      <w:kern w:val="0"/>
                      <w:sz w:val="18"/>
                      <w:szCs w:val="18"/>
                      <w:highlight w:val="none"/>
                      <w:u w:val="none"/>
                      <w:lang w:val="en-US" w:eastAsia="zh-CN" w:bidi="ar"/>
                    </w:rPr>
                    <w:t>0.051</w:t>
                  </w:r>
                </w:p>
              </w:tc>
              <w:tc>
                <w:tcPr>
                  <w:tcW w:w="804" w:type="dxa"/>
                  <w:tcBorders>
                    <w:tl2br w:val="nil"/>
                    <w:tr2bl w:val="nil"/>
                  </w:tcBorders>
                  <w:shd w:val="clear" w:color="auto" w:fill="auto"/>
                  <w:noWrap/>
                  <w:vAlign w:val="center"/>
                </w:tcPr>
                <w:p w14:paraId="3010A669">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lang w:val="en-US"/>
                    </w:rPr>
                  </w:pPr>
                  <w:r>
                    <w:rPr>
                      <w:rFonts w:hint="eastAsia" w:cs="Times New Roman"/>
                      <w:i w:val="0"/>
                      <w:iCs w:val="0"/>
                      <w:color w:val="auto"/>
                      <w:kern w:val="0"/>
                      <w:sz w:val="18"/>
                      <w:szCs w:val="18"/>
                      <w:highlight w:val="none"/>
                      <w:u w:val="none"/>
                      <w:lang w:val="en-US" w:eastAsia="zh-CN" w:bidi="ar"/>
                    </w:rPr>
                    <w:t>0.043</w:t>
                  </w:r>
                </w:p>
              </w:tc>
              <w:tc>
                <w:tcPr>
                  <w:tcW w:w="806" w:type="dxa"/>
                  <w:tcBorders>
                    <w:tl2br w:val="nil"/>
                    <w:tr2bl w:val="nil"/>
                  </w:tcBorders>
                  <w:shd w:val="clear" w:color="auto" w:fill="auto"/>
                  <w:noWrap/>
                  <w:vAlign w:val="center"/>
                </w:tcPr>
                <w:p w14:paraId="1E08E318">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eastAsia" w:cs="Times New Roman"/>
                      <w:i w:val="0"/>
                      <w:iCs w:val="0"/>
                      <w:color w:val="auto"/>
                      <w:kern w:val="0"/>
                      <w:sz w:val="18"/>
                      <w:szCs w:val="18"/>
                      <w:highlight w:val="none"/>
                      <w:u w:val="none"/>
                      <w:lang w:val="en-US" w:eastAsia="zh-CN" w:bidi="ar"/>
                    </w:rPr>
                    <w:t>0.008</w:t>
                  </w:r>
                  <w:r>
                    <w:rPr>
                      <w:rFonts w:hint="default" w:ascii="Times New Roman" w:hAnsi="Times New Roman" w:eastAsia="宋体" w:cs="Times New Roman"/>
                      <w:i w:val="0"/>
                      <w:iCs w:val="0"/>
                      <w:color w:val="auto"/>
                      <w:kern w:val="0"/>
                      <w:sz w:val="18"/>
                      <w:szCs w:val="18"/>
                      <w:highlight w:val="none"/>
                      <w:u w:val="none"/>
                      <w:lang w:val="en-US" w:eastAsia="zh-CN" w:bidi="ar"/>
                    </w:rPr>
                    <w:t xml:space="preserve"> </w:t>
                  </w:r>
                </w:p>
              </w:tc>
            </w:tr>
            <w:tr w14:paraId="64363F6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1468" w:type="dxa"/>
                  <w:tcBorders>
                    <w:tl2br w:val="nil"/>
                    <w:tr2bl w:val="nil"/>
                  </w:tcBorders>
                  <w:shd w:val="clear" w:color="auto" w:fill="auto"/>
                  <w:noWrap/>
                  <w:vAlign w:val="center"/>
                </w:tcPr>
                <w:p w14:paraId="7136E1E2">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5</w:t>
                  </w:r>
                </w:p>
              </w:tc>
              <w:tc>
                <w:tcPr>
                  <w:tcW w:w="659" w:type="dxa"/>
                  <w:vMerge w:val="continue"/>
                  <w:tcBorders>
                    <w:tl2br w:val="nil"/>
                    <w:tr2bl w:val="nil"/>
                  </w:tcBorders>
                  <w:shd w:val="clear" w:color="auto" w:fill="auto"/>
                  <w:vAlign w:val="center"/>
                </w:tcPr>
                <w:p w14:paraId="247D10DD">
                  <w:pPr>
                    <w:jc w:val="center"/>
                    <w:rPr>
                      <w:rFonts w:hint="default" w:ascii="Times New Roman" w:hAnsi="Times New Roman" w:eastAsia="宋体" w:cs="Times New Roman"/>
                      <w:i w:val="0"/>
                      <w:iCs w:val="0"/>
                      <w:color w:val="auto"/>
                      <w:sz w:val="18"/>
                      <w:szCs w:val="18"/>
                      <w:highlight w:val="none"/>
                      <w:u w:val="none"/>
                    </w:rPr>
                  </w:pPr>
                </w:p>
              </w:tc>
              <w:tc>
                <w:tcPr>
                  <w:tcW w:w="2241" w:type="dxa"/>
                  <w:tcBorders>
                    <w:tl2br w:val="nil"/>
                    <w:tr2bl w:val="nil"/>
                  </w:tcBorders>
                  <w:shd w:val="clear" w:color="auto" w:fill="auto"/>
                  <w:vAlign w:val="center"/>
                </w:tcPr>
                <w:p w14:paraId="3F58494B">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TP</w:t>
                  </w:r>
                  <w:r>
                    <w:rPr>
                      <w:rFonts w:hint="eastAsia" w:cs="Times New Roman"/>
                      <w:i w:val="0"/>
                      <w:iCs w:val="0"/>
                      <w:color w:val="auto"/>
                      <w:kern w:val="0"/>
                      <w:sz w:val="18"/>
                      <w:szCs w:val="18"/>
                      <w:highlight w:val="none"/>
                      <w:u w:val="none"/>
                      <w:lang w:val="en-US" w:eastAsia="zh-CN" w:bidi="ar"/>
                    </w:rPr>
                    <w:t xml:space="preserve"> (kg/a)</w:t>
                  </w:r>
                </w:p>
              </w:tc>
              <w:tc>
                <w:tcPr>
                  <w:tcW w:w="1653" w:type="dxa"/>
                  <w:tcBorders>
                    <w:tl2br w:val="nil"/>
                    <w:tr2bl w:val="nil"/>
                  </w:tcBorders>
                  <w:shd w:val="clear" w:color="auto" w:fill="auto"/>
                  <w:noWrap/>
                  <w:vAlign w:val="center"/>
                </w:tcPr>
                <w:p w14:paraId="498FC26D">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 xml:space="preserve">0.12 </w:t>
                  </w:r>
                </w:p>
              </w:tc>
              <w:tc>
                <w:tcPr>
                  <w:tcW w:w="804" w:type="dxa"/>
                  <w:tcBorders>
                    <w:tl2br w:val="nil"/>
                    <w:tr2bl w:val="nil"/>
                  </w:tcBorders>
                  <w:shd w:val="clear" w:color="auto" w:fill="auto"/>
                  <w:noWrap/>
                  <w:vAlign w:val="center"/>
                </w:tcPr>
                <w:p w14:paraId="439F543D">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 xml:space="preserve">0.06 </w:t>
                  </w:r>
                </w:p>
              </w:tc>
              <w:tc>
                <w:tcPr>
                  <w:tcW w:w="806" w:type="dxa"/>
                  <w:tcBorders>
                    <w:tl2br w:val="nil"/>
                    <w:tr2bl w:val="nil"/>
                  </w:tcBorders>
                  <w:shd w:val="clear" w:color="auto" w:fill="auto"/>
                  <w:noWrap/>
                  <w:vAlign w:val="center"/>
                </w:tcPr>
                <w:p w14:paraId="1871F33C">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 xml:space="preserve">0.06 </w:t>
                  </w:r>
                </w:p>
              </w:tc>
            </w:tr>
            <w:tr w14:paraId="5CEB7C6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1468" w:type="dxa"/>
                  <w:tcBorders>
                    <w:tl2br w:val="nil"/>
                    <w:tr2bl w:val="nil"/>
                  </w:tcBorders>
                  <w:shd w:val="clear" w:color="auto" w:fill="auto"/>
                  <w:noWrap/>
                  <w:vAlign w:val="center"/>
                </w:tcPr>
                <w:p w14:paraId="407F5FE9">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6</w:t>
                  </w:r>
                </w:p>
              </w:tc>
              <w:tc>
                <w:tcPr>
                  <w:tcW w:w="659" w:type="dxa"/>
                  <w:vMerge w:val="continue"/>
                  <w:tcBorders>
                    <w:tl2br w:val="nil"/>
                    <w:tr2bl w:val="nil"/>
                  </w:tcBorders>
                  <w:shd w:val="clear" w:color="auto" w:fill="auto"/>
                  <w:vAlign w:val="center"/>
                </w:tcPr>
                <w:p w14:paraId="5BBB4D5D">
                  <w:pPr>
                    <w:jc w:val="center"/>
                    <w:rPr>
                      <w:rFonts w:hint="default" w:ascii="Times New Roman" w:hAnsi="Times New Roman" w:eastAsia="宋体" w:cs="Times New Roman"/>
                      <w:i w:val="0"/>
                      <w:iCs w:val="0"/>
                      <w:color w:val="auto"/>
                      <w:sz w:val="18"/>
                      <w:szCs w:val="18"/>
                      <w:highlight w:val="none"/>
                      <w:u w:val="none"/>
                    </w:rPr>
                  </w:pPr>
                </w:p>
              </w:tc>
              <w:tc>
                <w:tcPr>
                  <w:tcW w:w="2241" w:type="dxa"/>
                  <w:tcBorders>
                    <w:tl2br w:val="nil"/>
                    <w:tr2bl w:val="nil"/>
                  </w:tcBorders>
                  <w:shd w:val="clear" w:color="auto" w:fill="auto"/>
                  <w:noWrap/>
                  <w:vAlign w:val="center"/>
                </w:tcPr>
                <w:p w14:paraId="48383B02">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SS</w:t>
                  </w:r>
                </w:p>
              </w:tc>
              <w:tc>
                <w:tcPr>
                  <w:tcW w:w="1653" w:type="dxa"/>
                  <w:tcBorders>
                    <w:tl2br w:val="nil"/>
                    <w:tr2bl w:val="nil"/>
                  </w:tcBorders>
                  <w:shd w:val="clear" w:color="auto" w:fill="auto"/>
                  <w:noWrap/>
                  <w:vAlign w:val="center"/>
                </w:tcPr>
                <w:p w14:paraId="1068C2FA">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lang w:val="en-US"/>
                    </w:rPr>
                  </w:pPr>
                  <w:r>
                    <w:rPr>
                      <w:rFonts w:hint="eastAsia" w:cs="Times New Roman"/>
                      <w:i w:val="0"/>
                      <w:iCs w:val="0"/>
                      <w:color w:val="auto"/>
                      <w:kern w:val="0"/>
                      <w:sz w:val="18"/>
                      <w:szCs w:val="18"/>
                      <w:highlight w:val="none"/>
                      <w:u w:val="none"/>
                      <w:lang w:val="en-US" w:eastAsia="zh-CN" w:bidi="ar"/>
                    </w:rPr>
                    <w:t>0.036</w:t>
                  </w:r>
                </w:p>
              </w:tc>
              <w:tc>
                <w:tcPr>
                  <w:tcW w:w="804" w:type="dxa"/>
                  <w:tcBorders>
                    <w:tl2br w:val="nil"/>
                    <w:tr2bl w:val="nil"/>
                  </w:tcBorders>
                  <w:shd w:val="clear" w:color="auto" w:fill="auto"/>
                  <w:noWrap/>
                  <w:vAlign w:val="center"/>
                </w:tcPr>
                <w:p w14:paraId="5349B9EE">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eastAsia" w:cs="Times New Roman"/>
                      <w:i w:val="0"/>
                      <w:iCs w:val="0"/>
                      <w:color w:val="auto"/>
                      <w:kern w:val="0"/>
                      <w:sz w:val="18"/>
                      <w:szCs w:val="18"/>
                      <w:highlight w:val="none"/>
                      <w:u w:val="none"/>
                      <w:lang w:val="en-US" w:eastAsia="zh-CN" w:bidi="ar"/>
                    </w:rPr>
                    <w:t>0.034</w:t>
                  </w:r>
                  <w:r>
                    <w:rPr>
                      <w:rFonts w:hint="default" w:ascii="Times New Roman" w:hAnsi="Times New Roman" w:eastAsia="宋体" w:cs="Times New Roman"/>
                      <w:i w:val="0"/>
                      <w:iCs w:val="0"/>
                      <w:color w:val="auto"/>
                      <w:kern w:val="0"/>
                      <w:sz w:val="18"/>
                      <w:szCs w:val="18"/>
                      <w:highlight w:val="none"/>
                      <w:u w:val="none"/>
                      <w:lang w:val="en-US" w:eastAsia="zh-CN" w:bidi="ar"/>
                    </w:rPr>
                    <w:t xml:space="preserve"> </w:t>
                  </w:r>
                </w:p>
              </w:tc>
              <w:tc>
                <w:tcPr>
                  <w:tcW w:w="806" w:type="dxa"/>
                  <w:tcBorders>
                    <w:tl2br w:val="nil"/>
                    <w:tr2bl w:val="nil"/>
                  </w:tcBorders>
                  <w:shd w:val="clear" w:color="auto" w:fill="auto"/>
                  <w:noWrap/>
                  <w:vAlign w:val="center"/>
                </w:tcPr>
                <w:p w14:paraId="3FC3F99B">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lang w:val="en-US"/>
                    </w:rPr>
                  </w:pPr>
                  <w:r>
                    <w:rPr>
                      <w:rFonts w:hint="eastAsia" w:cs="Times New Roman"/>
                      <w:i w:val="0"/>
                      <w:iCs w:val="0"/>
                      <w:color w:val="auto"/>
                      <w:kern w:val="0"/>
                      <w:sz w:val="18"/>
                      <w:szCs w:val="18"/>
                      <w:highlight w:val="none"/>
                      <w:u w:val="none"/>
                      <w:lang w:val="en-US" w:eastAsia="zh-CN" w:bidi="ar"/>
                    </w:rPr>
                    <w:t>0.002</w:t>
                  </w:r>
                </w:p>
              </w:tc>
            </w:tr>
            <w:tr w14:paraId="3281CE9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1468" w:type="dxa"/>
                  <w:tcBorders>
                    <w:tl2br w:val="nil"/>
                    <w:tr2bl w:val="nil"/>
                  </w:tcBorders>
                  <w:shd w:val="clear" w:color="auto" w:fill="auto"/>
                  <w:noWrap/>
                  <w:vAlign w:val="center"/>
                </w:tcPr>
                <w:p w14:paraId="73E10BE2">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7</w:t>
                  </w:r>
                </w:p>
              </w:tc>
              <w:tc>
                <w:tcPr>
                  <w:tcW w:w="659" w:type="dxa"/>
                  <w:vMerge w:val="continue"/>
                  <w:tcBorders>
                    <w:tl2br w:val="nil"/>
                    <w:tr2bl w:val="nil"/>
                  </w:tcBorders>
                  <w:shd w:val="clear" w:color="auto" w:fill="auto"/>
                  <w:vAlign w:val="center"/>
                </w:tcPr>
                <w:p w14:paraId="12C14588">
                  <w:pPr>
                    <w:jc w:val="center"/>
                    <w:rPr>
                      <w:rFonts w:hint="default" w:ascii="Times New Roman" w:hAnsi="Times New Roman" w:eastAsia="宋体" w:cs="Times New Roman"/>
                      <w:i w:val="0"/>
                      <w:iCs w:val="0"/>
                      <w:color w:val="auto"/>
                      <w:sz w:val="18"/>
                      <w:szCs w:val="18"/>
                      <w:highlight w:val="none"/>
                      <w:u w:val="none"/>
                    </w:rPr>
                  </w:pPr>
                </w:p>
              </w:tc>
              <w:tc>
                <w:tcPr>
                  <w:tcW w:w="2241" w:type="dxa"/>
                  <w:tcBorders>
                    <w:tl2br w:val="nil"/>
                    <w:tr2bl w:val="nil"/>
                  </w:tcBorders>
                  <w:shd w:val="clear" w:color="auto" w:fill="auto"/>
                  <w:noWrap/>
                  <w:vAlign w:val="center"/>
                </w:tcPr>
                <w:p w14:paraId="0437A727">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lang w:val="en-US"/>
                    </w:rPr>
                  </w:pPr>
                  <w:r>
                    <w:rPr>
                      <w:rFonts w:hint="default" w:ascii="Times New Roman" w:hAnsi="Times New Roman" w:eastAsia="宋体" w:cs="Times New Roman"/>
                      <w:i w:val="0"/>
                      <w:iCs w:val="0"/>
                      <w:color w:val="auto"/>
                      <w:kern w:val="0"/>
                      <w:sz w:val="18"/>
                      <w:szCs w:val="18"/>
                      <w:highlight w:val="none"/>
                      <w:u w:val="none"/>
                      <w:lang w:val="en-US" w:eastAsia="zh-CN" w:bidi="ar"/>
                    </w:rPr>
                    <w:t>NH</w:t>
                  </w:r>
                  <w:r>
                    <w:rPr>
                      <w:rFonts w:hint="default" w:ascii="Times New Roman" w:hAnsi="Times New Roman" w:eastAsia="宋体" w:cs="Times New Roman"/>
                      <w:i w:val="0"/>
                      <w:iCs w:val="0"/>
                      <w:color w:val="auto"/>
                      <w:kern w:val="0"/>
                      <w:sz w:val="18"/>
                      <w:szCs w:val="18"/>
                      <w:highlight w:val="none"/>
                      <w:u w:val="none"/>
                      <w:vertAlign w:val="subscript"/>
                      <w:lang w:val="en-US" w:eastAsia="zh-CN" w:bidi="ar"/>
                    </w:rPr>
                    <w:t>3</w:t>
                  </w:r>
                  <w:r>
                    <w:rPr>
                      <w:rFonts w:hint="default" w:ascii="Times New Roman" w:hAnsi="Times New Roman" w:eastAsia="宋体" w:cs="Times New Roman"/>
                      <w:i w:val="0"/>
                      <w:iCs w:val="0"/>
                      <w:color w:val="auto"/>
                      <w:kern w:val="0"/>
                      <w:sz w:val="18"/>
                      <w:szCs w:val="18"/>
                      <w:highlight w:val="none"/>
                      <w:u w:val="none"/>
                      <w:lang w:val="en-US" w:eastAsia="zh-CN" w:bidi="ar"/>
                    </w:rPr>
                    <w:t>-N</w:t>
                  </w:r>
                </w:p>
              </w:tc>
              <w:tc>
                <w:tcPr>
                  <w:tcW w:w="1653" w:type="dxa"/>
                  <w:tcBorders>
                    <w:tl2br w:val="nil"/>
                    <w:tr2bl w:val="nil"/>
                  </w:tcBorders>
                  <w:shd w:val="clear" w:color="auto" w:fill="auto"/>
                  <w:noWrap/>
                  <w:vAlign w:val="center"/>
                </w:tcPr>
                <w:p w14:paraId="39B99FA6">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lang w:val="en-US"/>
                    </w:rPr>
                  </w:pPr>
                  <w:r>
                    <w:rPr>
                      <w:rFonts w:hint="eastAsia" w:cs="Times New Roman"/>
                      <w:i w:val="0"/>
                      <w:iCs w:val="0"/>
                      <w:color w:val="auto"/>
                      <w:kern w:val="0"/>
                      <w:sz w:val="18"/>
                      <w:szCs w:val="18"/>
                      <w:highlight w:val="none"/>
                      <w:u w:val="none"/>
                      <w:lang w:val="en-US" w:eastAsia="zh-CN" w:bidi="ar"/>
                    </w:rPr>
                    <w:t>0.004</w:t>
                  </w:r>
                </w:p>
              </w:tc>
              <w:tc>
                <w:tcPr>
                  <w:tcW w:w="804" w:type="dxa"/>
                  <w:tcBorders>
                    <w:tl2br w:val="nil"/>
                    <w:tr2bl w:val="nil"/>
                  </w:tcBorders>
                  <w:shd w:val="clear" w:color="auto" w:fill="auto"/>
                  <w:noWrap/>
                  <w:vAlign w:val="center"/>
                </w:tcPr>
                <w:p w14:paraId="694A321C">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lang w:val="en-US"/>
                    </w:rPr>
                  </w:pPr>
                  <w:r>
                    <w:rPr>
                      <w:rFonts w:hint="eastAsia" w:cs="Times New Roman"/>
                      <w:i w:val="0"/>
                      <w:iCs w:val="0"/>
                      <w:color w:val="auto"/>
                      <w:kern w:val="0"/>
                      <w:sz w:val="18"/>
                      <w:szCs w:val="18"/>
                      <w:highlight w:val="none"/>
                      <w:u w:val="none"/>
                      <w:lang w:val="en-US" w:eastAsia="zh-CN" w:bidi="ar"/>
                    </w:rPr>
                    <w:t>0.004</w:t>
                  </w:r>
                </w:p>
              </w:tc>
              <w:tc>
                <w:tcPr>
                  <w:tcW w:w="806" w:type="dxa"/>
                  <w:tcBorders>
                    <w:tl2br w:val="nil"/>
                    <w:tr2bl w:val="nil"/>
                  </w:tcBorders>
                  <w:shd w:val="clear" w:color="auto" w:fill="auto"/>
                  <w:noWrap/>
                  <w:vAlign w:val="center"/>
                </w:tcPr>
                <w:p w14:paraId="5F72628F">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eastAsia" w:cs="Times New Roman"/>
                      <w:i w:val="0"/>
                      <w:iCs w:val="0"/>
                      <w:color w:val="auto"/>
                      <w:kern w:val="0"/>
                      <w:sz w:val="18"/>
                      <w:szCs w:val="18"/>
                      <w:highlight w:val="none"/>
                      <w:u w:val="none"/>
                      <w:lang w:val="en-US" w:eastAsia="zh-CN" w:bidi="ar"/>
                    </w:rPr>
                    <w:t>0</w:t>
                  </w:r>
                  <w:r>
                    <w:rPr>
                      <w:rFonts w:hint="default" w:ascii="Times New Roman" w:hAnsi="Times New Roman" w:eastAsia="宋体" w:cs="Times New Roman"/>
                      <w:i w:val="0"/>
                      <w:iCs w:val="0"/>
                      <w:color w:val="auto"/>
                      <w:kern w:val="0"/>
                      <w:sz w:val="18"/>
                      <w:szCs w:val="18"/>
                      <w:highlight w:val="none"/>
                      <w:u w:val="none"/>
                      <w:lang w:val="en-US" w:eastAsia="zh-CN" w:bidi="ar"/>
                    </w:rPr>
                    <w:t xml:space="preserve"> </w:t>
                  </w:r>
                </w:p>
              </w:tc>
            </w:tr>
            <w:tr w14:paraId="6A8B576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12" w:hRule="atLeast"/>
                <w:jc w:val="center"/>
              </w:trPr>
              <w:tc>
                <w:tcPr>
                  <w:tcW w:w="1468" w:type="dxa"/>
                  <w:tcBorders>
                    <w:tl2br w:val="nil"/>
                    <w:tr2bl w:val="nil"/>
                  </w:tcBorders>
                  <w:shd w:val="clear" w:color="auto" w:fill="auto"/>
                  <w:noWrap/>
                  <w:vAlign w:val="center"/>
                </w:tcPr>
                <w:p w14:paraId="35D2DDBB">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8</w:t>
                  </w:r>
                </w:p>
              </w:tc>
              <w:tc>
                <w:tcPr>
                  <w:tcW w:w="659" w:type="dxa"/>
                  <w:vMerge w:val="restart"/>
                  <w:tcBorders>
                    <w:tl2br w:val="nil"/>
                    <w:tr2bl w:val="nil"/>
                  </w:tcBorders>
                  <w:shd w:val="clear" w:color="auto" w:fill="auto"/>
                  <w:noWrap/>
                  <w:vAlign w:val="center"/>
                </w:tcPr>
                <w:p w14:paraId="7B5B8247">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固体废物</w:t>
                  </w:r>
                </w:p>
              </w:tc>
              <w:tc>
                <w:tcPr>
                  <w:tcW w:w="2241" w:type="dxa"/>
                  <w:tcBorders>
                    <w:tl2br w:val="nil"/>
                    <w:tr2bl w:val="nil"/>
                  </w:tcBorders>
                  <w:shd w:val="clear" w:color="auto" w:fill="auto"/>
                  <w:noWrap/>
                  <w:vAlign w:val="center"/>
                </w:tcPr>
                <w:p w14:paraId="4BB3905E">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废包装材料</w:t>
                  </w:r>
                </w:p>
              </w:tc>
              <w:tc>
                <w:tcPr>
                  <w:tcW w:w="1653" w:type="dxa"/>
                  <w:tcBorders>
                    <w:tl2br w:val="nil"/>
                    <w:tr2bl w:val="nil"/>
                  </w:tcBorders>
                  <w:shd w:val="clear" w:color="auto" w:fill="auto"/>
                  <w:noWrap/>
                  <w:vAlign w:val="center"/>
                </w:tcPr>
                <w:p w14:paraId="3D66140B">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lang w:val="en-US"/>
                    </w:rPr>
                  </w:pPr>
                  <w:r>
                    <w:rPr>
                      <w:rFonts w:hint="eastAsia" w:cs="Times New Roman"/>
                      <w:i w:val="0"/>
                      <w:iCs w:val="0"/>
                      <w:color w:val="auto"/>
                      <w:kern w:val="0"/>
                      <w:sz w:val="18"/>
                      <w:szCs w:val="18"/>
                      <w:highlight w:val="none"/>
                      <w:u w:val="none"/>
                      <w:lang w:val="en-US" w:eastAsia="zh-CN" w:bidi="ar"/>
                    </w:rPr>
                    <w:t>0.04</w:t>
                  </w:r>
                </w:p>
              </w:tc>
              <w:tc>
                <w:tcPr>
                  <w:tcW w:w="804" w:type="dxa"/>
                  <w:tcBorders>
                    <w:tl2br w:val="nil"/>
                    <w:tr2bl w:val="nil"/>
                  </w:tcBorders>
                  <w:shd w:val="clear" w:color="auto" w:fill="auto"/>
                  <w:noWrap/>
                  <w:vAlign w:val="center"/>
                </w:tcPr>
                <w:p w14:paraId="129E0953">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lang w:val="en-US"/>
                    </w:rPr>
                  </w:pPr>
                  <w:r>
                    <w:rPr>
                      <w:rFonts w:hint="eastAsia" w:cs="Times New Roman"/>
                      <w:i w:val="0"/>
                      <w:iCs w:val="0"/>
                      <w:color w:val="auto"/>
                      <w:kern w:val="0"/>
                      <w:sz w:val="18"/>
                      <w:szCs w:val="18"/>
                      <w:highlight w:val="none"/>
                      <w:u w:val="none"/>
                      <w:lang w:val="en-US" w:eastAsia="zh-CN" w:bidi="ar"/>
                    </w:rPr>
                    <w:t>0.04</w:t>
                  </w:r>
                </w:p>
              </w:tc>
              <w:tc>
                <w:tcPr>
                  <w:tcW w:w="806" w:type="dxa"/>
                  <w:tcBorders>
                    <w:tl2br w:val="nil"/>
                    <w:tr2bl w:val="nil"/>
                  </w:tcBorders>
                  <w:shd w:val="clear" w:color="auto" w:fill="auto"/>
                  <w:noWrap/>
                  <w:vAlign w:val="center"/>
                </w:tcPr>
                <w:p w14:paraId="122FEAD9">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0</w:t>
                  </w:r>
                </w:p>
              </w:tc>
            </w:tr>
            <w:tr w14:paraId="116B3F1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12" w:hRule="atLeast"/>
                <w:jc w:val="center"/>
              </w:trPr>
              <w:tc>
                <w:tcPr>
                  <w:tcW w:w="1468" w:type="dxa"/>
                  <w:tcBorders>
                    <w:tl2br w:val="nil"/>
                    <w:tr2bl w:val="nil"/>
                  </w:tcBorders>
                  <w:shd w:val="clear" w:color="auto" w:fill="auto"/>
                  <w:noWrap/>
                  <w:vAlign w:val="center"/>
                </w:tcPr>
                <w:p w14:paraId="1A3CE2B9">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9</w:t>
                  </w:r>
                </w:p>
              </w:tc>
              <w:tc>
                <w:tcPr>
                  <w:tcW w:w="659" w:type="dxa"/>
                  <w:vMerge w:val="continue"/>
                  <w:tcBorders>
                    <w:tl2br w:val="nil"/>
                    <w:tr2bl w:val="nil"/>
                  </w:tcBorders>
                  <w:shd w:val="clear" w:color="auto" w:fill="auto"/>
                  <w:noWrap/>
                  <w:vAlign w:val="center"/>
                </w:tcPr>
                <w:p w14:paraId="4DD29D0F">
                  <w:pPr>
                    <w:jc w:val="center"/>
                    <w:rPr>
                      <w:rFonts w:hint="default" w:ascii="Times New Roman" w:hAnsi="Times New Roman" w:eastAsia="宋体" w:cs="Times New Roman"/>
                      <w:i w:val="0"/>
                      <w:iCs w:val="0"/>
                      <w:color w:val="auto"/>
                      <w:sz w:val="18"/>
                      <w:szCs w:val="18"/>
                      <w:highlight w:val="none"/>
                      <w:u w:val="none"/>
                    </w:rPr>
                  </w:pPr>
                </w:p>
              </w:tc>
              <w:tc>
                <w:tcPr>
                  <w:tcW w:w="2241" w:type="dxa"/>
                  <w:tcBorders>
                    <w:tl2br w:val="nil"/>
                    <w:tr2bl w:val="nil"/>
                  </w:tcBorders>
                  <w:shd w:val="clear" w:color="auto" w:fill="auto"/>
                  <w:noWrap/>
                  <w:vAlign w:val="center"/>
                </w:tcPr>
                <w:p w14:paraId="4DB4440B">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废弃研磨介质</w:t>
                  </w:r>
                </w:p>
              </w:tc>
              <w:tc>
                <w:tcPr>
                  <w:tcW w:w="1653" w:type="dxa"/>
                  <w:tcBorders>
                    <w:tl2br w:val="nil"/>
                    <w:tr2bl w:val="nil"/>
                  </w:tcBorders>
                  <w:shd w:val="clear" w:color="auto" w:fill="auto"/>
                  <w:noWrap/>
                  <w:vAlign w:val="center"/>
                </w:tcPr>
                <w:p w14:paraId="0E78A46E">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lang w:val="en-US"/>
                    </w:rPr>
                  </w:pPr>
                  <w:r>
                    <w:rPr>
                      <w:rFonts w:hint="eastAsia" w:cs="Times New Roman"/>
                      <w:i w:val="0"/>
                      <w:iCs w:val="0"/>
                      <w:color w:val="auto"/>
                      <w:kern w:val="0"/>
                      <w:sz w:val="18"/>
                      <w:szCs w:val="18"/>
                      <w:highlight w:val="none"/>
                      <w:u w:val="none"/>
                      <w:lang w:val="en-US" w:eastAsia="zh-CN" w:bidi="ar"/>
                    </w:rPr>
                    <w:t>0.005</w:t>
                  </w:r>
                </w:p>
              </w:tc>
              <w:tc>
                <w:tcPr>
                  <w:tcW w:w="804" w:type="dxa"/>
                  <w:tcBorders>
                    <w:tl2br w:val="nil"/>
                    <w:tr2bl w:val="nil"/>
                  </w:tcBorders>
                  <w:shd w:val="clear" w:color="auto" w:fill="auto"/>
                  <w:noWrap/>
                  <w:vAlign w:val="center"/>
                </w:tcPr>
                <w:p w14:paraId="3CB98EE7">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lang w:val="en-US"/>
                    </w:rPr>
                  </w:pPr>
                  <w:r>
                    <w:rPr>
                      <w:rFonts w:hint="eastAsia" w:cs="Times New Roman"/>
                      <w:i w:val="0"/>
                      <w:iCs w:val="0"/>
                      <w:color w:val="auto"/>
                      <w:kern w:val="0"/>
                      <w:sz w:val="18"/>
                      <w:szCs w:val="18"/>
                      <w:highlight w:val="none"/>
                      <w:u w:val="none"/>
                      <w:lang w:val="en-US" w:eastAsia="zh-CN" w:bidi="ar"/>
                    </w:rPr>
                    <w:t>0.005</w:t>
                  </w:r>
                </w:p>
              </w:tc>
              <w:tc>
                <w:tcPr>
                  <w:tcW w:w="806" w:type="dxa"/>
                  <w:tcBorders>
                    <w:tl2br w:val="nil"/>
                    <w:tr2bl w:val="nil"/>
                  </w:tcBorders>
                  <w:shd w:val="clear" w:color="auto" w:fill="auto"/>
                  <w:noWrap/>
                  <w:vAlign w:val="center"/>
                </w:tcPr>
                <w:p w14:paraId="6C0AE8F4">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0</w:t>
                  </w:r>
                </w:p>
              </w:tc>
            </w:tr>
            <w:tr w14:paraId="71BB6CA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1468" w:type="dxa"/>
                  <w:tcBorders>
                    <w:tl2br w:val="nil"/>
                    <w:tr2bl w:val="nil"/>
                  </w:tcBorders>
                  <w:shd w:val="clear" w:color="auto" w:fill="auto"/>
                  <w:noWrap/>
                  <w:vAlign w:val="center"/>
                </w:tcPr>
                <w:p w14:paraId="6DF8E1FB">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10</w:t>
                  </w:r>
                </w:p>
              </w:tc>
              <w:tc>
                <w:tcPr>
                  <w:tcW w:w="659" w:type="dxa"/>
                  <w:vMerge w:val="continue"/>
                  <w:tcBorders>
                    <w:tl2br w:val="nil"/>
                    <w:tr2bl w:val="nil"/>
                  </w:tcBorders>
                  <w:shd w:val="clear" w:color="auto" w:fill="auto"/>
                  <w:noWrap/>
                  <w:vAlign w:val="center"/>
                </w:tcPr>
                <w:p w14:paraId="401FD4C4">
                  <w:pPr>
                    <w:jc w:val="center"/>
                    <w:rPr>
                      <w:rFonts w:hint="default" w:ascii="Times New Roman" w:hAnsi="Times New Roman" w:eastAsia="宋体" w:cs="Times New Roman"/>
                      <w:i w:val="0"/>
                      <w:iCs w:val="0"/>
                      <w:color w:val="auto"/>
                      <w:sz w:val="18"/>
                      <w:szCs w:val="18"/>
                      <w:highlight w:val="none"/>
                      <w:u w:val="none"/>
                    </w:rPr>
                  </w:pPr>
                </w:p>
              </w:tc>
              <w:tc>
                <w:tcPr>
                  <w:tcW w:w="2241" w:type="dxa"/>
                  <w:tcBorders>
                    <w:tl2br w:val="nil"/>
                    <w:tr2bl w:val="nil"/>
                  </w:tcBorders>
                  <w:shd w:val="clear" w:color="auto" w:fill="auto"/>
                  <w:noWrap/>
                  <w:vAlign w:val="center"/>
                </w:tcPr>
                <w:p w14:paraId="1058F7BE">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集尘</w:t>
                  </w:r>
                </w:p>
              </w:tc>
              <w:tc>
                <w:tcPr>
                  <w:tcW w:w="1653" w:type="dxa"/>
                  <w:tcBorders>
                    <w:tl2br w:val="nil"/>
                    <w:tr2bl w:val="nil"/>
                  </w:tcBorders>
                  <w:shd w:val="clear" w:color="auto" w:fill="auto"/>
                  <w:noWrap/>
                  <w:vAlign w:val="center"/>
                </w:tcPr>
                <w:p w14:paraId="0A8A26E5">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lang w:val="en-US"/>
                    </w:rPr>
                  </w:pPr>
                  <w:r>
                    <w:rPr>
                      <w:rFonts w:hint="eastAsia" w:cs="Times New Roman"/>
                      <w:i w:val="0"/>
                      <w:iCs w:val="0"/>
                      <w:color w:val="auto"/>
                      <w:kern w:val="0"/>
                      <w:sz w:val="18"/>
                      <w:szCs w:val="18"/>
                      <w:highlight w:val="none"/>
                      <w:u w:val="none"/>
                      <w:lang w:val="en-US" w:eastAsia="zh-CN" w:bidi="ar"/>
                    </w:rPr>
                    <w:t>0.013</w:t>
                  </w:r>
                </w:p>
              </w:tc>
              <w:tc>
                <w:tcPr>
                  <w:tcW w:w="804" w:type="dxa"/>
                  <w:tcBorders>
                    <w:tl2br w:val="nil"/>
                    <w:tr2bl w:val="nil"/>
                  </w:tcBorders>
                  <w:shd w:val="clear" w:color="auto" w:fill="auto"/>
                  <w:noWrap/>
                  <w:vAlign w:val="center"/>
                </w:tcPr>
                <w:p w14:paraId="3BC926B4">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lang w:val="en-US"/>
                    </w:rPr>
                  </w:pPr>
                  <w:r>
                    <w:rPr>
                      <w:rFonts w:hint="eastAsia" w:cs="Times New Roman"/>
                      <w:i w:val="0"/>
                      <w:iCs w:val="0"/>
                      <w:color w:val="auto"/>
                      <w:kern w:val="0"/>
                      <w:sz w:val="18"/>
                      <w:szCs w:val="18"/>
                      <w:highlight w:val="none"/>
                      <w:u w:val="none"/>
                      <w:lang w:val="en-US" w:eastAsia="zh-CN" w:bidi="ar"/>
                    </w:rPr>
                    <w:t>0.013</w:t>
                  </w:r>
                </w:p>
              </w:tc>
              <w:tc>
                <w:tcPr>
                  <w:tcW w:w="806" w:type="dxa"/>
                  <w:tcBorders>
                    <w:tl2br w:val="nil"/>
                    <w:tr2bl w:val="nil"/>
                  </w:tcBorders>
                  <w:shd w:val="clear" w:color="auto" w:fill="auto"/>
                  <w:noWrap/>
                  <w:vAlign w:val="center"/>
                </w:tcPr>
                <w:p w14:paraId="4A4518B6">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0</w:t>
                  </w:r>
                </w:p>
              </w:tc>
            </w:tr>
            <w:tr w14:paraId="0A74397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1468" w:type="dxa"/>
                  <w:tcBorders>
                    <w:tl2br w:val="nil"/>
                    <w:tr2bl w:val="nil"/>
                  </w:tcBorders>
                  <w:shd w:val="clear" w:color="auto" w:fill="auto"/>
                  <w:noWrap/>
                  <w:vAlign w:val="center"/>
                </w:tcPr>
                <w:p w14:paraId="4416BAA2">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11</w:t>
                  </w:r>
                </w:p>
              </w:tc>
              <w:tc>
                <w:tcPr>
                  <w:tcW w:w="659" w:type="dxa"/>
                  <w:vMerge w:val="continue"/>
                  <w:tcBorders>
                    <w:tl2br w:val="nil"/>
                    <w:tr2bl w:val="nil"/>
                  </w:tcBorders>
                  <w:shd w:val="clear" w:color="auto" w:fill="auto"/>
                  <w:noWrap/>
                  <w:vAlign w:val="center"/>
                </w:tcPr>
                <w:p w14:paraId="2C0BA99C">
                  <w:pPr>
                    <w:jc w:val="center"/>
                    <w:rPr>
                      <w:rFonts w:hint="default" w:ascii="Times New Roman" w:hAnsi="Times New Roman" w:eastAsia="宋体" w:cs="Times New Roman"/>
                      <w:i w:val="0"/>
                      <w:iCs w:val="0"/>
                      <w:color w:val="auto"/>
                      <w:sz w:val="18"/>
                      <w:szCs w:val="18"/>
                      <w:highlight w:val="none"/>
                      <w:u w:val="none"/>
                    </w:rPr>
                  </w:pPr>
                </w:p>
              </w:tc>
              <w:tc>
                <w:tcPr>
                  <w:tcW w:w="2241" w:type="dxa"/>
                  <w:tcBorders>
                    <w:tl2br w:val="nil"/>
                    <w:tr2bl w:val="nil"/>
                  </w:tcBorders>
                  <w:shd w:val="clear" w:color="auto" w:fill="auto"/>
                  <w:noWrap/>
                  <w:vAlign w:val="center"/>
                </w:tcPr>
                <w:p w14:paraId="258433EC">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不合格粉体</w:t>
                  </w:r>
                </w:p>
              </w:tc>
              <w:tc>
                <w:tcPr>
                  <w:tcW w:w="1653" w:type="dxa"/>
                  <w:tcBorders>
                    <w:tl2br w:val="nil"/>
                    <w:tr2bl w:val="nil"/>
                  </w:tcBorders>
                  <w:shd w:val="clear" w:color="auto" w:fill="auto"/>
                  <w:noWrap/>
                  <w:vAlign w:val="center"/>
                </w:tcPr>
                <w:p w14:paraId="13015DB2">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lang w:val="en-US"/>
                    </w:rPr>
                  </w:pPr>
                  <w:r>
                    <w:rPr>
                      <w:rFonts w:hint="eastAsia" w:cs="Times New Roman"/>
                      <w:i w:val="0"/>
                      <w:iCs w:val="0"/>
                      <w:color w:val="auto"/>
                      <w:kern w:val="0"/>
                      <w:sz w:val="18"/>
                      <w:szCs w:val="18"/>
                      <w:highlight w:val="none"/>
                      <w:u w:val="none"/>
                      <w:lang w:val="en-US" w:eastAsia="zh-CN" w:bidi="ar"/>
                    </w:rPr>
                    <w:t>0.218</w:t>
                  </w:r>
                </w:p>
              </w:tc>
              <w:tc>
                <w:tcPr>
                  <w:tcW w:w="804" w:type="dxa"/>
                  <w:tcBorders>
                    <w:tl2br w:val="nil"/>
                    <w:tr2bl w:val="nil"/>
                  </w:tcBorders>
                  <w:shd w:val="clear" w:color="auto" w:fill="auto"/>
                  <w:noWrap/>
                  <w:vAlign w:val="center"/>
                </w:tcPr>
                <w:p w14:paraId="1FAD1A03">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lang w:val="en-US"/>
                    </w:rPr>
                  </w:pPr>
                  <w:r>
                    <w:rPr>
                      <w:rFonts w:hint="eastAsia" w:cs="Times New Roman"/>
                      <w:i w:val="0"/>
                      <w:iCs w:val="0"/>
                      <w:color w:val="auto"/>
                      <w:kern w:val="0"/>
                      <w:sz w:val="18"/>
                      <w:szCs w:val="18"/>
                      <w:highlight w:val="none"/>
                      <w:u w:val="none"/>
                      <w:lang w:val="en-US" w:eastAsia="zh-CN" w:bidi="ar"/>
                    </w:rPr>
                    <w:t>0.218</w:t>
                  </w:r>
                </w:p>
              </w:tc>
              <w:tc>
                <w:tcPr>
                  <w:tcW w:w="806" w:type="dxa"/>
                  <w:tcBorders>
                    <w:tl2br w:val="nil"/>
                    <w:tr2bl w:val="nil"/>
                  </w:tcBorders>
                  <w:shd w:val="clear" w:color="auto" w:fill="auto"/>
                  <w:noWrap/>
                  <w:vAlign w:val="center"/>
                </w:tcPr>
                <w:p w14:paraId="5E3D1A93">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0</w:t>
                  </w:r>
                </w:p>
              </w:tc>
            </w:tr>
            <w:tr w14:paraId="15D8136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1468" w:type="dxa"/>
                  <w:tcBorders>
                    <w:tl2br w:val="nil"/>
                    <w:tr2bl w:val="nil"/>
                  </w:tcBorders>
                  <w:shd w:val="clear" w:color="auto" w:fill="auto"/>
                  <w:noWrap/>
                  <w:vAlign w:val="center"/>
                </w:tcPr>
                <w:p w14:paraId="08523DD7">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14</w:t>
                  </w:r>
                </w:p>
              </w:tc>
              <w:tc>
                <w:tcPr>
                  <w:tcW w:w="659" w:type="dxa"/>
                  <w:vMerge w:val="continue"/>
                  <w:tcBorders>
                    <w:tl2br w:val="nil"/>
                    <w:tr2bl w:val="nil"/>
                  </w:tcBorders>
                  <w:shd w:val="clear" w:color="auto" w:fill="auto"/>
                  <w:noWrap/>
                  <w:vAlign w:val="center"/>
                </w:tcPr>
                <w:p w14:paraId="7F3F74AD">
                  <w:pPr>
                    <w:jc w:val="center"/>
                    <w:rPr>
                      <w:rFonts w:hint="default" w:ascii="Times New Roman" w:hAnsi="Times New Roman" w:eastAsia="宋体" w:cs="Times New Roman"/>
                      <w:i w:val="0"/>
                      <w:iCs w:val="0"/>
                      <w:color w:val="auto"/>
                      <w:sz w:val="18"/>
                      <w:szCs w:val="18"/>
                      <w:highlight w:val="none"/>
                      <w:u w:val="none"/>
                    </w:rPr>
                  </w:pPr>
                </w:p>
              </w:tc>
              <w:tc>
                <w:tcPr>
                  <w:tcW w:w="2241" w:type="dxa"/>
                  <w:tcBorders>
                    <w:tl2br w:val="nil"/>
                    <w:tr2bl w:val="nil"/>
                  </w:tcBorders>
                  <w:shd w:val="clear" w:color="auto" w:fill="auto"/>
                  <w:noWrap/>
                  <w:vAlign w:val="center"/>
                </w:tcPr>
                <w:p w14:paraId="6BCF8134">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测试废料</w:t>
                  </w:r>
                </w:p>
              </w:tc>
              <w:tc>
                <w:tcPr>
                  <w:tcW w:w="1653" w:type="dxa"/>
                  <w:tcBorders>
                    <w:tl2br w:val="nil"/>
                    <w:tr2bl w:val="nil"/>
                  </w:tcBorders>
                  <w:shd w:val="clear" w:color="auto" w:fill="auto"/>
                  <w:noWrap/>
                  <w:vAlign w:val="center"/>
                </w:tcPr>
                <w:p w14:paraId="4FA317BD">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eastAsia" w:cs="Times New Roman"/>
                      <w:i w:val="0"/>
                      <w:iCs w:val="0"/>
                      <w:color w:val="auto"/>
                      <w:kern w:val="0"/>
                      <w:sz w:val="18"/>
                      <w:szCs w:val="18"/>
                      <w:highlight w:val="none"/>
                      <w:u w:val="none"/>
                      <w:lang w:val="en-US" w:eastAsia="zh-CN" w:bidi="ar"/>
                    </w:rPr>
                    <w:t>1</w:t>
                  </w:r>
                </w:p>
              </w:tc>
              <w:tc>
                <w:tcPr>
                  <w:tcW w:w="804" w:type="dxa"/>
                  <w:tcBorders>
                    <w:tl2br w:val="nil"/>
                    <w:tr2bl w:val="nil"/>
                  </w:tcBorders>
                  <w:shd w:val="clear" w:color="auto" w:fill="auto"/>
                  <w:noWrap/>
                  <w:vAlign w:val="center"/>
                </w:tcPr>
                <w:p w14:paraId="533A9468">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eastAsia" w:cs="Times New Roman"/>
                      <w:i w:val="0"/>
                      <w:iCs w:val="0"/>
                      <w:color w:val="auto"/>
                      <w:kern w:val="0"/>
                      <w:sz w:val="18"/>
                      <w:szCs w:val="18"/>
                      <w:highlight w:val="none"/>
                      <w:u w:val="none"/>
                      <w:lang w:val="en-US" w:eastAsia="zh-CN" w:bidi="ar"/>
                    </w:rPr>
                    <w:t>1</w:t>
                  </w:r>
                </w:p>
              </w:tc>
              <w:tc>
                <w:tcPr>
                  <w:tcW w:w="806" w:type="dxa"/>
                  <w:tcBorders>
                    <w:tl2br w:val="nil"/>
                    <w:tr2bl w:val="nil"/>
                  </w:tcBorders>
                  <w:shd w:val="clear" w:color="auto" w:fill="auto"/>
                  <w:noWrap/>
                  <w:vAlign w:val="center"/>
                </w:tcPr>
                <w:p w14:paraId="1F1AB46A">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0</w:t>
                  </w:r>
                </w:p>
              </w:tc>
            </w:tr>
            <w:tr w14:paraId="798C96D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12" w:hRule="atLeast"/>
                <w:jc w:val="center"/>
              </w:trPr>
              <w:tc>
                <w:tcPr>
                  <w:tcW w:w="1468" w:type="dxa"/>
                  <w:tcBorders>
                    <w:tl2br w:val="nil"/>
                    <w:tr2bl w:val="nil"/>
                  </w:tcBorders>
                  <w:shd w:val="clear" w:color="auto" w:fill="auto"/>
                  <w:noWrap/>
                  <w:vAlign w:val="center"/>
                </w:tcPr>
                <w:p w14:paraId="53C0EE74">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15</w:t>
                  </w:r>
                </w:p>
              </w:tc>
              <w:tc>
                <w:tcPr>
                  <w:tcW w:w="659" w:type="dxa"/>
                  <w:vMerge w:val="continue"/>
                  <w:tcBorders>
                    <w:tl2br w:val="nil"/>
                    <w:tr2bl w:val="nil"/>
                  </w:tcBorders>
                  <w:shd w:val="clear" w:color="auto" w:fill="auto"/>
                  <w:noWrap/>
                  <w:vAlign w:val="center"/>
                </w:tcPr>
                <w:p w14:paraId="428F975C">
                  <w:pPr>
                    <w:jc w:val="center"/>
                    <w:rPr>
                      <w:rFonts w:hint="default" w:ascii="Times New Roman" w:hAnsi="Times New Roman" w:eastAsia="宋体" w:cs="Times New Roman"/>
                      <w:i w:val="0"/>
                      <w:iCs w:val="0"/>
                      <w:color w:val="auto"/>
                      <w:sz w:val="18"/>
                      <w:szCs w:val="18"/>
                      <w:highlight w:val="none"/>
                      <w:u w:val="none"/>
                    </w:rPr>
                  </w:pPr>
                </w:p>
              </w:tc>
              <w:tc>
                <w:tcPr>
                  <w:tcW w:w="2241" w:type="dxa"/>
                  <w:tcBorders>
                    <w:tl2br w:val="nil"/>
                    <w:tr2bl w:val="nil"/>
                  </w:tcBorders>
                  <w:shd w:val="clear" w:color="auto" w:fill="auto"/>
                  <w:noWrap/>
                  <w:vAlign w:val="center"/>
                </w:tcPr>
                <w:p w14:paraId="14C98C42">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沾染化学品的废包装材料</w:t>
                  </w:r>
                </w:p>
              </w:tc>
              <w:tc>
                <w:tcPr>
                  <w:tcW w:w="1653" w:type="dxa"/>
                  <w:tcBorders>
                    <w:tl2br w:val="nil"/>
                    <w:tr2bl w:val="nil"/>
                  </w:tcBorders>
                  <w:shd w:val="clear" w:color="auto" w:fill="auto"/>
                  <w:noWrap/>
                  <w:vAlign w:val="center"/>
                </w:tcPr>
                <w:p w14:paraId="75BE6978">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lang w:val="en-US"/>
                    </w:rPr>
                  </w:pPr>
                  <w:r>
                    <w:rPr>
                      <w:rFonts w:hint="eastAsia" w:cs="Times New Roman"/>
                      <w:i w:val="0"/>
                      <w:iCs w:val="0"/>
                      <w:color w:val="auto"/>
                      <w:kern w:val="0"/>
                      <w:sz w:val="18"/>
                      <w:szCs w:val="18"/>
                      <w:highlight w:val="none"/>
                      <w:u w:val="none"/>
                      <w:lang w:val="en-US" w:eastAsia="zh-CN" w:bidi="ar"/>
                    </w:rPr>
                    <w:t>0.01</w:t>
                  </w:r>
                </w:p>
              </w:tc>
              <w:tc>
                <w:tcPr>
                  <w:tcW w:w="804" w:type="dxa"/>
                  <w:tcBorders>
                    <w:tl2br w:val="nil"/>
                    <w:tr2bl w:val="nil"/>
                  </w:tcBorders>
                  <w:shd w:val="clear" w:color="auto" w:fill="auto"/>
                  <w:noWrap/>
                  <w:vAlign w:val="center"/>
                </w:tcPr>
                <w:p w14:paraId="416F2158">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lang w:val="en-US"/>
                    </w:rPr>
                  </w:pPr>
                  <w:r>
                    <w:rPr>
                      <w:rFonts w:hint="eastAsia" w:cs="Times New Roman"/>
                      <w:i w:val="0"/>
                      <w:iCs w:val="0"/>
                      <w:color w:val="auto"/>
                      <w:kern w:val="0"/>
                      <w:sz w:val="18"/>
                      <w:szCs w:val="18"/>
                      <w:highlight w:val="none"/>
                      <w:u w:val="none"/>
                      <w:lang w:val="en-US" w:eastAsia="zh-CN" w:bidi="ar"/>
                    </w:rPr>
                    <w:t>0.01</w:t>
                  </w:r>
                </w:p>
              </w:tc>
              <w:tc>
                <w:tcPr>
                  <w:tcW w:w="806" w:type="dxa"/>
                  <w:tcBorders>
                    <w:tl2br w:val="nil"/>
                    <w:tr2bl w:val="nil"/>
                  </w:tcBorders>
                  <w:shd w:val="clear" w:color="auto" w:fill="auto"/>
                  <w:noWrap/>
                  <w:vAlign w:val="center"/>
                </w:tcPr>
                <w:p w14:paraId="5F07017F">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0</w:t>
                  </w:r>
                </w:p>
              </w:tc>
            </w:tr>
            <w:tr w14:paraId="3280076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1468" w:type="dxa"/>
                  <w:tcBorders>
                    <w:tl2br w:val="nil"/>
                    <w:tr2bl w:val="nil"/>
                  </w:tcBorders>
                  <w:shd w:val="clear" w:color="auto" w:fill="auto"/>
                  <w:noWrap/>
                  <w:vAlign w:val="center"/>
                </w:tcPr>
                <w:p w14:paraId="0071A68D">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16</w:t>
                  </w:r>
                </w:p>
              </w:tc>
              <w:tc>
                <w:tcPr>
                  <w:tcW w:w="659" w:type="dxa"/>
                  <w:vMerge w:val="continue"/>
                  <w:tcBorders>
                    <w:tl2br w:val="nil"/>
                    <w:tr2bl w:val="nil"/>
                  </w:tcBorders>
                  <w:shd w:val="clear" w:color="auto" w:fill="auto"/>
                  <w:noWrap/>
                  <w:vAlign w:val="center"/>
                </w:tcPr>
                <w:p w14:paraId="4E729D75">
                  <w:pPr>
                    <w:jc w:val="center"/>
                    <w:rPr>
                      <w:rFonts w:hint="default" w:ascii="Times New Roman" w:hAnsi="Times New Roman" w:eastAsia="宋体" w:cs="Times New Roman"/>
                      <w:i w:val="0"/>
                      <w:iCs w:val="0"/>
                      <w:color w:val="auto"/>
                      <w:sz w:val="18"/>
                      <w:szCs w:val="18"/>
                      <w:highlight w:val="none"/>
                      <w:u w:val="none"/>
                    </w:rPr>
                  </w:pPr>
                </w:p>
              </w:tc>
              <w:tc>
                <w:tcPr>
                  <w:tcW w:w="2241" w:type="dxa"/>
                  <w:tcBorders>
                    <w:tl2br w:val="nil"/>
                    <w:tr2bl w:val="nil"/>
                  </w:tcBorders>
                  <w:shd w:val="clear" w:color="auto" w:fill="auto"/>
                  <w:noWrap/>
                  <w:vAlign w:val="center"/>
                </w:tcPr>
                <w:p w14:paraId="3FE564FA">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测试废电池（个/年）</w:t>
                  </w:r>
                </w:p>
              </w:tc>
              <w:tc>
                <w:tcPr>
                  <w:tcW w:w="1653" w:type="dxa"/>
                  <w:tcBorders>
                    <w:tl2br w:val="nil"/>
                    <w:tr2bl w:val="nil"/>
                  </w:tcBorders>
                  <w:shd w:val="clear" w:color="auto" w:fill="auto"/>
                  <w:noWrap/>
                  <w:vAlign w:val="center"/>
                </w:tcPr>
                <w:p w14:paraId="089152E6">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2000</w:t>
                  </w:r>
                </w:p>
              </w:tc>
              <w:tc>
                <w:tcPr>
                  <w:tcW w:w="804" w:type="dxa"/>
                  <w:tcBorders>
                    <w:tl2br w:val="nil"/>
                    <w:tr2bl w:val="nil"/>
                  </w:tcBorders>
                  <w:shd w:val="clear" w:color="auto" w:fill="auto"/>
                  <w:noWrap/>
                  <w:vAlign w:val="center"/>
                </w:tcPr>
                <w:p w14:paraId="545B821C">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2000</w:t>
                  </w:r>
                </w:p>
              </w:tc>
              <w:tc>
                <w:tcPr>
                  <w:tcW w:w="806" w:type="dxa"/>
                  <w:tcBorders>
                    <w:tl2br w:val="nil"/>
                    <w:tr2bl w:val="nil"/>
                  </w:tcBorders>
                  <w:shd w:val="clear" w:color="auto" w:fill="auto"/>
                  <w:noWrap/>
                  <w:vAlign w:val="center"/>
                </w:tcPr>
                <w:p w14:paraId="0873866E">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0</w:t>
                  </w:r>
                </w:p>
              </w:tc>
            </w:tr>
            <w:tr w14:paraId="5935854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1468" w:type="dxa"/>
                  <w:tcBorders>
                    <w:tl2br w:val="nil"/>
                    <w:tr2bl w:val="nil"/>
                  </w:tcBorders>
                  <w:shd w:val="clear" w:color="auto" w:fill="auto"/>
                  <w:noWrap/>
                  <w:vAlign w:val="center"/>
                </w:tcPr>
                <w:p w14:paraId="01904FDA">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17</w:t>
                  </w:r>
                </w:p>
              </w:tc>
              <w:tc>
                <w:tcPr>
                  <w:tcW w:w="659" w:type="dxa"/>
                  <w:vMerge w:val="continue"/>
                  <w:tcBorders>
                    <w:tl2br w:val="nil"/>
                    <w:tr2bl w:val="nil"/>
                  </w:tcBorders>
                  <w:shd w:val="clear" w:color="auto" w:fill="auto"/>
                  <w:noWrap/>
                  <w:vAlign w:val="center"/>
                </w:tcPr>
                <w:p w14:paraId="30BFCEA0">
                  <w:pPr>
                    <w:jc w:val="center"/>
                    <w:rPr>
                      <w:rFonts w:hint="default" w:ascii="Times New Roman" w:hAnsi="Times New Roman" w:eastAsia="宋体" w:cs="Times New Roman"/>
                      <w:i w:val="0"/>
                      <w:iCs w:val="0"/>
                      <w:color w:val="auto"/>
                      <w:sz w:val="18"/>
                      <w:szCs w:val="18"/>
                      <w:highlight w:val="none"/>
                      <w:u w:val="none"/>
                    </w:rPr>
                  </w:pPr>
                </w:p>
              </w:tc>
              <w:tc>
                <w:tcPr>
                  <w:tcW w:w="2241" w:type="dxa"/>
                  <w:tcBorders>
                    <w:tl2br w:val="nil"/>
                    <w:tr2bl w:val="nil"/>
                  </w:tcBorders>
                  <w:shd w:val="clear" w:color="auto" w:fill="auto"/>
                  <w:noWrap/>
                  <w:vAlign w:val="center"/>
                </w:tcPr>
                <w:p w14:paraId="1D267233">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废活性炭</w:t>
                  </w:r>
                </w:p>
              </w:tc>
              <w:tc>
                <w:tcPr>
                  <w:tcW w:w="1653" w:type="dxa"/>
                  <w:tcBorders>
                    <w:tl2br w:val="nil"/>
                    <w:tr2bl w:val="nil"/>
                  </w:tcBorders>
                  <w:shd w:val="clear" w:color="auto" w:fill="auto"/>
                  <w:noWrap/>
                  <w:vAlign w:val="center"/>
                </w:tcPr>
                <w:p w14:paraId="5E40B2D7">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eastAsia" w:cs="Times New Roman"/>
                      <w:i w:val="0"/>
                      <w:iCs w:val="0"/>
                      <w:color w:val="auto"/>
                      <w:kern w:val="0"/>
                      <w:sz w:val="18"/>
                      <w:szCs w:val="18"/>
                      <w:highlight w:val="none"/>
                      <w:u w:val="none"/>
                      <w:lang w:val="en-US" w:eastAsia="zh-CN" w:bidi="ar"/>
                    </w:rPr>
                    <w:t>1</w:t>
                  </w:r>
                </w:p>
              </w:tc>
              <w:tc>
                <w:tcPr>
                  <w:tcW w:w="804" w:type="dxa"/>
                  <w:tcBorders>
                    <w:tl2br w:val="nil"/>
                    <w:tr2bl w:val="nil"/>
                  </w:tcBorders>
                  <w:shd w:val="clear" w:color="auto" w:fill="auto"/>
                  <w:noWrap/>
                  <w:vAlign w:val="center"/>
                </w:tcPr>
                <w:p w14:paraId="710AA177">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eastAsia" w:cs="Times New Roman"/>
                      <w:i w:val="0"/>
                      <w:iCs w:val="0"/>
                      <w:color w:val="auto"/>
                      <w:kern w:val="0"/>
                      <w:sz w:val="18"/>
                      <w:szCs w:val="18"/>
                      <w:highlight w:val="none"/>
                      <w:u w:val="none"/>
                      <w:lang w:val="en-US" w:eastAsia="zh-CN" w:bidi="ar"/>
                    </w:rPr>
                    <w:t>1</w:t>
                  </w:r>
                </w:p>
              </w:tc>
              <w:tc>
                <w:tcPr>
                  <w:tcW w:w="806" w:type="dxa"/>
                  <w:tcBorders>
                    <w:tl2br w:val="nil"/>
                    <w:tr2bl w:val="nil"/>
                  </w:tcBorders>
                  <w:shd w:val="clear" w:color="auto" w:fill="auto"/>
                  <w:noWrap/>
                  <w:vAlign w:val="center"/>
                </w:tcPr>
                <w:p w14:paraId="5299313B">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0</w:t>
                  </w:r>
                </w:p>
              </w:tc>
            </w:tr>
            <w:tr w14:paraId="0886686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1468" w:type="dxa"/>
                  <w:tcBorders>
                    <w:tl2br w:val="nil"/>
                    <w:tr2bl w:val="nil"/>
                  </w:tcBorders>
                  <w:shd w:val="clear" w:color="auto" w:fill="auto"/>
                  <w:noWrap/>
                  <w:vAlign w:val="center"/>
                </w:tcPr>
                <w:p w14:paraId="40F3713F">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18</w:t>
                  </w:r>
                </w:p>
              </w:tc>
              <w:tc>
                <w:tcPr>
                  <w:tcW w:w="659" w:type="dxa"/>
                  <w:vMerge w:val="continue"/>
                  <w:tcBorders>
                    <w:tl2br w:val="nil"/>
                    <w:tr2bl w:val="nil"/>
                  </w:tcBorders>
                  <w:shd w:val="clear" w:color="auto" w:fill="auto"/>
                  <w:noWrap/>
                  <w:vAlign w:val="center"/>
                </w:tcPr>
                <w:p w14:paraId="5820FD45">
                  <w:pPr>
                    <w:jc w:val="center"/>
                    <w:rPr>
                      <w:rFonts w:hint="default" w:ascii="Times New Roman" w:hAnsi="Times New Roman" w:eastAsia="宋体" w:cs="Times New Roman"/>
                      <w:i w:val="0"/>
                      <w:iCs w:val="0"/>
                      <w:color w:val="auto"/>
                      <w:sz w:val="18"/>
                      <w:szCs w:val="18"/>
                      <w:highlight w:val="none"/>
                      <w:u w:val="none"/>
                    </w:rPr>
                  </w:pPr>
                </w:p>
              </w:tc>
              <w:tc>
                <w:tcPr>
                  <w:tcW w:w="2241" w:type="dxa"/>
                  <w:tcBorders>
                    <w:tl2br w:val="nil"/>
                    <w:tr2bl w:val="nil"/>
                  </w:tcBorders>
                  <w:shd w:val="clear" w:color="auto" w:fill="auto"/>
                  <w:noWrap/>
                  <w:vAlign w:val="center"/>
                </w:tcPr>
                <w:p w14:paraId="7061F8DE">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沉淀污泥</w:t>
                  </w:r>
                </w:p>
              </w:tc>
              <w:tc>
                <w:tcPr>
                  <w:tcW w:w="1653" w:type="dxa"/>
                  <w:tcBorders>
                    <w:tl2br w:val="nil"/>
                    <w:tr2bl w:val="nil"/>
                  </w:tcBorders>
                  <w:shd w:val="clear" w:color="auto" w:fill="auto"/>
                  <w:noWrap/>
                  <w:vAlign w:val="center"/>
                </w:tcPr>
                <w:p w14:paraId="6ED61A4E">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lang w:val="en-US"/>
                    </w:rPr>
                  </w:pPr>
                  <w:r>
                    <w:rPr>
                      <w:rFonts w:hint="eastAsia" w:cs="Times New Roman"/>
                      <w:i w:val="0"/>
                      <w:iCs w:val="0"/>
                      <w:color w:val="auto"/>
                      <w:kern w:val="0"/>
                      <w:sz w:val="18"/>
                      <w:szCs w:val="18"/>
                      <w:highlight w:val="none"/>
                      <w:u w:val="none"/>
                      <w:lang w:val="en-US" w:eastAsia="zh-CN" w:bidi="ar"/>
                    </w:rPr>
                    <w:t>0.1</w:t>
                  </w:r>
                </w:p>
              </w:tc>
              <w:tc>
                <w:tcPr>
                  <w:tcW w:w="804" w:type="dxa"/>
                  <w:tcBorders>
                    <w:tl2br w:val="nil"/>
                    <w:tr2bl w:val="nil"/>
                  </w:tcBorders>
                  <w:shd w:val="clear" w:color="auto" w:fill="auto"/>
                  <w:noWrap/>
                  <w:vAlign w:val="center"/>
                </w:tcPr>
                <w:p w14:paraId="105AE14D">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lang w:val="en-US"/>
                    </w:rPr>
                  </w:pPr>
                  <w:r>
                    <w:rPr>
                      <w:rFonts w:hint="eastAsia" w:cs="Times New Roman"/>
                      <w:i w:val="0"/>
                      <w:iCs w:val="0"/>
                      <w:color w:val="auto"/>
                      <w:kern w:val="0"/>
                      <w:sz w:val="18"/>
                      <w:szCs w:val="18"/>
                      <w:highlight w:val="none"/>
                      <w:u w:val="none"/>
                      <w:lang w:val="en-US" w:eastAsia="zh-CN" w:bidi="ar"/>
                    </w:rPr>
                    <w:t>0.1</w:t>
                  </w:r>
                </w:p>
              </w:tc>
              <w:tc>
                <w:tcPr>
                  <w:tcW w:w="806" w:type="dxa"/>
                  <w:tcBorders>
                    <w:tl2br w:val="nil"/>
                    <w:tr2bl w:val="nil"/>
                  </w:tcBorders>
                  <w:shd w:val="clear" w:color="auto" w:fill="auto"/>
                  <w:noWrap/>
                  <w:vAlign w:val="center"/>
                </w:tcPr>
                <w:p w14:paraId="43DCB89E">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0</w:t>
                  </w:r>
                </w:p>
              </w:tc>
            </w:tr>
            <w:tr w14:paraId="5F990EF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1468" w:type="dxa"/>
                  <w:tcBorders>
                    <w:tl2br w:val="nil"/>
                    <w:tr2bl w:val="nil"/>
                  </w:tcBorders>
                  <w:shd w:val="clear" w:color="auto" w:fill="auto"/>
                  <w:noWrap/>
                  <w:vAlign w:val="center"/>
                </w:tcPr>
                <w:p w14:paraId="4CCFED9A">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19</w:t>
                  </w:r>
                </w:p>
              </w:tc>
              <w:tc>
                <w:tcPr>
                  <w:tcW w:w="659" w:type="dxa"/>
                  <w:vMerge w:val="continue"/>
                  <w:tcBorders>
                    <w:tl2br w:val="nil"/>
                    <w:tr2bl w:val="nil"/>
                  </w:tcBorders>
                  <w:shd w:val="clear" w:color="auto" w:fill="auto"/>
                  <w:noWrap/>
                  <w:vAlign w:val="center"/>
                </w:tcPr>
                <w:p w14:paraId="3C25E386">
                  <w:pPr>
                    <w:jc w:val="center"/>
                    <w:rPr>
                      <w:rFonts w:hint="default" w:ascii="Times New Roman" w:hAnsi="Times New Roman" w:eastAsia="宋体" w:cs="Times New Roman"/>
                      <w:i w:val="0"/>
                      <w:iCs w:val="0"/>
                      <w:color w:val="auto"/>
                      <w:sz w:val="18"/>
                      <w:szCs w:val="18"/>
                      <w:highlight w:val="none"/>
                      <w:u w:val="none"/>
                    </w:rPr>
                  </w:pPr>
                </w:p>
              </w:tc>
              <w:tc>
                <w:tcPr>
                  <w:tcW w:w="2241" w:type="dxa"/>
                  <w:tcBorders>
                    <w:tl2br w:val="nil"/>
                    <w:tr2bl w:val="nil"/>
                  </w:tcBorders>
                  <w:shd w:val="clear" w:color="auto" w:fill="auto"/>
                  <w:noWrap/>
                  <w:vAlign w:val="center"/>
                </w:tcPr>
                <w:p w14:paraId="6DDE6CD6">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纯水制备过滤介质</w:t>
                  </w:r>
                </w:p>
              </w:tc>
              <w:tc>
                <w:tcPr>
                  <w:tcW w:w="1653" w:type="dxa"/>
                  <w:tcBorders>
                    <w:tl2br w:val="nil"/>
                    <w:tr2bl w:val="nil"/>
                  </w:tcBorders>
                  <w:shd w:val="clear" w:color="auto" w:fill="auto"/>
                  <w:noWrap/>
                  <w:vAlign w:val="center"/>
                </w:tcPr>
                <w:p w14:paraId="05C1F23E">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lang w:val="en-US"/>
                    </w:rPr>
                  </w:pPr>
                  <w:r>
                    <w:rPr>
                      <w:rFonts w:hint="eastAsia" w:cs="Times New Roman"/>
                      <w:i w:val="0"/>
                      <w:iCs w:val="0"/>
                      <w:color w:val="auto"/>
                      <w:kern w:val="0"/>
                      <w:sz w:val="18"/>
                      <w:szCs w:val="18"/>
                      <w:highlight w:val="none"/>
                      <w:u w:val="none"/>
                      <w:lang w:val="en-US" w:eastAsia="zh-CN" w:bidi="ar"/>
                    </w:rPr>
                    <w:t>0.001</w:t>
                  </w:r>
                </w:p>
              </w:tc>
              <w:tc>
                <w:tcPr>
                  <w:tcW w:w="804" w:type="dxa"/>
                  <w:tcBorders>
                    <w:tl2br w:val="nil"/>
                    <w:tr2bl w:val="nil"/>
                  </w:tcBorders>
                  <w:shd w:val="clear" w:color="auto" w:fill="auto"/>
                  <w:noWrap/>
                  <w:vAlign w:val="center"/>
                </w:tcPr>
                <w:p w14:paraId="19221B7A">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lang w:val="en-US"/>
                    </w:rPr>
                  </w:pPr>
                  <w:r>
                    <w:rPr>
                      <w:rFonts w:hint="eastAsia" w:cs="Times New Roman"/>
                      <w:i w:val="0"/>
                      <w:iCs w:val="0"/>
                      <w:color w:val="auto"/>
                      <w:kern w:val="0"/>
                      <w:sz w:val="18"/>
                      <w:szCs w:val="18"/>
                      <w:highlight w:val="none"/>
                      <w:u w:val="none"/>
                      <w:lang w:val="en-US" w:eastAsia="zh-CN" w:bidi="ar"/>
                    </w:rPr>
                    <w:t>0.001</w:t>
                  </w:r>
                </w:p>
              </w:tc>
              <w:tc>
                <w:tcPr>
                  <w:tcW w:w="806" w:type="dxa"/>
                  <w:tcBorders>
                    <w:tl2br w:val="nil"/>
                    <w:tr2bl w:val="nil"/>
                  </w:tcBorders>
                  <w:shd w:val="clear" w:color="auto" w:fill="auto"/>
                  <w:noWrap/>
                  <w:vAlign w:val="center"/>
                </w:tcPr>
                <w:p w14:paraId="416E742B">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0</w:t>
                  </w:r>
                </w:p>
              </w:tc>
            </w:tr>
            <w:tr w14:paraId="4CA7332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1468" w:type="dxa"/>
                  <w:tcBorders>
                    <w:tl2br w:val="nil"/>
                    <w:tr2bl w:val="nil"/>
                  </w:tcBorders>
                  <w:shd w:val="clear" w:color="auto" w:fill="auto"/>
                  <w:noWrap/>
                  <w:vAlign w:val="center"/>
                </w:tcPr>
                <w:p w14:paraId="1C699CA1">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20</w:t>
                  </w:r>
                </w:p>
              </w:tc>
              <w:tc>
                <w:tcPr>
                  <w:tcW w:w="659" w:type="dxa"/>
                  <w:vMerge w:val="continue"/>
                  <w:tcBorders>
                    <w:tl2br w:val="nil"/>
                    <w:tr2bl w:val="nil"/>
                  </w:tcBorders>
                  <w:shd w:val="clear" w:color="auto" w:fill="auto"/>
                  <w:noWrap/>
                  <w:vAlign w:val="center"/>
                </w:tcPr>
                <w:p w14:paraId="2995A79A">
                  <w:pPr>
                    <w:jc w:val="center"/>
                    <w:rPr>
                      <w:rFonts w:hint="default" w:ascii="Times New Roman" w:hAnsi="Times New Roman" w:eastAsia="宋体" w:cs="Times New Roman"/>
                      <w:i w:val="0"/>
                      <w:iCs w:val="0"/>
                      <w:color w:val="auto"/>
                      <w:sz w:val="18"/>
                      <w:szCs w:val="18"/>
                      <w:highlight w:val="none"/>
                      <w:u w:val="none"/>
                    </w:rPr>
                  </w:pPr>
                </w:p>
              </w:tc>
              <w:tc>
                <w:tcPr>
                  <w:tcW w:w="2241" w:type="dxa"/>
                  <w:tcBorders>
                    <w:tl2br w:val="nil"/>
                    <w:tr2bl w:val="nil"/>
                  </w:tcBorders>
                  <w:shd w:val="clear" w:color="auto" w:fill="auto"/>
                  <w:noWrap/>
                  <w:vAlign w:val="center"/>
                </w:tcPr>
                <w:p w14:paraId="4F9085D6">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设备废滤料</w:t>
                  </w:r>
                </w:p>
              </w:tc>
              <w:tc>
                <w:tcPr>
                  <w:tcW w:w="1653" w:type="dxa"/>
                  <w:tcBorders>
                    <w:tl2br w:val="nil"/>
                    <w:tr2bl w:val="nil"/>
                  </w:tcBorders>
                  <w:shd w:val="clear" w:color="auto" w:fill="auto"/>
                  <w:noWrap/>
                  <w:vAlign w:val="center"/>
                </w:tcPr>
                <w:p w14:paraId="6EAEB3DD">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lang w:val="en-US"/>
                    </w:rPr>
                  </w:pPr>
                  <w:r>
                    <w:rPr>
                      <w:rFonts w:hint="eastAsia" w:cs="Times New Roman"/>
                      <w:i w:val="0"/>
                      <w:iCs w:val="0"/>
                      <w:color w:val="auto"/>
                      <w:kern w:val="0"/>
                      <w:sz w:val="18"/>
                      <w:szCs w:val="18"/>
                      <w:highlight w:val="none"/>
                      <w:u w:val="none"/>
                      <w:lang w:val="en-US" w:eastAsia="zh-CN" w:bidi="ar"/>
                    </w:rPr>
                    <w:t>0.08</w:t>
                  </w:r>
                </w:p>
              </w:tc>
              <w:tc>
                <w:tcPr>
                  <w:tcW w:w="804" w:type="dxa"/>
                  <w:tcBorders>
                    <w:tl2br w:val="nil"/>
                    <w:tr2bl w:val="nil"/>
                  </w:tcBorders>
                  <w:shd w:val="clear" w:color="auto" w:fill="auto"/>
                  <w:noWrap/>
                  <w:vAlign w:val="center"/>
                </w:tcPr>
                <w:p w14:paraId="5594877B">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lang w:val="en-US"/>
                    </w:rPr>
                  </w:pPr>
                  <w:r>
                    <w:rPr>
                      <w:rFonts w:hint="eastAsia" w:cs="Times New Roman"/>
                      <w:i w:val="0"/>
                      <w:iCs w:val="0"/>
                      <w:color w:val="auto"/>
                      <w:kern w:val="0"/>
                      <w:sz w:val="18"/>
                      <w:szCs w:val="18"/>
                      <w:highlight w:val="none"/>
                      <w:u w:val="none"/>
                      <w:lang w:val="en-US" w:eastAsia="zh-CN" w:bidi="ar"/>
                    </w:rPr>
                    <w:t>0.08</w:t>
                  </w:r>
                </w:p>
              </w:tc>
              <w:tc>
                <w:tcPr>
                  <w:tcW w:w="806" w:type="dxa"/>
                  <w:tcBorders>
                    <w:tl2br w:val="nil"/>
                    <w:tr2bl w:val="nil"/>
                  </w:tcBorders>
                  <w:shd w:val="clear" w:color="auto" w:fill="auto"/>
                  <w:noWrap/>
                  <w:vAlign w:val="center"/>
                </w:tcPr>
                <w:p w14:paraId="3AA22149">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0</w:t>
                  </w:r>
                </w:p>
              </w:tc>
            </w:tr>
            <w:tr w14:paraId="5FB2671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1468" w:type="dxa"/>
                  <w:tcBorders>
                    <w:tl2br w:val="nil"/>
                    <w:tr2bl w:val="nil"/>
                  </w:tcBorders>
                  <w:shd w:val="clear" w:color="auto" w:fill="auto"/>
                  <w:noWrap/>
                  <w:vAlign w:val="center"/>
                </w:tcPr>
                <w:p w14:paraId="43C2DB50">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21</w:t>
                  </w:r>
                </w:p>
              </w:tc>
              <w:tc>
                <w:tcPr>
                  <w:tcW w:w="659" w:type="dxa"/>
                  <w:vMerge w:val="continue"/>
                  <w:tcBorders>
                    <w:tl2br w:val="nil"/>
                    <w:tr2bl w:val="nil"/>
                  </w:tcBorders>
                  <w:shd w:val="clear" w:color="auto" w:fill="auto"/>
                  <w:noWrap/>
                  <w:vAlign w:val="center"/>
                </w:tcPr>
                <w:p w14:paraId="3C9D5481">
                  <w:pPr>
                    <w:jc w:val="center"/>
                    <w:rPr>
                      <w:rFonts w:hint="default" w:ascii="Times New Roman" w:hAnsi="Times New Roman" w:eastAsia="宋体" w:cs="Times New Roman"/>
                      <w:i w:val="0"/>
                      <w:iCs w:val="0"/>
                      <w:color w:val="auto"/>
                      <w:sz w:val="18"/>
                      <w:szCs w:val="18"/>
                      <w:highlight w:val="none"/>
                      <w:u w:val="none"/>
                    </w:rPr>
                  </w:pPr>
                </w:p>
              </w:tc>
              <w:tc>
                <w:tcPr>
                  <w:tcW w:w="2241" w:type="dxa"/>
                  <w:tcBorders>
                    <w:tl2br w:val="nil"/>
                    <w:tr2bl w:val="nil"/>
                  </w:tcBorders>
                  <w:shd w:val="clear" w:color="auto" w:fill="auto"/>
                  <w:noWrap/>
                  <w:vAlign w:val="center"/>
                </w:tcPr>
                <w:p w14:paraId="269A2FAE">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废布袋</w:t>
                  </w:r>
                </w:p>
              </w:tc>
              <w:tc>
                <w:tcPr>
                  <w:tcW w:w="1653" w:type="dxa"/>
                  <w:tcBorders>
                    <w:tl2br w:val="nil"/>
                    <w:tr2bl w:val="nil"/>
                  </w:tcBorders>
                  <w:shd w:val="clear" w:color="auto" w:fill="auto"/>
                  <w:noWrap/>
                  <w:vAlign w:val="center"/>
                </w:tcPr>
                <w:p w14:paraId="5B5AF78D">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lang w:val="en-US"/>
                    </w:rPr>
                  </w:pPr>
                  <w:r>
                    <w:rPr>
                      <w:rFonts w:hint="eastAsia" w:cs="Times New Roman"/>
                      <w:i w:val="0"/>
                      <w:iCs w:val="0"/>
                      <w:color w:val="auto"/>
                      <w:kern w:val="0"/>
                      <w:sz w:val="18"/>
                      <w:szCs w:val="18"/>
                      <w:highlight w:val="none"/>
                      <w:u w:val="none"/>
                      <w:lang w:val="en-US" w:eastAsia="zh-CN" w:bidi="ar"/>
                    </w:rPr>
                    <w:t>0.015</w:t>
                  </w:r>
                </w:p>
              </w:tc>
              <w:tc>
                <w:tcPr>
                  <w:tcW w:w="804" w:type="dxa"/>
                  <w:tcBorders>
                    <w:tl2br w:val="nil"/>
                    <w:tr2bl w:val="nil"/>
                  </w:tcBorders>
                  <w:shd w:val="clear" w:color="auto" w:fill="auto"/>
                  <w:noWrap/>
                  <w:vAlign w:val="center"/>
                </w:tcPr>
                <w:p w14:paraId="545A9855">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lang w:val="en-US"/>
                    </w:rPr>
                  </w:pPr>
                  <w:r>
                    <w:rPr>
                      <w:rFonts w:hint="eastAsia" w:cs="Times New Roman"/>
                      <w:i w:val="0"/>
                      <w:iCs w:val="0"/>
                      <w:color w:val="auto"/>
                      <w:kern w:val="0"/>
                      <w:sz w:val="18"/>
                      <w:szCs w:val="18"/>
                      <w:highlight w:val="none"/>
                      <w:u w:val="none"/>
                      <w:lang w:val="en-US" w:eastAsia="zh-CN" w:bidi="ar"/>
                    </w:rPr>
                    <w:t>0.015</w:t>
                  </w:r>
                </w:p>
              </w:tc>
              <w:tc>
                <w:tcPr>
                  <w:tcW w:w="806" w:type="dxa"/>
                  <w:tcBorders>
                    <w:tl2br w:val="nil"/>
                    <w:tr2bl w:val="nil"/>
                  </w:tcBorders>
                  <w:shd w:val="clear" w:color="auto" w:fill="auto"/>
                  <w:noWrap/>
                  <w:vAlign w:val="center"/>
                </w:tcPr>
                <w:p w14:paraId="2F293A9F">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0</w:t>
                  </w:r>
                </w:p>
              </w:tc>
            </w:tr>
            <w:tr w14:paraId="6903EC0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27" w:hRule="atLeast"/>
                <w:jc w:val="center"/>
              </w:trPr>
              <w:tc>
                <w:tcPr>
                  <w:tcW w:w="1468" w:type="dxa"/>
                  <w:tcBorders>
                    <w:tl2br w:val="nil"/>
                    <w:tr2bl w:val="nil"/>
                  </w:tcBorders>
                  <w:shd w:val="clear" w:color="auto" w:fill="auto"/>
                  <w:noWrap/>
                  <w:vAlign w:val="center"/>
                </w:tcPr>
                <w:p w14:paraId="7AE00DC2">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22</w:t>
                  </w:r>
                </w:p>
              </w:tc>
              <w:tc>
                <w:tcPr>
                  <w:tcW w:w="659" w:type="dxa"/>
                  <w:vMerge w:val="continue"/>
                  <w:tcBorders>
                    <w:tl2br w:val="nil"/>
                    <w:tr2bl w:val="nil"/>
                  </w:tcBorders>
                  <w:shd w:val="clear" w:color="auto" w:fill="auto"/>
                  <w:noWrap/>
                  <w:vAlign w:val="center"/>
                </w:tcPr>
                <w:p w14:paraId="42FA2739">
                  <w:pPr>
                    <w:jc w:val="center"/>
                    <w:rPr>
                      <w:rFonts w:hint="default" w:ascii="Times New Roman" w:hAnsi="Times New Roman" w:eastAsia="宋体" w:cs="Times New Roman"/>
                      <w:i w:val="0"/>
                      <w:iCs w:val="0"/>
                      <w:color w:val="auto"/>
                      <w:sz w:val="18"/>
                      <w:szCs w:val="18"/>
                      <w:highlight w:val="none"/>
                      <w:u w:val="none"/>
                    </w:rPr>
                  </w:pPr>
                </w:p>
              </w:tc>
              <w:tc>
                <w:tcPr>
                  <w:tcW w:w="2241" w:type="dxa"/>
                  <w:tcBorders>
                    <w:tl2br w:val="nil"/>
                    <w:tr2bl w:val="nil"/>
                  </w:tcBorders>
                  <w:shd w:val="clear" w:color="auto" w:fill="auto"/>
                  <w:noWrap/>
                  <w:vAlign w:val="center"/>
                </w:tcPr>
                <w:p w14:paraId="60DD2743">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生活垃圾</w:t>
                  </w:r>
                </w:p>
              </w:tc>
              <w:tc>
                <w:tcPr>
                  <w:tcW w:w="1653" w:type="dxa"/>
                  <w:tcBorders>
                    <w:tl2br w:val="nil"/>
                    <w:tr2bl w:val="nil"/>
                  </w:tcBorders>
                  <w:shd w:val="clear" w:color="auto" w:fill="auto"/>
                  <w:noWrap/>
                  <w:vAlign w:val="center"/>
                </w:tcPr>
                <w:p w14:paraId="2213746E">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lang w:val="en-US"/>
                    </w:rPr>
                  </w:pPr>
                  <w:r>
                    <w:rPr>
                      <w:rFonts w:hint="eastAsia" w:cs="Times New Roman"/>
                      <w:i w:val="0"/>
                      <w:iCs w:val="0"/>
                      <w:color w:val="auto"/>
                      <w:kern w:val="0"/>
                      <w:sz w:val="18"/>
                      <w:szCs w:val="18"/>
                      <w:highlight w:val="none"/>
                      <w:u w:val="none"/>
                      <w:lang w:val="en-US" w:eastAsia="zh-CN" w:bidi="ar"/>
                    </w:rPr>
                    <w:t>1.612</w:t>
                  </w:r>
                </w:p>
              </w:tc>
              <w:tc>
                <w:tcPr>
                  <w:tcW w:w="804" w:type="dxa"/>
                  <w:tcBorders>
                    <w:tl2br w:val="nil"/>
                    <w:tr2bl w:val="nil"/>
                  </w:tcBorders>
                  <w:shd w:val="clear" w:color="auto" w:fill="auto"/>
                  <w:noWrap/>
                  <w:vAlign w:val="center"/>
                </w:tcPr>
                <w:p w14:paraId="0E7D1684">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lang w:val="en-US"/>
                    </w:rPr>
                  </w:pPr>
                  <w:r>
                    <w:rPr>
                      <w:rFonts w:hint="eastAsia" w:cs="Times New Roman"/>
                      <w:i w:val="0"/>
                      <w:iCs w:val="0"/>
                      <w:color w:val="auto"/>
                      <w:kern w:val="0"/>
                      <w:sz w:val="18"/>
                      <w:szCs w:val="18"/>
                      <w:highlight w:val="none"/>
                      <w:u w:val="none"/>
                      <w:lang w:val="en-US" w:eastAsia="zh-CN" w:bidi="ar"/>
                    </w:rPr>
                    <w:t>1.612</w:t>
                  </w:r>
                </w:p>
              </w:tc>
              <w:tc>
                <w:tcPr>
                  <w:tcW w:w="806" w:type="dxa"/>
                  <w:tcBorders>
                    <w:tl2br w:val="nil"/>
                    <w:tr2bl w:val="nil"/>
                  </w:tcBorders>
                  <w:shd w:val="clear" w:color="auto" w:fill="auto"/>
                  <w:noWrap/>
                  <w:vAlign w:val="center"/>
                </w:tcPr>
                <w:p w14:paraId="580E1EF7">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0</w:t>
                  </w:r>
                </w:p>
              </w:tc>
            </w:tr>
          </w:tbl>
          <w:p w14:paraId="177FAB6A">
            <w:pPr>
              <w:pStyle w:val="14"/>
              <w:rPr>
                <w:rFonts w:hint="default" w:ascii="Times New Roman" w:hAnsi="Times New Roman" w:cs="Times New Roman"/>
                <w:color w:val="auto"/>
                <w:highlight w:val="none"/>
              </w:rPr>
            </w:pPr>
          </w:p>
          <w:p w14:paraId="1B526A61">
            <w:pPr>
              <w:spacing w:line="360" w:lineRule="auto"/>
              <w:rPr>
                <w:rFonts w:hint="default"/>
                <w:color w:val="auto"/>
                <w:highlight w:val="none"/>
                <w:lang w:val="en-US" w:eastAsia="zh-CN"/>
              </w:rPr>
            </w:pPr>
          </w:p>
        </w:tc>
      </w:tr>
    </w:tbl>
    <w:p w14:paraId="64E20037">
      <w:pPr>
        <w:pStyle w:val="20"/>
        <w:jc w:val="center"/>
        <w:outlineLvl w:val="0"/>
        <w:rPr>
          <w:rFonts w:ascii="Times New Roman" w:hAnsi="Times New Roman" w:eastAsia="黑体" w:cs="Times New Roman"/>
          <w:snapToGrid w:val="0"/>
          <w:color w:val="auto"/>
          <w:sz w:val="30"/>
          <w:szCs w:val="30"/>
          <w:highlight w:val="none"/>
        </w:rPr>
        <w:sectPr>
          <w:pgSz w:w="11906" w:h="16838"/>
          <w:pgMar w:top="1701" w:right="1531" w:bottom="1701" w:left="1531" w:header="851" w:footer="851" w:gutter="0"/>
          <w:pgBorders>
            <w:top w:val="none" w:sz="0" w:space="0"/>
            <w:left w:val="none" w:sz="0" w:space="0"/>
            <w:bottom w:val="none" w:sz="0" w:space="0"/>
            <w:right w:val="none" w:sz="0" w:space="0"/>
          </w:pgBorders>
          <w:cols w:space="720" w:num="1"/>
          <w:docGrid w:linePitch="312" w:charSpace="0"/>
        </w:sectPr>
      </w:pPr>
    </w:p>
    <w:p w14:paraId="1EA7B96F">
      <w:pPr>
        <w:pStyle w:val="20"/>
        <w:jc w:val="center"/>
        <w:outlineLvl w:val="0"/>
        <w:rPr>
          <w:rFonts w:ascii="Times New Roman" w:hAnsi="Times New Roman" w:eastAsia="黑体"/>
          <w:snapToGrid w:val="0"/>
          <w:color w:val="auto"/>
          <w:sz w:val="30"/>
          <w:szCs w:val="30"/>
          <w:highlight w:val="none"/>
        </w:rPr>
      </w:pPr>
      <w:r>
        <w:rPr>
          <w:rFonts w:ascii="Times New Roman" w:hAnsi="Times New Roman" w:eastAsia="黑体"/>
          <w:snapToGrid w:val="0"/>
          <w:color w:val="auto"/>
          <w:sz w:val="30"/>
          <w:szCs w:val="30"/>
          <w:highlight w:val="none"/>
        </w:rPr>
        <w:t>五、</w:t>
      </w:r>
      <w:bookmarkStart w:id="56" w:name="_Hlk54167917"/>
      <w:r>
        <w:rPr>
          <w:rFonts w:ascii="Times New Roman" w:hAnsi="Times New Roman" w:eastAsia="黑体"/>
          <w:snapToGrid w:val="0"/>
          <w:color w:val="auto"/>
          <w:sz w:val="30"/>
          <w:szCs w:val="30"/>
          <w:highlight w:val="none"/>
        </w:rPr>
        <w:t>环境保护措施监督检查清单</w:t>
      </w:r>
      <w:bookmarkEnd w:id="51"/>
      <w:bookmarkEnd w:id="52"/>
      <w:bookmarkEnd w:id="53"/>
      <w:bookmarkEnd w:id="54"/>
      <w:bookmarkEnd w:id="55"/>
      <w:bookmarkEnd w:id="56"/>
    </w:p>
    <w:tbl>
      <w:tblPr>
        <w:tblStyle w:val="24"/>
        <w:tblW w:w="8964" w:type="dxa"/>
        <w:tblInd w:w="96"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Layout w:type="fixed"/>
        <w:tblCellMar>
          <w:top w:w="0" w:type="dxa"/>
          <w:left w:w="108" w:type="dxa"/>
          <w:bottom w:w="0" w:type="dxa"/>
          <w:right w:w="108" w:type="dxa"/>
        </w:tblCellMar>
      </w:tblPr>
      <w:tblGrid>
        <w:gridCol w:w="1161"/>
        <w:gridCol w:w="924"/>
        <w:gridCol w:w="1188"/>
        <w:gridCol w:w="1608"/>
        <w:gridCol w:w="2592"/>
        <w:gridCol w:w="1491"/>
      </w:tblGrid>
      <w:tr w14:paraId="49D6872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12" w:hRule="atLeast"/>
        </w:trPr>
        <w:tc>
          <w:tcPr>
            <w:tcW w:w="1161" w:type="dxa"/>
            <w:tcBorders>
              <w:tl2br w:val="nil"/>
              <w:tr2bl w:val="nil"/>
            </w:tcBorders>
            <w:shd w:val="clear" w:color="auto" w:fill="auto"/>
            <w:noWrap/>
            <w:vAlign w:val="center"/>
          </w:tcPr>
          <w:p w14:paraId="11A7B94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内容/要素</w:t>
            </w:r>
          </w:p>
        </w:tc>
        <w:tc>
          <w:tcPr>
            <w:tcW w:w="2112" w:type="dxa"/>
            <w:gridSpan w:val="2"/>
            <w:tcBorders>
              <w:tl2br w:val="nil"/>
              <w:tr2bl w:val="nil"/>
            </w:tcBorders>
            <w:shd w:val="clear" w:color="auto" w:fill="auto"/>
            <w:noWrap/>
            <w:vAlign w:val="center"/>
          </w:tcPr>
          <w:p w14:paraId="40E2113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排放口（编号、名称）/污染源</w:t>
            </w:r>
          </w:p>
        </w:tc>
        <w:tc>
          <w:tcPr>
            <w:tcW w:w="1608" w:type="dxa"/>
            <w:tcBorders>
              <w:tl2br w:val="nil"/>
              <w:tr2bl w:val="nil"/>
            </w:tcBorders>
            <w:shd w:val="clear" w:color="auto" w:fill="auto"/>
            <w:noWrap/>
            <w:vAlign w:val="center"/>
          </w:tcPr>
          <w:p w14:paraId="5F977C3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污染源项目</w:t>
            </w:r>
          </w:p>
        </w:tc>
        <w:tc>
          <w:tcPr>
            <w:tcW w:w="2592" w:type="dxa"/>
            <w:tcBorders>
              <w:tl2br w:val="nil"/>
              <w:tr2bl w:val="nil"/>
            </w:tcBorders>
            <w:shd w:val="clear" w:color="auto" w:fill="auto"/>
            <w:noWrap/>
            <w:vAlign w:val="center"/>
          </w:tcPr>
          <w:p w14:paraId="585D587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环境保护措施</w:t>
            </w:r>
          </w:p>
        </w:tc>
        <w:tc>
          <w:tcPr>
            <w:tcW w:w="1491" w:type="dxa"/>
            <w:tcBorders>
              <w:tl2br w:val="nil"/>
              <w:tr2bl w:val="nil"/>
            </w:tcBorders>
            <w:shd w:val="clear" w:color="auto" w:fill="auto"/>
            <w:noWrap/>
            <w:vAlign w:val="center"/>
          </w:tcPr>
          <w:p w14:paraId="7304A1E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执行标准</w:t>
            </w:r>
          </w:p>
        </w:tc>
      </w:tr>
      <w:tr w14:paraId="62FC2B3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12" w:hRule="atLeast"/>
        </w:trPr>
        <w:tc>
          <w:tcPr>
            <w:tcW w:w="1161" w:type="dxa"/>
            <w:vMerge w:val="restart"/>
            <w:tcBorders>
              <w:tl2br w:val="nil"/>
              <w:tr2bl w:val="nil"/>
            </w:tcBorders>
            <w:shd w:val="clear" w:color="auto" w:fill="auto"/>
            <w:noWrap/>
            <w:vAlign w:val="center"/>
          </w:tcPr>
          <w:p w14:paraId="2FE3C8D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环境空气</w:t>
            </w:r>
          </w:p>
        </w:tc>
        <w:tc>
          <w:tcPr>
            <w:tcW w:w="924" w:type="dxa"/>
            <w:tcBorders>
              <w:tl2br w:val="nil"/>
              <w:tr2bl w:val="nil"/>
            </w:tcBorders>
            <w:shd w:val="clear" w:color="auto" w:fill="auto"/>
            <w:noWrap/>
            <w:vAlign w:val="center"/>
          </w:tcPr>
          <w:p w14:paraId="26EACA4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DA001</w:t>
            </w:r>
          </w:p>
        </w:tc>
        <w:tc>
          <w:tcPr>
            <w:tcW w:w="1188" w:type="dxa"/>
            <w:tcBorders>
              <w:tl2br w:val="nil"/>
              <w:tr2bl w:val="nil"/>
            </w:tcBorders>
            <w:shd w:val="clear" w:color="auto" w:fill="auto"/>
            <w:noWrap/>
            <w:vAlign w:val="center"/>
          </w:tcPr>
          <w:p w14:paraId="599693D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lang w:val="en-US"/>
              </w:rPr>
            </w:pPr>
            <w:r>
              <w:rPr>
                <w:rFonts w:hint="default" w:ascii="Times New Roman" w:hAnsi="Times New Roman" w:eastAsia="宋体" w:cs="Times New Roman"/>
                <w:i w:val="0"/>
                <w:iCs w:val="0"/>
                <w:color w:val="auto"/>
                <w:kern w:val="0"/>
                <w:sz w:val="21"/>
                <w:szCs w:val="21"/>
                <w:highlight w:val="none"/>
                <w:u w:val="none"/>
                <w:lang w:val="en-US" w:eastAsia="zh-CN" w:bidi="ar"/>
              </w:rPr>
              <w:t>干燥粉尘、煅烧废气、气粉粉尘</w:t>
            </w:r>
            <w:r>
              <w:rPr>
                <w:rFonts w:hint="eastAsia" w:cs="Times New Roman"/>
                <w:i w:val="0"/>
                <w:iCs w:val="0"/>
                <w:color w:val="auto"/>
                <w:kern w:val="0"/>
                <w:sz w:val="21"/>
                <w:szCs w:val="21"/>
                <w:highlight w:val="none"/>
                <w:u w:val="none"/>
                <w:lang w:val="en-US" w:eastAsia="zh-CN" w:bidi="ar"/>
              </w:rPr>
              <w:t>、涂布废气</w:t>
            </w:r>
          </w:p>
        </w:tc>
        <w:tc>
          <w:tcPr>
            <w:tcW w:w="1608" w:type="dxa"/>
            <w:tcBorders>
              <w:tl2br w:val="nil"/>
              <w:tr2bl w:val="nil"/>
            </w:tcBorders>
            <w:shd w:val="clear" w:color="auto" w:fill="auto"/>
            <w:noWrap/>
            <w:vAlign w:val="center"/>
          </w:tcPr>
          <w:p w14:paraId="1D9C8B7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颗粒物、非甲烷总烃</w:t>
            </w:r>
          </w:p>
        </w:tc>
        <w:tc>
          <w:tcPr>
            <w:tcW w:w="2592" w:type="dxa"/>
            <w:tcBorders>
              <w:tl2br w:val="nil"/>
              <w:tr2bl w:val="nil"/>
            </w:tcBorders>
            <w:shd w:val="clear" w:color="auto" w:fill="auto"/>
            <w:noWrap/>
            <w:vAlign w:val="center"/>
          </w:tcPr>
          <w:p w14:paraId="5F2B27AF">
            <w:pPr>
              <w:keepNext w:val="0"/>
              <w:keepLines w:val="0"/>
              <w:widowControl/>
              <w:suppressLineNumbers w:val="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喷雾干燥器、气流粉碎机内置布袋除尘器；废气收集经“</w:t>
            </w:r>
            <w:r>
              <w:rPr>
                <w:rFonts w:hint="eastAsia" w:cs="Times New Roman"/>
                <w:i w:val="0"/>
                <w:iCs w:val="0"/>
                <w:color w:val="auto"/>
                <w:kern w:val="0"/>
                <w:sz w:val="21"/>
                <w:szCs w:val="21"/>
                <w:highlight w:val="none"/>
                <w:u w:val="none"/>
                <w:lang w:val="en-US" w:eastAsia="zh-CN" w:bidi="ar"/>
              </w:rPr>
              <w:t>水</w:t>
            </w:r>
            <w:r>
              <w:rPr>
                <w:rFonts w:hint="default" w:ascii="Times New Roman" w:hAnsi="Times New Roman" w:eastAsia="宋体" w:cs="Times New Roman"/>
                <w:i w:val="0"/>
                <w:iCs w:val="0"/>
                <w:color w:val="auto"/>
                <w:kern w:val="0"/>
                <w:sz w:val="21"/>
                <w:szCs w:val="21"/>
                <w:highlight w:val="none"/>
                <w:u w:val="none"/>
                <w:lang w:val="en-US" w:eastAsia="zh-CN" w:bidi="ar"/>
              </w:rPr>
              <w:t>喷淋+除雾</w:t>
            </w:r>
            <w:r>
              <w:rPr>
                <w:rFonts w:hint="eastAsia" w:cs="Times New Roman"/>
                <w:i w:val="0"/>
                <w:iCs w:val="0"/>
                <w:color w:val="auto"/>
                <w:kern w:val="0"/>
                <w:sz w:val="21"/>
                <w:szCs w:val="21"/>
                <w:highlight w:val="none"/>
                <w:u w:val="none"/>
                <w:lang w:val="en-US" w:eastAsia="zh-CN" w:bidi="ar"/>
              </w:rPr>
              <w:t>除湿</w:t>
            </w:r>
            <w:r>
              <w:rPr>
                <w:rFonts w:hint="default" w:ascii="Times New Roman" w:hAnsi="Times New Roman" w:eastAsia="宋体" w:cs="Times New Roman"/>
                <w:i w:val="0"/>
                <w:iCs w:val="0"/>
                <w:color w:val="auto"/>
                <w:kern w:val="0"/>
                <w:sz w:val="21"/>
                <w:szCs w:val="21"/>
                <w:highlight w:val="none"/>
                <w:u w:val="none"/>
                <w:lang w:val="en-US" w:eastAsia="zh-CN" w:bidi="ar"/>
              </w:rPr>
              <w:t>+</w:t>
            </w:r>
            <w:r>
              <w:rPr>
                <w:rFonts w:hint="eastAsia" w:cs="Times New Roman"/>
                <w:i w:val="0"/>
                <w:iCs w:val="0"/>
                <w:color w:val="auto"/>
                <w:kern w:val="0"/>
                <w:sz w:val="21"/>
                <w:szCs w:val="21"/>
                <w:highlight w:val="none"/>
                <w:u w:val="none"/>
                <w:lang w:val="en-US" w:eastAsia="zh-CN" w:bidi="ar"/>
              </w:rPr>
              <w:t>一级</w:t>
            </w:r>
            <w:r>
              <w:rPr>
                <w:rFonts w:hint="default" w:ascii="Times New Roman" w:hAnsi="Times New Roman" w:eastAsia="宋体" w:cs="Times New Roman"/>
                <w:i w:val="0"/>
                <w:iCs w:val="0"/>
                <w:color w:val="auto"/>
                <w:kern w:val="0"/>
                <w:sz w:val="21"/>
                <w:szCs w:val="21"/>
                <w:highlight w:val="none"/>
                <w:u w:val="none"/>
                <w:lang w:val="en-US" w:eastAsia="zh-CN" w:bidi="ar"/>
              </w:rPr>
              <w:t>活性炭吸附”后</w:t>
            </w:r>
            <w:r>
              <w:rPr>
                <w:rFonts w:hint="eastAsia" w:cs="Times New Roman"/>
                <w:i w:val="0"/>
                <w:iCs w:val="0"/>
                <w:color w:val="auto"/>
                <w:kern w:val="0"/>
                <w:sz w:val="21"/>
                <w:szCs w:val="21"/>
                <w:highlight w:val="none"/>
                <w:u w:val="none"/>
                <w:lang w:val="en-US" w:eastAsia="zh-CN" w:bidi="ar"/>
              </w:rPr>
              <w:t>50</w:t>
            </w:r>
            <w:r>
              <w:rPr>
                <w:rFonts w:hint="default" w:ascii="Times New Roman" w:hAnsi="Times New Roman" w:eastAsia="宋体" w:cs="Times New Roman"/>
                <w:i w:val="0"/>
                <w:iCs w:val="0"/>
                <w:color w:val="auto"/>
                <w:kern w:val="0"/>
                <w:sz w:val="21"/>
                <w:szCs w:val="21"/>
                <w:highlight w:val="none"/>
                <w:u w:val="none"/>
                <w:lang w:val="en-US" w:eastAsia="zh-CN" w:bidi="ar"/>
              </w:rPr>
              <w:t xml:space="preserve"> m排气筒排放。</w:t>
            </w:r>
          </w:p>
        </w:tc>
        <w:tc>
          <w:tcPr>
            <w:tcW w:w="1491" w:type="dxa"/>
            <w:vMerge w:val="restart"/>
            <w:tcBorders>
              <w:tl2br w:val="nil"/>
              <w:tr2bl w:val="nil"/>
            </w:tcBorders>
            <w:shd w:val="clear" w:color="auto" w:fill="auto"/>
            <w:noWrap/>
            <w:vAlign w:val="center"/>
          </w:tcPr>
          <w:p w14:paraId="44D7A64F">
            <w:pPr>
              <w:keepNext w:val="0"/>
              <w:keepLines w:val="0"/>
              <w:widowControl/>
              <w:suppressLineNumbers w:val="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《大气污染物综合排放标准》（GB16297-1996）表2二级标准；《恶臭污染物排放标准》（GB 14554-93）表1、表2二级标准</w:t>
            </w:r>
          </w:p>
        </w:tc>
      </w:tr>
      <w:tr w14:paraId="3839730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12" w:hRule="atLeast"/>
        </w:trPr>
        <w:tc>
          <w:tcPr>
            <w:tcW w:w="1161" w:type="dxa"/>
            <w:vMerge w:val="continue"/>
            <w:tcBorders>
              <w:tl2br w:val="nil"/>
              <w:tr2bl w:val="nil"/>
            </w:tcBorders>
            <w:shd w:val="clear" w:color="auto" w:fill="auto"/>
            <w:noWrap/>
            <w:vAlign w:val="center"/>
          </w:tcPr>
          <w:p w14:paraId="2E69B0C6">
            <w:pPr>
              <w:jc w:val="center"/>
              <w:rPr>
                <w:rFonts w:hint="default" w:ascii="Times New Roman" w:hAnsi="Times New Roman" w:eastAsia="宋体" w:cs="Times New Roman"/>
                <w:i w:val="0"/>
                <w:iCs w:val="0"/>
                <w:color w:val="auto"/>
                <w:sz w:val="21"/>
                <w:szCs w:val="21"/>
                <w:highlight w:val="none"/>
                <w:u w:val="none"/>
              </w:rPr>
            </w:pPr>
          </w:p>
        </w:tc>
        <w:tc>
          <w:tcPr>
            <w:tcW w:w="2112" w:type="dxa"/>
            <w:gridSpan w:val="2"/>
            <w:tcBorders>
              <w:tl2br w:val="nil"/>
              <w:tr2bl w:val="nil"/>
            </w:tcBorders>
            <w:shd w:val="clear" w:color="auto" w:fill="auto"/>
            <w:noWrap/>
            <w:vAlign w:val="center"/>
          </w:tcPr>
          <w:p w14:paraId="683D553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无组织（厂界）</w:t>
            </w:r>
          </w:p>
        </w:tc>
        <w:tc>
          <w:tcPr>
            <w:tcW w:w="1608" w:type="dxa"/>
            <w:tcBorders>
              <w:tl2br w:val="nil"/>
              <w:tr2bl w:val="nil"/>
            </w:tcBorders>
            <w:shd w:val="clear" w:color="auto" w:fill="auto"/>
            <w:noWrap/>
            <w:vAlign w:val="center"/>
          </w:tcPr>
          <w:p w14:paraId="568B7E9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颗粒物、非甲烷总烃</w:t>
            </w:r>
          </w:p>
        </w:tc>
        <w:tc>
          <w:tcPr>
            <w:tcW w:w="2592" w:type="dxa"/>
            <w:tcBorders>
              <w:tl2br w:val="nil"/>
              <w:tr2bl w:val="nil"/>
            </w:tcBorders>
            <w:shd w:val="clear" w:color="auto" w:fill="auto"/>
            <w:noWrap/>
            <w:vAlign w:val="center"/>
          </w:tcPr>
          <w:p w14:paraId="0E2885BC">
            <w:pPr>
              <w:keepNext w:val="0"/>
              <w:keepLines w:val="0"/>
              <w:widowControl/>
              <w:suppressLineNumbers w:val="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原料密闭储存；解包投料粉尘经新风系统排放</w:t>
            </w:r>
          </w:p>
        </w:tc>
        <w:tc>
          <w:tcPr>
            <w:tcW w:w="1491" w:type="dxa"/>
            <w:vMerge w:val="continue"/>
            <w:tcBorders>
              <w:tl2br w:val="nil"/>
              <w:tr2bl w:val="nil"/>
            </w:tcBorders>
            <w:shd w:val="clear" w:color="auto" w:fill="auto"/>
            <w:noWrap/>
            <w:vAlign w:val="center"/>
          </w:tcPr>
          <w:p w14:paraId="2E6527B0">
            <w:pPr>
              <w:jc w:val="left"/>
              <w:rPr>
                <w:rFonts w:hint="default" w:ascii="Times New Roman" w:hAnsi="Times New Roman" w:eastAsia="宋体" w:cs="Times New Roman"/>
                <w:i w:val="0"/>
                <w:iCs w:val="0"/>
                <w:color w:val="auto"/>
                <w:sz w:val="21"/>
                <w:szCs w:val="21"/>
                <w:highlight w:val="none"/>
                <w:u w:val="none"/>
              </w:rPr>
            </w:pPr>
          </w:p>
        </w:tc>
      </w:tr>
      <w:tr w14:paraId="1540888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12" w:hRule="atLeast"/>
        </w:trPr>
        <w:tc>
          <w:tcPr>
            <w:tcW w:w="1161" w:type="dxa"/>
            <w:tcBorders>
              <w:tl2br w:val="nil"/>
              <w:tr2bl w:val="nil"/>
            </w:tcBorders>
            <w:shd w:val="clear" w:color="auto" w:fill="auto"/>
            <w:noWrap/>
            <w:vAlign w:val="center"/>
          </w:tcPr>
          <w:p w14:paraId="36308D9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地表水环境</w:t>
            </w:r>
          </w:p>
        </w:tc>
        <w:tc>
          <w:tcPr>
            <w:tcW w:w="2112" w:type="dxa"/>
            <w:gridSpan w:val="2"/>
            <w:tcBorders>
              <w:tl2br w:val="nil"/>
              <w:tr2bl w:val="nil"/>
            </w:tcBorders>
            <w:shd w:val="clear" w:color="auto" w:fill="auto"/>
            <w:noWrap/>
            <w:vAlign w:val="center"/>
          </w:tcPr>
          <w:p w14:paraId="5895A28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DW001</w:t>
            </w:r>
          </w:p>
        </w:tc>
        <w:tc>
          <w:tcPr>
            <w:tcW w:w="1608" w:type="dxa"/>
            <w:tcBorders>
              <w:tl2br w:val="nil"/>
              <w:tr2bl w:val="nil"/>
            </w:tcBorders>
            <w:shd w:val="clear" w:color="auto" w:fill="auto"/>
            <w:noWrap/>
            <w:vAlign w:val="center"/>
          </w:tcPr>
          <w:p w14:paraId="08063D60">
            <w:pPr>
              <w:jc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COD</w:t>
            </w:r>
            <w:r>
              <w:rPr>
                <w:rFonts w:hint="default" w:ascii="Times New Roman" w:hAnsi="Times New Roman" w:eastAsia="宋体" w:cs="Times New Roman"/>
                <w:i w:val="0"/>
                <w:iCs w:val="0"/>
                <w:color w:val="auto"/>
                <w:kern w:val="0"/>
                <w:sz w:val="21"/>
                <w:szCs w:val="21"/>
                <w:highlight w:val="none"/>
                <w:u w:val="none"/>
                <w:vertAlign w:val="subscript"/>
                <w:lang w:val="en-US" w:eastAsia="zh-CN" w:bidi="ar"/>
              </w:rPr>
              <w:t>Cr</w:t>
            </w:r>
            <w:r>
              <w:rPr>
                <w:rFonts w:hint="default" w:ascii="Times New Roman" w:hAnsi="Times New Roman" w:eastAsia="宋体" w:cs="Times New Roman"/>
                <w:i w:val="0"/>
                <w:iCs w:val="0"/>
                <w:color w:val="auto"/>
                <w:kern w:val="0"/>
                <w:sz w:val="21"/>
                <w:szCs w:val="21"/>
                <w:highlight w:val="none"/>
                <w:u w:val="none"/>
                <w:lang w:val="en-US" w:eastAsia="zh-CN" w:bidi="ar"/>
              </w:rPr>
              <w:t>、NH</w:t>
            </w:r>
            <w:r>
              <w:rPr>
                <w:rFonts w:hint="default" w:ascii="Times New Roman" w:hAnsi="Times New Roman" w:eastAsia="宋体" w:cs="Times New Roman"/>
                <w:i w:val="0"/>
                <w:iCs w:val="0"/>
                <w:color w:val="auto"/>
                <w:kern w:val="0"/>
                <w:sz w:val="21"/>
                <w:szCs w:val="21"/>
                <w:highlight w:val="none"/>
                <w:u w:val="none"/>
                <w:vertAlign w:val="subscript"/>
                <w:lang w:val="en-US" w:eastAsia="zh-CN" w:bidi="ar"/>
              </w:rPr>
              <w:t>3</w:t>
            </w:r>
            <w:r>
              <w:rPr>
                <w:rFonts w:hint="default" w:ascii="Times New Roman" w:hAnsi="Times New Roman" w:eastAsia="宋体" w:cs="Times New Roman"/>
                <w:i w:val="0"/>
                <w:iCs w:val="0"/>
                <w:color w:val="auto"/>
                <w:kern w:val="0"/>
                <w:sz w:val="21"/>
                <w:szCs w:val="21"/>
                <w:highlight w:val="none"/>
                <w:u w:val="none"/>
                <w:lang w:val="en-US" w:eastAsia="zh-CN" w:bidi="ar"/>
              </w:rPr>
              <w:t>-N、TP、SS</w:t>
            </w:r>
          </w:p>
        </w:tc>
        <w:tc>
          <w:tcPr>
            <w:tcW w:w="2592" w:type="dxa"/>
            <w:tcBorders>
              <w:tl2br w:val="nil"/>
              <w:tr2bl w:val="nil"/>
            </w:tcBorders>
            <w:shd w:val="clear" w:color="auto" w:fill="auto"/>
            <w:noWrap/>
            <w:vAlign w:val="center"/>
          </w:tcPr>
          <w:p w14:paraId="18EA2431">
            <w:pPr>
              <w:keepNext w:val="0"/>
              <w:keepLines w:val="0"/>
              <w:widowControl/>
              <w:suppressLineNumbers w:val="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清洗废水在沉淀池中沉淀除磷；生活污水经化粪池预处理；所有废水纳管至良渚污水处理厂集中处理。</w:t>
            </w:r>
          </w:p>
        </w:tc>
        <w:tc>
          <w:tcPr>
            <w:tcW w:w="1491" w:type="dxa"/>
            <w:tcBorders>
              <w:tl2br w:val="nil"/>
              <w:tr2bl w:val="nil"/>
            </w:tcBorders>
            <w:shd w:val="clear" w:color="auto" w:fill="auto"/>
            <w:noWrap/>
            <w:vAlign w:val="center"/>
          </w:tcPr>
          <w:p w14:paraId="3BFDAE10">
            <w:pPr>
              <w:keepNext w:val="0"/>
              <w:keepLines w:val="0"/>
              <w:widowControl/>
              <w:suppressLineNumbers w:val="0"/>
              <w:jc w:val="left"/>
              <w:textAlignment w:val="center"/>
              <w:rPr>
                <w:rFonts w:hint="default" w:ascii="Times New Roman" w:hAnsi="Times New Roman" w:eastAsia="宋体" w:cs="Times New Roman"/>
                <w:i w:val="0"/>
                <w:iCs w:val="0"/>
                <w:color w:val="auto"/>
                <w:sz w:val="21"/>
                <w:szCs w:val="21"/>
                <w:highlight w:val="none"/>
                <w:u w:val="none"/>
                <w:lang w:val="en-US"/>
              </w:rPr>
            </w:pPr>
            <w:r>
              <w:rPr>
                <w:rFonts w:hint="default" w:ascii="Times New Roman" w:hAnsi="Times New Roman" w:eastAsia="宋体" w:cs="Times New Roman"/>
                <w:i w:val="0"/>
                <w:iCs w:val="0"/>
                <w:color w:val="auto"/>
                <w:kern w:val="0"/>
                <w:sz w:val="21"/>
                <w:szCs w:val="21"/>
                <w:highlight w:val="none"/>
                <w:u w:val="none"/>
                <w:lang w:val="en-US" w:eastAsia="zh-CN" w:bidi="ar"/>
              </w:rPr>
              <w:t>《污水综合排放标准》（GB8978-1996）三级标准</w:t>
            </w:r>
            <w:r>
              <w:rPr>
                <w:rFonts w:hint="eastAsia" w:cs="Times New Roman"/>
                <w:i w:val="0"/>
                <w:iCs w:val="0"/>
                <w:color w:val="auto"/>
                <w:kern w:val="0"/>
                <w:sz w:val="21"/>
                <w:szCs w:val="21"/>
                <w:highlight w:val="none"/>
                <w:u w:val="none"/>
                <w:lang w:val="en-US" w:eastAsia="zh-CN" w:bidi="ar"/>
              </w:rPr>
              <w:t>；《工业企业废水氮、磷污染物间接排放标准》（DB 33/ 887-2025）</w:t>
            </w:r>
          </w:p>
        </w:tc>
      </w:tr>
      <w:tr w14:paraId="3C65C2D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12" w:hRule="atLeast"/>
        </w:trPr>
        <w:tc>
          <w:tcPr>
            <w:tcW w:w="1161" w:type="dxa"/>
            <w:tcBorders>
              <w:tl2br w:val="nil"/>
              <w:tr2bl w:val="nil"/>
            </w:tcBorders>
            <w:shd w:val="clear" w:color="auto" w:fill="auto"/>
            <w:noWrap/>
            <w:vAlign w:val="center"/>
          </w:tcPr>
          <w:p w14:paraId="26369A4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声环境</w:t>
            </w:r>
          </w:p>
        </w:tc>
        <w:tc>
          <w:tcPr>
            <w:tcW w:w="2112" w:type="dxa"/>
            <w:gridSpan w:val="2"/>
            <w:tcBorders>
              <w:tl2br w:val="nil"/>
              <w:tr2bl w:val="nil"/>
            </w:tcBorders>
            <w:shd w:val="clear" w:color="auto" w:fill="auto"/>
            <w:noWrap/>
            <w:vAlign w:val="center"/>
          </w:tcPr>
          <w:p w14:paraId="7DCA7B9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噪声</w:t>
            </w:r>
          </w:p>
        </w:tc>
        <w:tc>
          <w:tcPr>
            <w:tcW w:w="1608" w:type="dxa"/>
            <w:tcBorders>
              <w:tl2br w:val="nil"/>
              <w:tr2bl w:val="nil"/>
            </w:tcBorders>
            <w:shd w:val="clear" w:color="auto" w:fill="auto"/>
            <w:noWrap/>
            <w:vAlign w:val="center"/>
          </w:tcPr>
          <w:p w14:paraId="195C90A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Leq(A)</w:t>
            </w:r>
          </w:p>
        </w:tc>
        <w:tc>
          <w:tcPr>
            <w:tcW w:w="2592" w:type="dxa"/>
            <w:tcBorders>
              <w:tl2br w:val="nil"/>
              <w:tr2bl w:val="nil"/>
            </w:tcBorders>
            <w:shd w:val="clear" w:color="auto" w:fill="auto"/>
            <w:noWrap/>
            <w:vAlign w:val="center"/>
          </w:tcPr>
          <w:p w14:paraId="2A3B3859">
            <w:pPr>
              <w:keepNext w:val="0"/>
              <w:keepLines w:val="0"/>
              <w:widowControl/>
              <w:suppressLineNumbers w:val="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①在设计和设备采购阶段，选用先进的低噪设备。②对高噪声设备设置隔声、减震等降噪措施。③在厂房内部合理布置相关的生产设备。④平时生产中需要加强对各设备的维修、保养，确保设备处于良好的运转状态，杜绝因设备不正常运转而产生的高噪音现象。⑤加强日常运营管理，生产作业时尽量关好门窗。</w:t>
            </w:r>
          </w:p>
        </w:tc>
        <w:tc>
          <w:tcPr>
            <w:tcW w:w="1491" w:type="dxa"/>
            <w:tcBorders>
              <w:tl2br w:val="nil"/>
              <w:tr2bl w:val="nil"/>
            </w:tcBorders>
            <w:shd w:val="clear" w:color="auto" w:fill="auto"/>
            <w:noWrap/>
            <w:vAlign w:val="center"/>
          </w:tcPr>
          <w:p w14:paraId="59B4F3A5">
            <w:pPr>
              <w:keepNext w:val="0"/>
              <w:keepLines w:val="0"/>
              <w:widowControl/>
              <w:suppressLineNumbers w:val="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《工业企业厂界环境噪声排放标准》(GB12348-2008)3类标准</w:t>
            </w:r>
          </w:p>
        </w:tc>
      </w:tr>
      <w:tr w14:paraId="14E46C6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12" w:hRule="atLeast"/>
        </w:trPr>
        <w:tc>
          <w:tcPr>
            <w:tcW w:w="1161" w:type="dxa"/>
            <w:tcBorders>
              <w:tl2br w:val="nil"/>
              <w:tr2bl w:val="nil"/>
            </w:tcBorders>
            <w:shd w:val="clear" w:color="auto" w:fill="auto"/>
            <w:noWrap/>
            <w:vAlign w:val="center"/>
          </w:tcPr>
          <w:p w14:paraId="10DC05B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固体废物</w:t>
            </w:r>
          </w:p>
        </w:tc>
        <w:tc>
          <w:tcPr>
            <w:tcW w:w="7803" w:type="dxa"/>
            <w:gridSpan w:val="5"/>
            <w:tcBorders>
              <w:tl2br w:val="nil"/>
              <w:tr2bl w:val="nil"/>
            </w:tcBorders>
            <w:shd w:val="clear" w:color="auto" w:fill="auto"/>
            <w:vAlign w:val="center"/>
          </w:tcPr>
          <w:p w14:paraId="22C9683F">
            <w:pPr>
              <w:keepNext w:val="0"/>
              <w:keepLines w:val="0"/>
              <w:widowControl/>
              <w:suppressLineNumbers w:val="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废包装材料、废弃研磨介质、集尘、不合格粉体、正极材料理化性质测试废料、沉淀污泥、纯水制备过滤介质、设备废滤料、废布袋等一般工业固体废物分类收集后委托处置；测试废电池、沾染化学品的废包装材料、废活性炭等危险废物规范化收集暂存后委托有资质单位处置；生活垃圾收集后由环卫部门统一清运。</w:t>
            </w:r>
          </w:p>
        </w:tc>
      </w:tr>
      <w:tr w14:paraId="6F7E3F4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12" w:hRule="atLeast"/>
        </w:trPr>
        <w:tc>
          <w:tcPr>
            <w:tcW w:w="1161" w:type="dxa"/>
            <w:tcBorders>
              <w:tl2br w:val="nil"/>
              <w:tr2bl w:val="nil"/>
            </w:tcBorders>
            <w:shd w:val="clear" w:color="auto" w:fill="auto"/>
            <w:noWrap/>
            <w:vAlign w:val="center"/>
          </w:tcPr>
          <w:p w14:paraId="71F7D3B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土壤及地下水污染防治措施</w:t>
            </w:r>
          </w:p>
        </w:tc>
        <w:tc>
          <w:tcPr>
            <w:tcW w:w="7803" w:type="dxa"/>
            <w:gridSpan w:val="5"/>
            <w:tcBorders>
              <w:tl2br w:val="nil"/>
              <w:tr2bl w:val="nil"/>
            </w:tcBorders>
            <w:shd w:val="clear" w:color="auto" w:fill="auto"/>
            <w:noWrap/>
            <w:vAlign w:val="center"/>
          </w:tcPr>
          <w:p w14:paraId="642EB011">
            <w:pPr>
              <w:keepNext w:val="0"/>
              <w:keepLines w:val="0"/>
              <w:widowControl/>
              <w:suppressLineNumbers w:val="0"/>
              <w:jc w:val="left"/>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①日常营运过程中应注意原料、危险废物等包装的完好性和密封性，降低其转运、贮存过程发生泄漏的隐患；</w:t>
            </w:r>
          </w:p>
          <w:p w14:paraId="5B0BA935">
            <w:pPr>
              <w:keepNext w:val="0"/>
              <w:keepLines w:val="0"/>
              <w:widowControl/>
              <w:suppressLineNumbers w:val="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②整个厂区地面进行硬化处理，按照防渗标准要求设置防渗区，建立防渗设施的检漏系统，防止污染物的跑、冒、滴、漏，将污染物泄漏的环境风险事故降到最低限度。</w:t>
            </w:r>
          </w:p>
        </w:tc>
      </w:tr>
      <w:tr w14:paraId="501B243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12" w:hRule="atLeast"/>
        </w:trPr>
        <w:tc>
          <w:tcPr>
            <w:tcW w:w="1161" w:type="dxa"/>
            <w:tcBorders>
              <w:tl2br w:val="nil"/>
              <w:tr2bl w:val="nil"/>
            </w:tcBorders>
            <w:shd w:val="clear" w:color="auto" w:fill="auto"/>
            <w:noWrap/>
            <w:vAlign w:val="center"/>
          </w:tcPr>
          <w:p w14:paraId="6F7C6EF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环境风险防范</w:t>
            </w:r>
          </w:p>
        </w:tc>
        <w:tc>
          <w:tcPr>
            <w:tcW w:w="7803" w:type="dxa"/>
            <w:gridSpan w:val="5"/>
            <w:tcBorders>
              <w:tl2br w:val="nil"/>
              <w:tr2bl w:val="nil"/>
            </w:tcBorders>
            <w:shd w:val="clear" w:color="auto" w:fill="auto"/>
            <w:noWrap/>
            <w:vAlign w:val="center"/>
          </w:tcPr>
          <w:p w14:paraId="05583043">
            <w:pPr>
              <w:keepNext w:val="0"/>
              <w:keepLines w:val="0"/>
              <w:widowControl/>
              <w:suppressLineNumbers w:val="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加大安全、环保设施的投入，在强化安全、环保教育，提高安全、环保意识的同时，企业保证预警、监控设施到位，配备救护设备；</w:t>
            </w:r>
            <w:r>
              <w:rPr>
                <w:rFonts w:hint="eastAsia" w:cs="Times New Roman"/>
                <w:i w:val="0"/>
                <w:iCs w:val="0"/>
                <w:color w:val="auto"/>
                <w:kern w:val="0"/>
                <w:sz w:val="21"/>
                <w:szCs w:val="21"/>
                <w:highlight w:val="none"/>
                <w:u w:val="none"/>
                <w:lang w:val="en-US" w:eastAsia="zh-CN" w:bidi="ar"/>
              </w:rPr>
              <w:t>企业应</w:t>
            </w:r>
            <w:r>
              <w:rPr>
                <w:rFonts w:hint="default" w:ascii="Times New Roman" w:hAnsi="Times New Roman" w:eastAsia="宋体" w:cs="Times New Roman"/>
                <w:i w:val="0"/>
                <w:iCs w:val="0"/>
                <w:color w:val="auto"/>
                <w:kern w:val="0"/>
                <w:sz w:val="21"/>
                <w:szCs w:val="21"/>
                <w:highlight w:val="none"/>
                <w:u w:val="none"/>
                <w:lang w:val="en-US" w:eastAsia="zh-CN" w:bidi="ar"/>
              </w:rPr>
              <w:t>按照国家、地方和相关部门的要求，根据实际情况，不断充实和完善应急措施，并定期组织演练。</w:t>
            </w:r>
          </w:p>
        </w:tc>
      </w:tr>
      <w:tr w14:paraId="6E70F35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12" w:hRule="atLeast"/>
        </w:trPr>
        <w:tc>
          <w:tcPr>
            <w:tcW w:w="1161" w:type="dxa"/>
            <w:tcBorders>
              <w:tl2br w:val="nil"/>
              <w:tr2bl w:val="nil"/>
            </w:tcBorders>
            <w:shd w:val="clear" w:color="auto" w:fill="auto"/>
            <w:noWrap/>
            <w:vAlign w:val="center"/>
          </w:tcPr>
          <w:p w14:paraId="10E20AF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生态保护措施</w:t>
            </w:r>
          </w:p>
        </w:tc>
        <w:tc>
          <w:tcPr>
            <w:tcW w:w="7803" w:type="dxa"/>
            <w:gridSpan w:val="5"/>
            <w:tcBorders>
              <w:tl2br w:val="nil"/>
              <w:tr2bl w:val="nil"/>
            </w:tcBorders>
            <w:shd w:val="clear" w:color="auto" w:fill="auto"/>
            <w:noWrap/>
            <w:vAlign w:val="center"/>
          </w:tcPr>
          <w:p w14:paraId="43032DAE">
            <w:pPr>
              <w:keepNext w:val="0"/>
              <w:keepLines w:val="0"/>
              <w:widowControl/>
              <w:suppressLineNumbers w:val="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无</w:t>
            </w:r>
          </w:p>
        </w:tc>
      </w:tr>
      <w:tr w14:paraId="65FA134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12" w:hRule="atLeast"/>
        </w:trPr>
        <w:tc>
          <w:tcPr>
            <w:tcW w:w="1161" w:type="dxa"/>
            <w:tcBorders>
              <w:tl2br w:val="nil"/>
              <w:tr2bl w:val="nil"/>
            </w:tcBorders>
            <w:shd w:val="clear" w:color="auto" w:fill="auto"/>
            <w:noWrap/>
            <w:vAlign w:val="center"/>
          </w:tcPr>
          <w:p w14:paraId="44EEF0F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其他环境管理要求</w:t>
            </w:r>
          </w:p>
        </w:tc>
        <w:tc>
          <w:tcPr>
            <w:tcW w:w="7803" w:type="dxa"/>
            <w:gridSpan w:val="5"/>
            <w:tcBorders>
              <w:tl2br w:val="nil"/>
              <w:tr2bl w:val="nil"/>
            </w:tcBorders>
            <w:shd w:val="clear" w:color="auto" w:fill="auto"/>
            <w:noWrap/>
            <w:vAlign w:val="center"/>
          </w:tcPr>
          <w:p w14:paraId="4FF516CC">
            <w:pPr>
              <w:keepNext w:val="0"/>
              <w:keepLines w:val="0"/>
              <w:widowControl/>
              <w:suppressLineNumbers w:val="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1、竣工环境保护验收</w:t>
            </w:r>
            <w:r>
              <w:rPr>
                <w:rFonts w:hint="default" w:ascii="Times New Roman" w:hAnsi="Times New Roman" w:eastAsia="宋体" w:cs="Times New Roman"/>
                <w:i w:val="0"/>
                <w:iCs w:val="0"/>
                <w:color w:val="auto"/>
                <w:kern w:val="0"/>
                <w:sz w:val="21"/>
                <w:szCs w:val="21"/>
                <w:highlight w:val="none"/>
                <w:u w:val="none"/>
                <w:lang w:val="en-US" w:eastAsia="zh-CN" w:bidi="ar"/>
              </w:rPr>
              <w:br w:type="textWrapping"/>
            </w:r>
            <w:r>
              <w:rPr>
                <w:rFonts w:hint="default" w:ascii="Times New Roman" w:hAnsi="Times New Roman" w:eastAsia="宋体" w:cs="Times New Roman"/>
                <w:i w:val="0"/>
                <w:iCs w:val="0"/>
                <w:color w:val="auto"/>
                <w:kern w:val="0"/>
                <w:sz w:val="21"/>
                <w:szCs w:val="21"/>
                <w:highlight w:val="none"/>
                <w:u w:val="none"/>
                <w:lang w:val="en-US" w:eastAsia="zh-CN" w:bidi="ar"/>
              </w:rPr>
              <w:t>根据《建设项目环境保护管理条例》和《建设项目竣工环境保护验收暂行办法》，本项目建设完成后需由企业组织对配套建设的环保设施进行自主验收，编制验收报告，公开相关信息，接受社会监督，确保建设项目需要配套建设的环保设施与主体工程同时投产或者使用，并对验收内容、结论和所公开信息的真实性、准确性和完整性负责，不得在验收过程中弄虚作假。</w:t>
            </w:r>
            <w:r>
              <w:rPr>
                <w:rFonts w:hint="default" w:ascii="Times New Roman" w:hAnsi="Times New Roman" w:eastAsia="宋体" w:cs="Times New Roman"/>
                <w:i w:val="0"/>
                <w:iCs w:val="0"/>
                <w:color w:val="auto"/>
                <w:kern w:val="0"/>
                <w:sz w:val="21"/>
                <w:szCs w:val="21"/>
                <w:highlight w:val="none"/>
                <w:u w:val="none"/>
                <w:lang w:val="en-US" w:eastAsia="zh-CN" w:bidi="ar"/>
              </w:rPr>
              <w:br w:type="textWrapping"/>
            </w:r>
            <w:r>
              <w:rPr>
                <w:rFonts w:hint="default" w:ascii="Times New Roman" w:hAnsi="Times New Roman" w:eastAsia="宋体" w:cs="Times New Roman"/>
                <w:i w:val="0"/>
                <w:iCs w:val="0"/>
                <w:color w:val="auto"/>
                <w:kern w:val="0"/>
                <w:sz w:val="21"/>
                <w:szCs w:val="21"/>
                <w:highlight w:val="none"/>
                <w:u w:val="none"/>
                <w:lang w:val="en-US" w:eastAsia="zh-CN" w:bidi="ar"/>
              </w:rPr>
              <w:t>2、排污许可证管理</w:t>
            </w:r>
            <w:r>
              <w:rPr>
                <w:rFonts w:hint="default" w:ascii="Times New Roman" w:hAnsi="Times New Roman" w:eastAsia="宋体" w:cs="Times New Roman"/>
                <w:i w:val="0"/>
                <w:iCs w:val="0"/>
                <w:color w:val="auto"/>
                <w:kern w:val="0"/>
                <w:sz w:val="21"/>
                <w:szCs w:val="21"/>
                <w:highlight w:val="none"/>
                <w:u w:val="none"/>
                <w:lang w:val="en-US" w:eastAsia="zh-CN" w:bidi="ar"/>
              </w:rPr>
              <w:br w:type="textWrapping"/>
            </w:r>
            <w:r>
              <w:rPr>
                <w:rFonts w:hint="default" w:ascii="Times New Roman" w:hAnsi="Times New Roman" w:eastAsia="宋体" w:cs="Times New Roman"/>
                <w:i w:val="0"/>
                <w:iCs w:val="0"/>
                <w:color w:val="auto"/>
                <w:kern w:val="0"/>
                <w:sz w:val="21"/>
                <w:szCs w:val="21"/>
                <w:highlight w:val="none"/>
                <w:u w:val="none"/>
                <w:lang w:val="en-US" w:eastAsia="zh-CN" w:bidi="ar"/>
              </w:rPr>
              <w:t>本项目主要从事实验室研发，不涉及通用工序，根据《固定污染源排污许可分类管理名录（2019年版）》，不纳入排污许可管理。</w:t>
            </w:r>
            <w:r>
              <w:rPr>
                <w:rFonts w:hint="default" w:ascii="Times New Roman" w:hAnsi="Times New Roman" w:eastAsia="宋体" w:cs="Times New Roman"/>
                <w:i w:val="0"/>
                <w:iCs w:val="0"/>
                <w:color w:val="auto"/>
                <w:kern w:val="0"/>
                <w:sz w:val="21"/>
                <w:szCs w:val="21"/>
                <w:highlight w:val="none"/>
                <w:u w:val="none"/>
                <w:lang w:val="en-US" w:eastAsia="zh-CN" w:bidi="ar"/>
              </w:rPr>
              <w:br w:type="textWrapping"/>
            </w:r>
            <w:r>
              <w:rPr>
                <w:rFonts w:hint="default" w:ascii="Times New Roman" w:hAnsi="Times New Roman" w:eastAsia="宋体" w:cs="Times New Roman"/>
                <w:i w:val="0"/>
                <w:iCs w:val="0"/>
                <w:color w:val="auto"/>
                <w:kern w:val="0"/>
                <w:sz w:val="21"/>
                <w:szCs w:val="21"/>
                <w:highlight w:val="none"/>
                <w:u w:val="none"/>
                <w:lang w:val="en-US" w:eastAsia="zh-CN" w:bidi="ar"/>
              </w:rPr>
              <w:t>3、日常管理</w:t>
            </w:r>
            <w:r>
              <w:rPr>
                <w:rFonts w:hint="default" w:ascii="Times New Roman" w:hAnsi="Times New Roman" w:eastAsia="宋体" w:cs="Times New Roman"/>
                <w:i w:val="0"/>
                <w:iCs w:val="0"/>
                <w:color w:val="auto"/>
                <w:kern w:val="0"/>
                <w:sz w:val="21"/>
                <w:szCs w:val="21"/>
                <w:highlight w:val="none"/>
                <w:u w:val="none"/>
                <w:lang w:val="en-US" w:eastAsia="zh-CN" w:bidi="ar"/>
              </w:rPr>
              <w:br w:type="textWrapping"/>
            </w:r>
            <w:r>
              <w:rPr>
                <w:rFonts w:hint="default" w:ascii="Times New Roman" w:hAnsi="Times New Roman" w:eastAsia="宋体" w:cs="Times New Roman"/>
                <w:i w:val="0"/>
                <w:iCs w:val="0"/>
                <w:color w:val="auto"/>
                <w:kern w:val="0"/>
                <w:sz w:val="21"/>
                <w:szCs w:val="21"/>
                <w:highlight w:val="none"/>
                <w:u w:val="none"/>
                <w:lang w:val="en-US" w:eastAsia="zh-CN" w:bidi="ar"/>
              </w:rPr>
              <w:t>①新增废气排气筒应设置规范化的标志牌和采样孔、检测平台；</w:t>
            </w:r>
            <w:r>
              <w:rPr>
                <w:rFonts w:hint="default" w:ascii="Times New Roman" w:hAnsi="Times New Roman" w:eastAsia="宋体" w:cs="Times New Roman"/>
                <w:i w:val="0"/>
                <w:iCs w:val="0"/>
                <w:color w:val="auto"/>
                <w:kern w:val="0"/>
                <w:sz w:val="21"/>
                <w:szCs w:val="21"/>
                <w:highlight w:val="none"/>
                <w:u w:val="none"/>
                <w:lang w:val="en-US" w:eastAsia="zh-CN" w:bidi="ar"/>
              </w:rPr>
              <w:br w:type="textWrapping"/>
            </w:r>
            <w:r>
              <w:rPr>
                <w:rFonts w:hint="default" w:ascii="Times New Roman" w:hAnsi="Times New Roman" w:eastAsia="宋体" w:cs="Times New Roman"/>
                <w:i w:val="0"/>
                <w:iCs w:val="0"/>
                <w:color w:val="auto"/>
                <w:kern w:val="0"/>
                <w:sz w:val="21"/>
                <w:szCs w:val="21"/>
                <w:highlight w:val="none"/>
                <w:u w:val="none"/>
                <w:lang w:val="en-US" w:eastAsia="zh-CN" w:bidi="ar"/>
              </w:rPr>
              <w:t>②落实监测监控制度，按照监测要求开展废水、废气、噪声监测；</w:t>
            </w:r>
            <w:r>
              <w:rPr>
                <w:rFonts w:hint="default" w:ascii="Times New Roman" w:hAnsi="Times New Roman" w:eastAsia="宋体" w:cs="Times New Roman"/>
                <w:i w:val="0"/>
                <w:iCs w:val="0"/>
                <w:color w:val="auto"/>
                <w:kern w:val="0"/>
                <w:sz w:val="21"/>
                <w:szCs w:val="21"/>
                <w:highlight w:val="none"/>
                <w:u w:val="none"/>
                <w:lang w:val="en-US" w:eastAsia="zh-CN" w:bidi="ar"/>
              </w:rPr>
              <w:br w:type="textWrapping"/>
            </w:r>
            <w:r>
              <w:rPr>
                <w:rFonts w:hint="default" w:ascii="Times New Roman" w:hAnsi="Times New Roman" w:eastAsia="宋体" w:cs="Times New Roman"/>
                <w:i w:val="0"/>
                <w:iCs w:val="0"/>
                <w:color w:val="auto"/>
                <w:kern w:val="0"/>
                <w:sz w:val="21"/>
                <w:szCs w:val="21"/>
                <w:highlight w:val="none"/>
                <w:u w:val="none"/>
                <w:lang w:val="en-US" w:eastAsia="zh-CN" w:bidi="ar"/>
              </w:rPr>
              <w:t>③应建立环境管理台账制度，设置专人开展台账记录、整理、维护等管理工作，包括污染治理设施运行管理信息、危险废物管理信息、监测记录信息等。台账记录频次和内容须满足排污许可证环境管理要求，台账保存期限不得少于5年。</w:t>
            </w:r>
          </w:p>
        </w:tc>
      </w:tr>
    </w:tbl>
    <w:p w14:paraId="4E683E97">
      <w:pPr>
        <w:pStyle w:val="20"/>
        <w:jc w:val="left"/>
        <w:outlineLvl w:val="9"/>
        <w:rPr>
          <w:rFonts w:hint="default" w:ascii="Times New Roman" w:hAnsi="Times New Roman" w:cs="Times New Roman"/>
          <w:snapToGrid w:val="0"/>
          <w:color w:val="auto"/>
          <w:sz w:val="21"/>
          <w:szCs w:val="21"/>
          <w:highlight w:val="none"/>
        </w:rPr>
      </w:pPr>
    </w:p>
    <w:p w14:paraId="042548AD">
      <w:pPr>
        <w:pStyle w:val="20"/>
        <w:jc w:val="both"/>
        <w:outlineLvl w:val="0"/>
        <w:rPr>
          <w:rFonts w:ascii="Times New Roman" w:hAnsi="Times New Roman" w:eastAsia="黑体"/>
          <w:snapToGrid w:val="0"/>
          <w:color w:val="auto"/>
          <w:sz w:val="30"/>
          <w:szCs w:val="30"/>
          <w:highlight w:val="none"/>
        </w:rPr>
      </w:pPr>
      <w:r>
        <w:rPr>
          <w:rFonts w:ascii="Times New Roman" w:hAnsi="Times New Roman"/>
          <w:snapToGrid w:val="0"/>
          <w:color w:val="auto"/>
          <w:highlight w:val="none"/>
        </w:rPr>
        <w:br w:type="page"/>
      </w:r>
      <w:bookmarkStart w:id="57" w:name="_Toc23291"/>
      <w:bookmarkStart w:id="58" w:name="_Toc9762"/>
      <w:bookmarkStart w:id="59" w:name="_Toc12233"/>
      <w:bookmarkStart w:id="60" w:name="_Toc6124"/>
      <w:bookmarkStart w:id="61" w:name="_Toc32065"/>
      <w:r>
        <w:rPr>
          <w:rFonts w:ascii="Times New Roman" w:hAnsi="Times New Roman" w:eastAsia="黑体"/>
          <w:snapToGrid w:val="0"/>
          <w:color w:val="auto"/>
          <w:sz w:val="30"/>
          <w:szCs w:val="30"/>
          <w:highlight w:val="none"/>
        </w:rPr>
        <w:t>六、结论</w:t>
      </w:r>
      <w:bookmarkEnd w:id="57"/>
      <w:bookmarkEnd w:id="58"/>
      <w:bookmarkEnd w:id="59"/>
      <w:bookmarkEnd w:id="60"/>
      <w:bookmarkEnd w:id="61"/>
    </w:p>
    <w:tbl>
      <w:tblPr>
        <w:tblStyle w:val="24"/>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865"/>
      </w:tblGrid>
      <w:tr w14:paraId="7D1E287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991" w:hRule="atLeast"/>
          <w:jc w:val="center"/>
        </w:trPr>
        <w:tc>
          <w:tcPr>
            <w:tcW w:w="8865" w:type="dxa"/>
          </w:tcPr>
          <w:p w14:paraId="32C3BF54">
            <w:pPr>
              <w:spacing w:line="360" w:lineRule="auto"/>
              <w:ind w:firstLine="420" w:firstLineChars="200"/>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highlight w:val="none"/>
                <w:lang w:val="en-US" w:eastAsia="zh-CN"/>
              </w:rPr>
              <w:t>浙江聚思创能新材料有限公司</w:t>
            </w:r>
            <w:r>
              <w:rPr>
                <w:rFonts w:hint="default" w:ascii="Times New Roman" w:hAnsi="Times New Roman" w:eastAsia="宋体" w:cs="Times New Roman"/>
                <w:color w:val="auto"/>
                <w:szCs w:val="21"/>
                <w:highlight w:val="none"/>
              </w:rPr>
              <w:t>租用浙江东恒肽康医药有限公司现有厂房（位于仁和街道獐山北路9号东恒肽康医药园6幢9楼）</w:t>
            </w:r>
            <w:r>
              <w:rPr>
                <w:rFonts w:hint="default" w:ascii="Times New Roman" w:hAnsi="Times New Roman" w:eastAsia="宋体" w:cs="Times New Roman"/>
                <w:color w:val="auto"/>
                <w:szCs w:val="21"/>
                <w:highlight w:val="none"/>
                <w:lang w:val="en-US" w:eastAsia="zh-CN"/>
              </w:rPr>
              <w:t>进行研发项目，不新增土地。</w:t>
            </w:r>
          </w:p>
          <w:p w14:paraId="1624EAB1">
            <w:pPr>
              <w:spacing w:line="360" w:lineRule="auto"/>
              <w:ind w:firstLine="420" w:firstLineChars="200"/>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color w:val="auto"/>
                <w:highlight w:val="none"/>
              </w:rPr>
              <w:t>综合分析，项目选址符合</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杭州市生态环境分区管控动态更新方案</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要求</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sz w:val="21"/>
                <w:szCs w:val="21"/>
                <w:highlight w:val="none"/>
              </w:rPr>
              <w:t>项目经采取环评提出的各项环保措施后，</w:t>
            </w:r>
            <w:r>
              <w:rPr>
                <w:rFonts w:hint="default" w:ascii="Times New Roman" w:hAnsi="Times New Roman" w:eastAsia="宋体" w:cs="Times New Roman"/>
                <w:bCs/>
                <w:color w:val="auto"/>
                <w:sz w:val="21"/>
                <w:szCs w:val="21"/>
                <w:highlight w:val="none"/>
              </w:rPr>
              <w:t>排放的污染物符合国家、省规定的污染物排放相应标准，符合总量控制指标要求；</w:t>
            </w:r>
            <w:r>
              <w:rPr>
                <w:rFonts w:hint="default" w:ascii="Times New Roman" w:hAnsi="Times New Roman" w:eastAsia="宋体" w:cs="Times New Roman"/>
                <w:color w:val="auto"/>
                <w:sz w:val="21"/>
                <w:szCs w:val="21"/>
                <w:highlight w:val="none"/>
              </w:rPr>
              <w:t>符合国家和地方产业政策以及区域规划等要求。企业采取必要的风险防范对策和应急措施后，项目环境风险能够控制在可接受范围内</w:t>
            </w:r>
            <w:r>
              <w:rPr>
                <w:rFonts w:hint="default" w:ascii="Times New Roman" w:hAnsi="Times New Roman" w:eastAsia="宋体" w:cs="Times New Roman"/>
                <w:bCs/>
                <w:color w:val="auto"/>
                <w:sz w:val="21"/>
                <w:szCs w:val="21"/>
                <w:highlight w:val="none"/>
              </w:rPr>
              <w:t>。</w:t>
            </w:r>
          </w:p>
          <w:p w14:paraId="567FBA62">
            <w:pPr>
              <w:spacing w:line="360" w:lineRule="auto"/>
              <w:ind w:firstLine="420" w:firstLineChars="200"/>
              <w:rPr>
                <w:rFonts w:hint="default" w:eastAsia="宋体"/>
                <w:color w:val="auto"/>
                <w:sz w:val="24"/>
                <w:highlight w:val="none"/>
                <w:lang w:val="en-US" w:eastAsia="zh-CN"/>
              </w:rPr>
            </w:pPr>
            <w:r>
              <w:rPr>
                <w:rFonts w:hint="default" w:ascii="Times New Roman" w:hAnsi="Times New Roman" w:eastAsia="宋体" w:cs="Times New Roman"/>
                <w:color w:val="auto"/>
                <w:sz w:val="21"/>
                <w:szCs w:val="21"/>
                <w:highlight w:val="none"/>
              </w:rPr>
              <w:t>从环保审批原则及建设项目其他要求符合性的角度分析，</w:t>
            </w:r>
            <w:r>
              <w:rPr>
                <w:rFonts w:hint="default" w:ascii="Times New Roman" w:hAnsi="Times New Roman" w:cs="Times New Roman"/>
                <w:color w:val="auto"/>
                <w:sz w:val="21"/>
                <w:szCs w:val="21"/>
                <w:highlight w:val="none"/>
                <w:lang w:val="en-US" w:eastAsia="zh-CN"/>
              </w:rPr>
              <w:t>在全面落实本报告提出的各项污染防治措施、风险防范措施，并确保污染物稳定达标排放的前提下，从环境保护的角度看，</w:t>
            </w:r>
            <w:r>
              <w:rPr>
                <w:rFonts w:hint="default" w:ascii="Times New Roman" w:hAnsi="Times New Roman" w:eastAsia="宋体" w:cs="Times New Roman"/>
                <w:color w:val="auto"/>
                <w:sz w:val="21"/>
                <w:szCs w:val="21"/>
                <w:highlight w:val="none"/>
              </w:rPr>
              <w:t>项目在建设地点实施是可行的</w:t>
            </w:r>
            <w:r>
              <w:rPr>
                <w:rFonts w:hint="default" w:ascii="Times New Roman" w:hAnsi="Times New Roman" w:eastAsia="宋体" w:cs="Times New Roman"/>
                <w:color w:val="auto"/>
                <w:sz w:val="18"/>
                <w:szCs w:val="18"/>
                <w:highlight w:val="none"/>
              </w:rPr>
              <w:t>。</w:t>
            </w:r>
          </w:p>
        </w:tc>
      </w:tr>
    </w:tbl>
    <w:p w14:paraId="2E06D9E1">
      <w:pPr>
        <w:pStyle w:val="20"/>
        <w:adjustRightInd w:val="0"/>
        <w:snapToGrid w:val="0"/>
        <w:spacing w:before="0" w:beforeAutospacing="0" w:after="0" w:afterAutospacing="0" w:line="648" w:lineRule="auto"/>
        <w:outlineLvl w:val="0"/>
        <w:rPr>
          <w:rFonts w:ascii="Times New Roman" w:hAnsi="Times New Roman" w:eastAsia="黑体" w:cs="Times New Roman"/>
          <w:snapToGrid w:val="0"/>
          <w:color w:val="auto"/>
          <w:sz w:val="32"/>
          <w:szCs w:val="32"/>
          <w:highlight w:val="none"/>
        </w:rPr>
        <w:sectPr>
          <w:pgSz w:w="11906" w:h="16838"/>
          <w:pgMar w:top="1701" w:right="1531" w:bottom="1701" w:left="1531" w:header="851" w:footer="851" w:gutter="0"/>
          <w:pgBorders>
            <w:top w:val="none" w:sz="0" w:space="0"/>
            <w:left w:val="none" w:sz="0" w:space="0"/>
            <w:bottom w:val="none" w:sz="0" w:space="0"/>
            <w:right w:val="none" w:sz="0" w:space="0"/>
          </w:pgBorders>
          <w:cols w:space="720" w:num="1"/>
          <w:docGrid w:linePitch="312" w:charSpace="0"/>
        </w:sectPr>
      </w:pPr>
      <w:bookmarkStart w:id="62" w:name="_Toc21914"/>
      <w:bookmarkStart w:id="63" w:name="_Toc21238"/>
      <w:bookmarkStart w:id="64" w:name="_Toc15836"/>
      <w:bookmarkStart w:id="65" w:name="_Toc16048"/>
    </w:p>
    <w:p w14:paraId="6EE57E92">
      <w:pPr>
        <w:pStyle w:val="20"/>
        <w:keepNext w:val="0"/>
        <w:keepLines w:val="0"/>
        <w:pageBreakBefore w:val="0"/>
        <w:widowControl/>
        <w:kinsoku/>
        <w:wordWrap/>
        <w:overflowPunct/>
        <w:topLinePunct w:val="0"/>
        <w:autoSpaceDE/>
        <w:autoSpaceDN/>
        <w:bidi w:val="0"/>
        <w:adjustRightInd w:val="0"/>
        <w:snapToGrid w:val="0"/>
        <w:spacing w:before="0" w:beforeAutospacing="0" w:after="0" w:afterAutospacing="0" w:line="480" w:lineRule="auto"/>
        <w:textAlignment w:val="auto"/>
        <w:outlineLvl w:val="0"/>
        <w:rPr>
          <w:rFonts w:ascii="Times New Roman" w:hAnsi="Times New Roman" w:eastAsia="黑体"/>
          <w:snapToGrid w:val="0"/>
          <w:color w:val="auto"/>
          <w:sz w:val="32"/>
          <w:szCs w:val="32"/>
          <w:highlight w:val="none"/>
        </w:rPr>
      </w:pPr>
      <w:bookmarkStart w:id="66" w:name="_Toc515"/>
      <w:r>
        <w:rPr>
          <w:rFonts w:ascii="Times New Roman" w:hAnsi="Times New Roman" w:eastAsia="黑体"/>
          <w:snapToGrid w:val="0"/>
          <w:color w:val="auto"/>
          <w:sz w:val="32"/>
          <w:szCs w:val="32"/>
          <w:highlight w:val="none"/>
        </w:rPr>
        <w:t>附表</w:t>
      </w:r>
      <w:bookmarkEnd w:id="62"/>
      <w:bookmarkEnd w:id="63"/>
      <w:bookmarkEnd w:id="64"/>
      <w:bookmarkEnd w:id="65"/>
      <w:bookmarkEnd w:id="66"/>
    </w:p>
    <w:p w14:paraId="75359016">
      <w:pPr>
        <w:pStyle w:val="20"/>
        <w:keepNext w:val="0"/>
        <w:keepLines w:val="0"/>
        <w:pageBreakBefore w:val="0"/>
        <w:widowControl/>
        <w:kinsoku/>
        <w:wordWrap/>
        <w:overflowPunct/>
        <w:topLinePunct w:val="0"/>
        <w:autoSpaceDE/>
        <w:autoSpaceDN/>
        <w:bidi w:val="0"/>
        <w:adjustRightInd w:val="0"/>
        <w:snapToGrid w:val="0"/>
        <w:spacing w:before="0" w:beforeAutospacing="0" w:after="0" w:afterAutospacing="0" w:line="360" w:lineRule="auto"/>
        <w:jc w:val="center"/>
        <w:textAlignment w:val="auto"/>
        <w:outlineLvl w:val="9"/>
        <w:rPr>
          <w:rFonts w:hint="default" w:ascii="Times New Roman" w:hAnsi="Times New Roman" w:eastAsia="黑体" w:cs="Times New Roman"/>
          <w:snapToGrid w:val="0"/>
          <w:color w:val="auto"/>
          <w:sz w:val="24"/>
          <w:szCs w:val="24"/>
          <w:highlight w:val="none"/>
          <w:lang w:val="en-US" w:eastAsia="zh-CN"/>
        </w:rPr>
      </w:pPr>
      <w:bookmarkStart w:id="67" w:name="_Toc2522"/>
      <w:bookmarkStart w:id="68" w:name="_Toc23033"/>
      <w:bookmarkStart w:id="69" w:name="_Toc20676"/>
      <w:bookmarkStart w:id="70" w:name="_Toc12464"/>
      <w:bookmarkStart w:id="71" w:name="_Toc236"/>
      <w:r>
        <w:rPr>
          <w:rFonts w:hint="default" w:ascii="Times New Roman" w:hAnsi="Times New Roman" w:eastAsia="黑体" w:cs="Times New Roman"/>
          <w:snapToGrid w:val="0"/>
          <w:color w:val="auto"/>
          <w:sz w:val="24"/>
          <w:szCs w:val="24"/>
          <w:highlight w:val="none"/>
        </w:rPr>
        <w:t>建设项目污染物排放量汇总表</w:t>
      </w:r>
      <w:bookmarkEnd w:id="67"/>
      <w:bookmarkEnd w:id="68"/>
      <w:bookmarkEnd w:id="69"/>
      <w:bookmarkEnd w:id="70"/>
      <w:bookmarkEnd w:id="71"/>
      <w:r>
        <w:rPr>
          <w:rFonts w:hint="default" w:ascii="Times New Roman" w:hAnsi="Times New Roman" w:eastAsia="黑体" w:cs="Times New Roman"/>
          <w:color w:val="auto"/>
          <w:sz w:val="24"/>
          <w:szCs w:val="24"/>
          <w:highlight w:val="none"/>
          <w:lang w:val="en-US" w:eastAsia="zh-CN"/>
        </w:rPr>
        <w:t xml:space="preserve">  单位：</w:t>
      </w:r>
      <w:r>
        <w:rPr>
          <w:rFonts w:hint="eastAsia" w:ascii="Times New Roman" w:hAnsi="Times New Roman" w:eastAsia="黑体" w:cs="Times New Roman"/>
          <w:color w:val="auto"/>
          <w:sz w:val="24"/>
          <w:szCs w:val="24"/>
          <w:highlight w:val="none"/>
          <w:lang w:val="en-US" w:eastAsia="zh-CN"/>
        </w:rPr>
        <w:t>t</w:t>
      </w:r>
      <w:r>
        <w:rPr>
          <w:rFonts w:hint="default" w:ascii="Times New Roman" w:hAnsi="Times New Roman" w:eastAsia="黑体" w:cs="Times New Roman"/>
          <w:color w:val="auto"/>
          <w:sz w:val="24"/>
          <w:szCs w:val="24"/>
          <w:highlight w:val="none"/>
          <w:lang w:val="en-US" w:eastAsia="zh-CN"/>
        </w:rPr>
        <w:t>/a</w:t>
      </w:r>
    </w:p>
    <w:tbl>
      <w:tblPr>
        <w:tblStyle w:val="24"/>
        <w:tblW w:w="4998" w:type="pct"/>
        <w:tblInd w:w="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Layout w:type="autofit"/>
        <w:tblCellMar>
          <w:top w:w="0" w:type="dxa"/>
          <w:left w:w="108" w:type="dxa"/>
          <w:bottom w:w="0" w:type="dxa"/>
          <w:right w:w="108" w:type="dxa"/>
        </w:tblCellMar>
      </w:tblPr>
      <w:tblGrid>
        <w:gridCol w:w="1776"/>
        <w:gridCol w:w="2367"/>
        <w:gridCol w:w="1312"/>
        <w:gridCol w:w="1312"/>
        <w:gridCol w:w="1312"/>
        <w:gridCol w:w="1312"/>
        <w:gridCol w:w="1312"/>
        <w:gridCol w:w="1345"/>
        <w:gridCol w:w="1353"/>
      </w:tblGrid>
      <w:tr w14:paraId="7B89DDD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3" w:hRule="atLeast"/>
        </w:trPr>
        <w:tc>
          <w:tcPr>
            <w:tcW w:w="665" w:type="pct"/>
            <w:tcBorders>
              <w:tl2br w:val="nil"/>
              <w:tr2bl w:val="nil"/>
            </w:tcBorders>
            <w:shd w:val="clear" w:color="auto" w:fill="auto"/>
            <w:vAlign w:val="center"/>
          </w:tcPr>
          <w:p w14:paraId="36334647">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分类/项目</w:t>
            </w:r>
          </w:p>
        </w:tc>
        <w:tc>
          <w:tcPr>
            <w:tcW w:w="885" w:type="pct"/>
            <w:tcBorders>
              <w:tl2br w:val="nil"/>
              <w:tr2bl w:val="nil"/>
            </w:tcBorders>
            <w:shd w:val="clear" w:color="auto" w:fill="auto"/>
            <w:vAlign w:val="center"/>
          </w:tcPr>
          <w:p w14:paraId="68AF60F9">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污染物名称</w:t>
            </w:r>
          </w:p>
        </w:tc>
        <w:tc>
          <w:tcPr>
            <w:tcW w:w="492" w:type="pct"/>
            <w:tcBorders>
              <w:tl2br w:val="nil"/>
              <w:tr2bl w:val="nil"/>
            </w:tcBorders>
            <w:shd w:val="clear" w:color="auto" w:fill="auto"/>
            <w:vAlign w:val="center"/>
          </w:tcPr>
          <w:p w14:paraId="0E974935">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现有工程排放量（固体废物产生量）①</w:t>
            </w:r>
          </w:p>
        </w:tc>
        <w:tc>
          <w:tcPr>
            <w:tcW w:w="492" w:type="pct"/>
            <w:tcBorders>
              <w:tl2br w:val="nil"/>
              <w:tr2bl w:val="nil"/>
            </w:tcBorders>
            <w:shd w:val="clear" w:color="auto" w:fill="auto"/>
            <w:vAlign w:val="center"/>
          </w:tcPr>
          <w:p w14:paraId="6E198670">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现有工程许可排放量②</w:t>
            </w:r>
          </w:p>
        </w:tc>
        <w:tc>
          <w:tcPr>
            <w:tcW w:w="492" w:type="pct"/>
            <w:tcBorders>
              <w:tl2br w:val="nil"/>
              <w:tr2bl w:val="nil"/>
            </w:tcBorders>
            <w:shd w:val="clear" w:color="auto" w:fill="auto"/>
            <w:vAlign w:val="center"/>
          </w:tcPr>
          <w:p w14:paraId="3B37910B">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在建工程排放量（固体废物产生量）③</w:t>
            </w:r>
          </w:p>
        </w:tc>
        <w:tc>
          <w:tcPr>
            <w:tcW w:w="492" w:type="pct"/>
            <w:tcBorders>
              <w:tl2br w:val="nil"/>
              <w:tr2bl w:val="nil"/>
            </w:tcBorders>
            <w:shd w:val="clear" w:color="auto" w:fill="auto"/>
            <w:vAlign w:val="center"/>
          </w:tcPr>
          <w:p w14:paraId="1A181D6A">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本项目排放量（固体废物产生量）④</w:t>
            </w:r>
          </w:p>
        </w:tc>
        <w:tc>
          <w:tcPr>
            <w:tcW w:w="492" w:type="pct"/>
            <w:tcBorders>
              <w:tl2br w:val="nil"/>
              <w:tr2bl w:val="nil"/>
            </w:tcBorders>
            <w:shd w:val="clear" w:color="auto" w:fill="auto"/>
            <w:vAlign w:val="center"/>
          </w:tcPr>
          <w:p w14:paraId="61546B8C">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以新带老削减量（新建项目不填）⑤</w:t>
            </w:r>
          </w:p>
        </w:tc>
        <w:tc>
          <w:tcPr>
            <w:tcW w:w="492" w:type="pct"/>
            <w:tcBorders>
              <w:tl2br w:val="nil"/>
              <w:tr2bl w:val="nil"/>
            </w:tcBorders>
            <w:shd w:val="clear" w:color="auto" w:fill="auto"/>
            <w:vAlign w:val="center"/>
          </w:tcPr>
          <w:p w14:paraId="557E0249">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本项目建成后全厂排放量（固体废物产生量）⑥</w:t>
            </w:r>
          </w:p>
        </w:tc>
        <w:tc>
          <w:tcPr>
            <w:tcW w:w="492" w:type="pct"/>
            <w:tcBorders>
              <w:tl2br w:val="nil"/>
              <w:tr2bl w:val="nil"/>
            </w:tcBorders>
            <w:shd w:val="clear" w:color="auto" w:fill="auto"/>
            <w:vAlign w:val="center"/>
          </w:tcPr>
          <w:p w14:paraId="6C4AACDE">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变化量⑦</w:t>
            </w:r>
          </w:p>
        </w:tc>
      </w:tr>
      <w:tr w14:paraId="4F65A22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3" w:hRule="atLeast"/>
        </w:trPr>
        <w:tc>
          <w:tcPr>
            <w:tcW w:w="665" w:type="pct"/>
            <w:vMerge w:val="restart"/>
            <w:tcBorders>
              <w:tl2br w:val="nil"/>
              <w:tr2bl w:val="nil"/>
            </w:tcBorders>
            <w:shd w:val="clear" w:color="auto" w:fill="auto"/>
            <w:noWrap/>
            <w:vAlign w:val="center"/>
          </w:tcPr>
          <w:p w14:paraId="455329E8">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废气</w:t>
            </w:r>
          </w:p>
        </w:tc>
        <w:tc>
          <w:tcPr>
            <w:tcW w:w="885" w:type="pct"/>
            <w:tcBorders>
              <w:tl2br w:val="nil"/>
              <w:tr2bl w:val="nil"/>
            </w:tcBorders>
            <w:shd w:val="clear" w:color="auto" w:fill="auto"/>
            <w:noWrap/>
            <w:vAlign w:val="center"/>
          </w:tcPr>
          <w:p w14:paraId="097CF64B">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颗粒物</w:t>
            </w:r>
          </w:p>
        </w:tc>
        <w:tc>
          <w:tcPr>
            <w:tcW w:w="492" w:type="pct"/>
            <w:tcBorders>
              <w:tl2br w:val="nil"/>
              <w:tr2bl w:val="nil"/>
            </w:tcBorders>
            <w:shd w:val="clear" w:color="auto" w:fill="auto"/>
            <w:noWrap/>
            <w:vAlign w:val="center"/>
          </w:tcPr>
          <w:p w14:paraId="3509759B">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w:t>
            </w:r>
          </w:p>
        </w:tc>
        <w:tc>
          <w:tcPr>
            <w:tcW w:w="492" w:type="pct"/>
            <w:tcBorders>
              <w:tl2br w:val="nil"/>
              <w:tr2bl w:val="nil"/>
            </w:tcBorders>
            <w:shd w:val="clear" w:color="auto" w:fill="auto"/>
            <w:noWrap/>
            <w:vAlign w:val="center"/>
          </w:tcPr>
          <w:p w14:paraId="2DA033E1">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w:t>
            </w:r>
          </w:p>
        </w:tc>
        <w:tc>
          <w:tcPr>
            <w:tcW w:w="492" w:type="pct"/>
            <w:tcBorders>
              <w:tl2br w:val="nil"/>
              <w:tr2bl w:val="nil"/>
            </w:tcBorders>
            <w:shd w:val="clear" w:color="auto" w:fill="auto"/>
            <w:noWrap/>
            <w:vAlign w:val="center"/>
          </w:tcPr>
          <w:p w14:paraId="77A02F80">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w:t>
            </w:r>
          </w:p>
        </w:tc>
        <w:tc>
          <w:tcPr>
            <w:tcW w:w="492" w:type="pct"/>
            <w:tcBorders>
              <w:tl2br w:val="nil"/>
              <w:tr2bl w:val="nil"/>
            </w:tcBorders>
            <w:shd w:val="clear" w:color="auto" w:fill="auto"/>
            <w:noWrap/>
            <w:vAlign w:val="center"/>
          </w:tcPr>
          <w:p w14:paraId="3F2895E9">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lang w:val="en-US"/>
              </w:rPr>
            </w:pPr>
            <w:r>
              <w:rPr>
                <w:rFonts w:hint="eastAsia" w:cs="Times New Roman"/>
                <w:i w:val="0"/>
                <w:iCs w:val="0"/>
                <w:color w:val="auto"/>
                <w:kern w:val="0"/>
                <w:sz w:val="18"/>
                <w:szCs w:val="18"/>
                <w:highlight w:val="none"/>
                <w:u w:val="none"/>
                <w:lang w:val="en-US" w:eastAsia="zh-CN" w:bidi="ar"/>
              </w:rPr>
              <w:t>0.008</w:t>
            </w:r>
          </w:p>
        </w:tc>
        <w:tc>
          <w:tcPr>
            <w:tcW w:w="492" w:type="pct"/>
            <w:tcBorders>
              <w:tl2br w:val="nil"/>
              <w:tr2bl w:val="nil"/>
            </w:tcBorders>
            <w:shd w:val="clear" w:color="auto" w:fill="auto"/>
            <w:noWrap/>
            <w:vAlign w:val="center"/>
          </w:tcPr>
          <w:p w14:paraId="03D7616E">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w:t>
            </w:r>
          </w:p>
        </w:tc>
        <w:tc>
          <w:tcPr>
            <w:tcW w:w="1344" w:type="dxa"/>
            <w:tcBorders>
              <w:tl2br w:val="nil"/>
              <w:tr2bl w:val="nil"/>
            </w:tcBorders>
            <w:shd w:val="clear" w:color="auto" w:fill="auto"/>
            <w:noWrap/>
            <w:vAlign w:val="center"/>
          </w:tcPr>
          <w:p w14:paraId="332B2BC6">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eastAsia" w:cs="Times New Roman"/>
                <w:i w:val="0"/>
                <w:iCs w:val="0"/>
                <w:color w:val="auto"/>
                <w:kern w:val="0"/>
                <w:sz w:val="18"/>
                <w:szCs w:val="18"/>
                <w:highlight w:val="none"/>
                <w:u w:val="none"/>
                <w:lang w:val="en-US" w:eastAsia="zh-CN" w:bidi="ar"/>
              </w:rPr>
              <w:t>0.008</w:t>
            </w:r>
            <w:r>
              <w:rPr>
                <w:rFonts w:hint="default" w:ascii="Times New Roman" w:hAnsi="Times New Roman" w:eastAsia="宋体" w:cs="Times New Roman"/>
                <w:i w:val="0"/>
                <w:iCs w:val="0"/>
                <w:color w:val="auto"/>
                <w:kern w:val="0"/>
                <w:sz w:val="18"/>
                <w:szCs w:val="18"/>
                <w:highlight w:val="none"/>
                <w:u w:val="none"/>
                <w:lang w:val="en-US" w:eastAsia="zh-CN" w:bidi="ar"/>
              </w:rPr>
              <w:t xml:space="preserve"> </w:t>
            </w:r>
          </w:p>
        </w:tc>
        <w:tc>
          <w:tcPr>
            <w:tcW w:w="1352" w:type="dxa"/>
            <w:tcBorders>
              <w:tl2br w:val="nil"/>
              <w:tr2bl w:val="nil"/>
            </w:tcBorders>
            <w:shd w:val="clear" w:color="auto" w:fill="auto"/>
            <w:noWrap/>
            <w:vAlign w:val="center"/>
          </w:tcPr>
          <w:p w14:paraId="72762A9D">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eastAsia" w:cs="Times New Roman"/>
                <w:i w:val="0"/>
                <w:iCs w:val="0"/>
                <w:color w:val="auto"/>
                <w:kern w:val="0"/>
                <w:sz w:val="18"/>
                <w:szCs w:val="18"/>
                <w:highlight w:val="none"/>
                <w:u w:val="none"/>
                <w:lang w:val="en-US" w:eastAsia="zh-CN" w:bidi="ar"/>
              </w:rPr>
              <w:t>0.008</w:t>
            </w:r>
            <w:r>
              <w:rPr>
                <w:rFonts w:hint="default" w:ascii="Times New Roman" w:hAnsi="Times New Roman" w:eastAsia="宋体" w:cs="Times New Roman"/>
                <w:i w:val="0"/>
                <w:iCs w:val="0"/>
                <w:color w:val="auto"/>
                <w:kern w:val="0"/>
                <w:sz w:val="18"/>
                <w:szCs w:val="18"/>
                <w:highlight w:val="none"/>
                <w:u w:val="none"/>
                <w:lang w:val="en-US" w:eastAsia="zh-CN" w:bidi="ar"/>
              </w:rPr>
              <w:t xml:space="preserve"> </w:t>
            </w:r>
          </w:p>
        </w:tc>
      </w:tr>
      <w:tr w14:paraId="49787E0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3" w:hRule="atLeast"/>
        </w:trPr>
        <w:tc>
          <w:tcPr>
            <w:tcW w:w="665" w:type="pct"/>
            <w:vMerge w:val="continue"/>
            <w:tcBorders>
              <w:tl2br w:val="nil"/>
              <w:tr2bl w:val="nil"/>
            </w:tcBorders>
            <w:shd w:val="clear" w:color="auto" w:fill="auto"/>
            <w:noWrap/>
            <w:vAlign w:val="center"/>
          </w:tcPr>
          <w:p w14:paraId="6EEA8A77">
            <w:pPr>
              <w:jc w:val="center"/>
              <w:rPr>
                <w:rFonts w:hint="default" w:ascii="Times New Roman" w:hAnsi="Times New Roman" w:eastAsia="宋体" w:cs="Times New Roman"/>
                <w:i w:val="0"/>
                <w:iCs w:val="0"/>
                <w:color w:val="auto"/>
                <w:sz w:val="18"/>
                <w:szCs w:val="18"/>
                <w:highlight w:val="none"/>
                <w:u w:val="none"/>
              </w:rPr>
            </w:pPr>
          </w:p>
        </w:tc>
        <w:tc>
          <w:tcPr>
            <w:tcW w:w="885" w:type="pct"/>
            <w:tcBorders>
              <w:tl2br w:val="nil"/>
              <w:tr2bl w:val="nil"/>
            </w:tcBorders>
            <w:shd w:val="clear" w:color="auto" w:fill="auto"/>
            <w:noWrap/>
            <w:vAlign w:val="center"/>
          </w:tcPr>
          <w:p w14:paraId="5509FEEE">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VOCs（非甲烷总烃计）</w:t>
            </w:r>
          </w:p>
        </w:tc>
        <w:tc>
          <w:tcPr>
            <w:tcW w:w="492" w:type="pct"/>
            <w:tcBorders>
              <w:tl2br w:val="nil"/>
              <w:tr2bl w:val="nil"/>
            </w:tcBorders>
            <w:shd w:val="clear" w:color="auto" w:fill="auto"/>
            <w:noWrap/>
            <w:vAlign w:val="center"/>
          </w:tcPr>
          <w:p w14:paraId="60BF6908">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w:t>
            </w:r>
          </w:p>
        </w:tc>
        <w:tc>
          <w:tcPr>
            <w:tcW w:w="492" w:type="pct"/>
            <w:tcBorders>
              <w:tl2br w:val="nil"/>
              <w:tr2bl w:val="nil"/>
            </w:tcBorders>
            <w:shd w:val="clear" w:color="auto" w:fill="auto"/>
            <w:noWrap/>
            <w:vAlign w:val="center"/>
          </w:tcPr>
          <w:p w14:paraId="5780E23C">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w:t>
            </w:r>
          </w:p>
        </w:tc>
        <w:tc>
          <w:tcPr>
            <w:tcW w:w="492" w:type="pct"/>
            <w:tcBorders>
              <w:tl2br w:val="nil"/>
              <w:tr2bl w:val="nil"/>
            </w:tcBorders>
            <w:shd w:val="clear" w:color="auto" w:fill="auto"/>
            <w:noWrap/>
            <w:vAlign w:val="center"/>
          </w:tcPr>
          <w:p w14:paraId="2719B9B3">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w:t>
            </w:r>
          </w:p>
        </w:tc>
        <w:tc>
          <w:tcPr>
            <w:tcW w:w="492" w:type="pct"/>
            <w:tcBorders>
              <w:tl2br w:val="nil"/>
              <w:tr2bl w:val="nil"/>
            </w:tcBorders>
            <w:shd w:val="clear" w:color="auto" w:fill="auto"/>
            <w:noWrap/>
            <w:vAlign w:val="center"/>
          </w:tcPr>
          <w:p w14:paraId="294893EB">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eastAsia" w:cs="Times New Roman"/>
                <w:i w:val="0"/>
                <w:iCs w:val="0"/>
                <w:color w:val="auto"/>
                <w:kern w:val="0"/>
                <w:sz w:val="18"/>
                <w:szCs w:val="18"/>
                <w:highlight w:val="none"/>
                <w:u w:val="none"/>
                <w:lang w:val="en-US" w:eastAsia="zh-CN" w:bidi="ar"/>
              </w:rPr>
              <w:t>0.004</w:t>
            </w:r>
            <w:r>
              <w:rPr>
                <w:rFonts w:hint="default" w:ascii="Times New Roman" w:hAnsi="Times New Roman" w:eastAsia="宋体" w:cs="Times New Roman"/>
                <w:i w:val="0"/>
                <w:iCs w:val="0"/>
                <w:color w:val="auto"/>
                <w:kern w:val="0"/>
                <w:sz w:val="18"/>
                <w:szCs w:val="18"/>
                <w:highlight w:val="none"/>
                <w:u w:val="none"/>
                <w:lang w:val="en-US" w:eastAsia="zh-CN" w:bidi="ar"/>
              </w:rPr>
              <w:t xml:space="preserve"> </w:t>
            </w:r>
          </w:p>
        </w:tc>
        <w:tc>
          <w:tcPr>
            <w:tcW w:w="492" w:type="pct"/>
            <w:tcBorders>
              <w:tl2br w:val="nil"/>
              <w:tr2bl w:val="nil"/>
            </w:tcBorders>
            <w:shd w:val="clear" w:color="auto" w:fill="auto"/>
            <w:noWrap/>
            <w:vAlign w:val="center"/>
          </w:tcPr>
          <w:p w14:paraId="12E5D990">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w:t>
            </w:r>
          </w:p>
        </w:tc>
        <w:tc>
          <w:tcPr>
            <w:tcW w:w="1344" w:type="dxa"/>
            <w:tcBorders>
              <w:tl2br w:val="nil"/>
              <w:tr2bl w:val="nil"/>
            </w:tcBorders>
            <w:shd w:val="clear" w:color="auto" w:fill="auto"/>
            <w:noWrap/>
            <w:vAlign w:val="center"/>
          </w:tcPr>
          <w:p w14:paraId="05F5244C">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eastAsia" w:cs="Times New Roman"/>
                <w:i w:val="0"/>
                <w:iCs w:val="0"/>
                <w:color w:val="auto"/>
                <w:kern w:val="0"/>
                <w:sz w:val="18"/>
                <w:szCs w:val="18"/>
                <w:highlight w:val="none"/>
                <w:u w:val="none"/>
                <w:lang w:val="en-US" w:eastAsia="zh-CN" w:bidi="ar"/>
              </w:rPr>
              <w:t>0.004</w:t>
            </w:r>
          </w:p>
        </w:tc>
        <w:tc>
          <w:tcPr>
            <w:tcW w:w="1352" w:type="dxa"/>
            <w:tcBorders>
              <w:tl2br w:val="nil"/>
              <w:tr2bl w:val="nil"/>
            </w:tcBorders>
            <w:shd w:val="clear" w:color="auto" w:fill="auto"/>
            <w:noWrap/>
            <w:vAlign w:val="center"/>
          </w:tcPr>
          <w:p w14:paraId="31EE46AA">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eastAsia" w:cs="Times New Roman"/>
                <w:i w:val="0"/>
                <w:iCs w:val="0"/>
                <w:color w:val="auto"/>
                <w:kern w:val="0"/>
                <w:sz w:val="18"/>
                <w:szCs w:val="18"/>
                <w:highlight w:val="none"/>
                <w:u w:val="none"/>
                <w:lang w:val="en-US" w:eastAsia="zh-CN" w:bidi="ar"/>
              </w:rPr>
              <w:t>0.004</w:t>
            </w:r>
          </w:p>
        </w:tc>
      </w:tr>
      <w:tr w14:paraId="7750FD3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3" w:hRule="atLeast"/>
        </w:trPr>
        <w:tc>
          <w:tcPr>
            <w:tcW w:w="665" w:type="pct"/>
            <w:vMerge w:val="restart"/>
            <w:tcBorders>
              <w:tl2br w:val="nil"/>
              <w:tr2bl w:val="nil"/>
            </w:tcBorders>
            <w:shd w:val="clear" w:color="auto" w:fill="auto"/>
            <w:noWrap/>
            <w:vAlign w:val="center"/>
          </w:tcPr>
          <w:p w14:paraId="08253A60">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废水</w:t>
            </w:r>
          </w:p>
        </w:tc>
        <w:tc>
          <w:tcPr>
            <w:tcW w:w="885" w:type="pct"/>
            <w:tcBorders>
              <w:tl2br w:val="nil"/>
              <w:tr2bl w:val="nil"/>
            </w:tcBorders>
            <w:shd w:val="clear" w:color="auto" w:fill="auto"/>
            <w:noWrap/>
            <w:vAlign w:val="center"/>
          </w:tcPr>
          <w:p w14:paraId="7B8C6C0C">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废水量（t/a）</w:t>
            </w:r>
          </w:p>
        </w:tc>
        <w:tc>
          <w:tcPr>
            <w:tcW w:w="492" w:type="pct"/>
            <w:tcBorders>
              <w:tl2br w:val="nil"/>
              <w:tr2bl w:val="nil"/>
            </w:tcBorders>
            <w:shd w:val="clear" w:color="auto" w:fill="auto"/>
            <w:noWrap/>
            <w:vAlign w:val="center"/>
          </w:tcPr>
          <w:p w14:paraId="5E38559E">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w:t>
            </w:r>
          </w:p>
        </w:tc>
        <w:tc>
          <w:tcPr>
            <w:tcW w:w="492" w:type="pct"/>
            <w:tcBorders>
              <w:tl2br w:val="nil"/>
              <w:tr2bl w:val="nil"/>
            </w:tcBorders>
            <w:shd w:val="clear" w:color="auto" w:fill="auto"/>
            <w:noWrap/>
            <w:vAlign w:val="center"/>
          </w:tcPr>
          <w:p w14:paraId="09A6AFBC">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w:t>
            </w:r>
          </w:p>
        </w:tc>
        <w:tc>
          <w:tcPr>
            <w:tcW w:w="492" w:type="pct"/>
            <w:tcBorders>
              <w:tl2br w:val="nil"/>
              <w:tr2bl w:val="nil"/>
            </w:tcBorders>
            <w:shd w:val="clear" w:color="auto" w:fill="auto"/>
            <w:noWrap/>
            <w:vAlign w:val="center"/>
          </w:tcPr>
          <w:p w14:paraId="1685925D">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w:t>
            </w:r>
          </w:p>
        </w:tc>
        <w:tc>
          <w:tcPr>
            <w:tcW w:w="492" w:type="pct"/>
            <w:tcBorders>
              <w:tl2br w:val="nil"/>
              <w:tr2bl w:val="nil"/>
            </w:tcBorders>
            <w:shd w:val="clear" w:color="auto" w:fill="auto"/>
            <w:noWrap/>
            <w:vAlign w:val="center"/>
          </w:tcPr>
          <w:p w14:paraId="60AD13D7">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lang w:val="en-US"/>
              </w:rPr>
            </w:pPr>
            <w:r>
              <w:rPr>
                <w:rFonts w:hint="eastAsia" w:cs="Times New Roman"/>
                <w:i w:val="0"/>
                <w:iCs w:val="0"/>
                <w:color w:val="auto"/>
                <w:kern w:val="0"/>
                <w:sz w:val="18"/>
                <w:szCs w:val="18"/>
                <w:highlight w:val="none"/>
                <w:u w:val="none"/>
                <w:lang w:val="en-US" w:eastAsia="zh-CN" w:bidi="ar"/>
              </w:rPr>
              <w:t>199</w:t>
            </w:r>
          </w:p>
        </w:tc>
        <w:tc>
          <w:tcPr>
            <w:tcW w:w="492" w:type="pct"/>
            <w:tcBorders>
              <w:tl2br w:val="nil"/>
              <w:tr2bl w:val="nil"/>
            </w:tcBorders>
            <w:shd w:val="clear" w:color="auto" w:fill="auto"/>
            <w:noWrap/>
            <w:vAlign w:val="center"/>
          </w:tcPr>
          <w:p w14:paraId="1BABCB3C">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w:t>
            </w:r>
          </w:p>
        </w:tc>
        <w:tc>
          <w:tcPr>
            <w:tcW w:w="1344" w:type="dxa"/>
            <w:tcBorders>
              <w:tl2br w:val="nil"/>
              <w:tr2bl w:val="nil"/>
            </w:tcBorders>
            <w:shd w:val="clear" w:color="auto" w:fill="auto"/>
            <w:noWrap/>
            <w:vAlign w:val="center"/>
          </w:tcPr>
          <w:p w14:paraId="4A2AD14A">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eastAsia" w:cs="Times New Roman"/>
                <w:i w:val="0"/>
                <w:iCs w:val="0"/>
                <w:color w:val="auto"/>
                <w:kern w:val="0"/>
                <w:sz w:val="18"/>
                <w:szCs w:val="18"/>
                <w:highlight w:val="none"/>
                <w:u w:val="none"/>
                <w:lang w:val="en-US" w:eastAsia="zh-CN" w:bidi="ar"/>
              </w:rPr>
              <w:t>199</w:t>
            </w:r>
            <w:r>
              <w:rPr>
                <w:rFonts w:hint="default" w:ascii="Times New Roman" w:hAnsi="Times New Roman" w:eastAsia="宋体" w:cs="Times New Roman"/>
                <w:i w:val="0"/>
                <w:iCs w:val="0"/>
                <w:color w:val="auto"/>
                <w:kern w:val="0"/>
                <w:sz w:val="18"/>
                <w:szCs w:val="18"/>
                <w:highlight w:val="none"/>
                <w:u w:val="none"/>
                <w:lang w:val="en-US" w:eastAsia="zh-CN" w:bidi="ar"/>
              </w:rPr>
              <w:t xml:space="preserve"> </w:t>
            </w:r>
          </w:p>
        </w:tc>
        <w:tc>
          <w:tcPr>
            <w:tcW w:w="1352" w:type="dxa"/>
            <w:tcBorders>
              <w:tl2br w:val="nil"/>
              <w:tr2bl w:val="nil"/>
            </w:tcBorders>
            <w:shd w:val="clear" w:color="auto" w:fill="auto"/>
            <w:noWrap/>
            <w:vAlign w:val="center"/>
          </w:tcPr>
          <w:p w14:paraId="243BE460">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lang w:val="en-US"/>
              </w:rPr>
            </w:pPr>
            <w:r>
              <w:rPr>
                <w:rFonts w:hint="eastAsia" w:cs="Times New Roman"/>
                <w:i w:val="0"/>
                <w:iCs w:val="0"/>
                <w:color w:val="auto"/>
                <w:kern w:val="0"/>
                <w:sz w:val="18"/>
                <w:szCs w:val="18"/>
                <w:highlight w:val="none"/>
                <w:u w:val="none"/>
                <w:lang w:val="en-US" w:eastAsia="zh-CN" w:bidi="ar"/>
              </w:rPr>
              <w:t>199</w:t>
            </w:r>
          </w:p>
        </w:tc>
      </w:tr>
      <w:tr w14:paraId="7D69C16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665" w:type="pct"/>
            <w:vMerge w:val="continue"/>
            <w:tcBorders>
              <w:tl2br w:val="nil"/>
              <w:tr2bl w:val="nil"/>
            </w:tcBorders>
            <w:shd w:val="clear" w:color="auto" w:fill="auto"/>
            <w:noWrap/>
            <w:vAlign w:val="center"/>
          </w:tcPr>
          <w:p w14:paraId="6E91A574">
            <w:pPr>
              <w:jc w:val="center"/>
              <w:rPr>
                <w:rFonts w:hint="default" w:ascii="Times New Roman" w:hAnsi="Times New Roman" w:eastAsia="宋体" w:cs="Times New Roman"/>
                <w:i w:val="0"/>
                <w:iCs w:val="0"/>
                <w:color w:val="auto"/>
                <w:sz w:val="18"/>
                <w:szCs w:val="18"/>
                <w:highlight w:val="none"/>
                <w:u w:val="none"/>
              </w:rPr>
            </w:pPr>
          </w:p>
        </w:tc>
        <w:tc>
          <w:tcPr>
            <w:tcW w:w="885" w:type="pct"/>
            <w:tcBorders>
              <w:tl2br w:val="nil"/>
              <w:tr2bl w:val="nil"/>
            </w:tcBorders>
            <w:shd w:val="clear" w:color="auto" w:fill="auto"/>
            <w:noWrap/>
            <w:vAlign w:val="center"/>
          </w:tcPr>
          <w:p w14:paraId="4BB84764">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COD</w:t>
            </w:r>
            <w:r>
              <w:rPr>
                <w:rFonts w:hint="default" w:ascii="Times New Roman" w:hAnsi="Times New Roman" w:eastAsia="宋体" w:cs="Times New Roman"/>
                <w:i w:val="0"/>
                <w:iCs w:val="0"/>
                <w:color w:val="auto"/>
                <w:kern w:val="0"/>
                <w:sz w:val="18"/>
                <w:szCs w:val="18"/>
                <w:highlight w:val="none"/>
                <w:u w:val="none"/>
                <w:vertAlign w:val="subscript"/>
                <w:lang w:val="en-US" w:eastAsia="zh-CN" w:bidi="ar"/>
              </w:rPr>
              <w:t>Cr</w:t>
            </w:r>
          </w:p>
        </w:tc>
        <w:tc>
          <w:tcPr>
            <w:tcW w:w="492" w:type="pct"/>
            <w:tcBorders>
              <w:tl2br w:val="nil"/>
              <w:tr2bl w:val="nil"/>
            </w:tcBorders>
            <w:shd w:val="clear" w:color="auto" w:fill="auto"/>
            <w:noWrap/>
            <w:vAlign w:val="center"/>
          </w:tcPr>
          <w:p w14:paraId="058A3F48">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w:t>
            </w:r>
          </w:p>
        </w:tc>
        <w:tc>
          <w:tcPr>
            <w:tcW w:w="492" w:type="pct"/>
            <w:tcBorders>
              <w:tl2br w:val="nil"/>
              <w:tr2bl w:val="nil"/>
            </w:tcBorders>
            <w:shd w:val="clear" w:color="auto" w:fill="auto"/>
            <w:noWrap/>
            <w:vAlign w:val="center"/>
          </w:tcPr>
          <w:p w14:paraId="42B39685">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w:t>
            </w:r>
          </w:p>
        </w:tc>
        <w:tc>
          <w:tcPr>
            <w:tcW w:w="492" w:type="pct"/>
            <w:tcBorders>
              <w:tl2br w:val="nil"/>
              <w:tr2bl w:val="nil"/>
            </w:tcBorders>
            <w:shd w:val="clear" w:color="auto" w:fill="auto"/>
            <w:noWrap/>
            <w:vAlign w:val="center"/>
          </w:tcPr>
          <w:p w14:paraId="1377F865">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w:t>
            </w:r>
          </w:p>
        </w:tc>
        <w:tc>
          <w:tcPr>
            <w:tcW w:w="492" w:type="pct"/>
            <w:tcBorders>
              <w:tl2br w:val="nil"/>
              <w:tr2bl w:val="nil"/>
            </w:tcBorders>
            <w:shd w:val="clear" w:color="auto" w:fill="auto"/>
            <w:noWrap/>
            <w:vAlign w:val="center"/>
          </w:tcPr>
          <w:p w14:paraId="4F2801EE">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lang w:val="en-US"/>
              </w:rPr>
            </w:pPr>
            <w:r>
              <w:rPr>
                <w:rFonts w:hint="eastAsia" w:cs="Times New Roman"/>
                <w:i w:val="0"/>
                <w:iCs w:val="0"/>
                <w:color w:val="auto"/>
                <w:kern w:val="0"/>
                <w:sz w:val="18"/>
                <w:szCs w:val="18"/>
                <w:highlight w:val="none"/>
                <w:u w:val="none"/>
                <w:lang w:val="en-US" w:eastAsia="zh-CN" w:bidi="ar"/>
              </w:rPr>
              <w:t>0.008</w:t>
            </w:r>
          </w:p>
        </w:tc>
        <w:tc>
          <w:tcPr>
            <w:tcW w:w="492" w:type="pct"/>
            <w:tcBorders>
              <w:tl2br w:val="nil"/>
              <w:tr2bl w:val="nil"/>
            </w:tcBorders>
            <w:shd w:val="clear" w:color="auto" w:fill="auto"/>
            <w:noWrap/>
            <w:vAlign w:val="center"/>
          </w:tcPr>
          <w:p w14:paraId="291A0DF6">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w:t>
            </w:r>
          </w:p>
        </w:tc>
        <w:tc>
          <w:tcPr>
            <w:tcW w:w="1344" w:type="dxa"/>
            <w:tcBorders>
              <w:tl2br w:val="nil"/>
              <w:tr2bl w:val="nil"/>
            </w:tcBorders>
            <w:shd w:val="clear" w:color="auto" w:fill="auto"/>
            <w:noWrap/>
            <w:vAlign w:val="center"/>
          </w:tcPr>
          <w:p w14:paraId="5669A47C">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eastAsia" w:cs="Times New Roman"/>
                <w:i w:val="0"/>
                <w:iCs w:val="0"/>
                <w:color w:val="auto"/>
                <w:kern w:val="0"/>
                <w:sz w:val="18"/>
                <w:szCs w:val="18"/>
                <w:highlight w:val="none"/>
                <w:u w:val="none"/>
                <w:lang w:val="en-US" w:eastAsia="zh-CN" w:bidi="ar"/>
              </w:rPr>
              <w:t>0.008</w:t>
            </w:r>
          </w:p>
        </w:tc>
        <w:tc>
          <w:tcPr>
            <w:tcW w:w="1352" w:type="dxa"/>
            <w:tcBorders>
              <w:tl2br w:val="nil"/>
              <w:tr2bl w:val="nil"/>
            </w:tcBorders>
            <w:shd w:val="clear" w:color="auto" w:fill="auto"/>
            <w:noWrap/>
            <w:vAlign w:val="center"/>
          </w:tcPr>
          <w:p w14:paraId="7F893C3C">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eastAsia" w:cs="Times New Roman"/>
                <w:i w:val="0"/>
                <w:iCs w:val="0"/>
                <w:color w:val="auto"/>
                <w:kern w:val="0"/>
                <w:sz w:val="18"/>
                <w:szCs w:val="18"/>
                <w:highlight w:val="none"/>
                <w:u w:val="none"/>
                <w:lang w:val="en-US" w:eastAsia="zh-CN" w:bidi="ar"/>
              </w:rPr>
              <w:t>0.008</w:t>
            </w:r>
          </w:p>
        </w:tc>
      </w:tr>
      <w:tr w14:paraId="629C487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665" w:type="pct"/>
            <w:vMerge w:val="continue"/>
            <w:tcBorders>
              <w:tl2br w:val="nil"/>
              <w:tr2bl w:val="nil"/>
            </w:tcBorders>
            <w:shd w:val="clear" w:color="auto" w:fill="auto"/>
            <w:noWrap/>
            <w:vAlign w:val="center"/>
          </w:tcPr>
          <w:p w14:paraId="1201F3BC">
            <w:pPr>
              <w:jc w:val="center"/>
              <w:rPr>
                <w:rFonts w:hint="default" w:ascii="Times New Roman" w:hAnsi="Times New Roman" w:eastAsia="宋体" w:cs="Times New Roman"/>
                <w:i w:val="0"/>
                <w:iCs w:val="0"/>
                <w:color w:val="auto"/>
                <w:sz w:val="18"/>
                <w:szCs w:val="18"/>
                <w:highlight w:val="none"/>
                <w:u w:val="none"/>
              </w:rPr>
            </w:pPr>
          </w:p>
        </w:tc>
        <w:tc>
          <w:tcPr>
            <w:tcW w:w="885" w:type="pct"/>
            <w:tcBorders>
              <w:tl2br w:val="nil"/>
              <w:tr2bl w:val="nil"/>
            </w:tcBorders>
            <w:shd w:val="clear" w:color="auto" w:fill="auto"/>
            <w:vAlign w:val="center"/>
          </w:tcPr>
          <w:p w14:paraId="76807656">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TP</w:t>
            </w:r>
          </w:p>
        </w:tc>
        <w:tc>
          <w:tcPr>
            <w:tcW w:w="492" w:type="pct"/>
            <w:tcBorders>
              <w:tl2br w:val="nil"/>
              <w:tr2bl w:val="nil"/>
            </w:tcBorders>
            <w:shd w:val="clear" w:color="auto" w:fill="auto"/>
            <w:noWrap/>
            <w:vAlign w:val="center"/>
          </w:tcPr>
          <w:p w14:paraId="1762D8B5">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w:t>
            </w:r>
          </w:p>
        </w:tc>
        <w:tc>
          <w:tcPr>
            <w:tcW w:w="492" w:type="pct"/>
            <w:tcBorders>
              <w:tl2br w:val="nil"/>
              <w:tr2bl w:val="nil"/>
            </w:tcBorders>
            <w:shd w:val="clear" w:color="auto" w:fill="auto"/>
            <w:noWrap/>
            <w:vAlign w:val="center"/>
          </w:tcPr>
          <w:p w14:paraId="60AFE64D">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w:t>
            </w:r>
          </w:p>
        </w:tc>
        <w:tc>
          <w:tcPr>
            <w:tcW w:w="492" w:type="pct"/>
            <w:tcBorders>
              <w:tl2br w:val="nil"/>
              <w:tr2bl w:val="nil"/>
            </w:tcBorders>
            <w:shd w:val="clear" w:color="auto" w:fill="auto"/>
            <w:noWrap/>
            <w:vAlign w:val="center"/>
          </w:tcPr>
          <w:p w14:paraId="723AD799">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w:t>
            </w:r>
          </w:p>
        </w:tc>
        <w:tc>
          <w:tcPr>
            <w:tcW w:w="492" w:type="pct"/>
            <w:tcBorders>
              <w:tl2br w:val="nil"/>
              <w:tr2bl w:val="nil"/>
            </w:tcBorders>
            <w:shd w:val="clear" w:color="auto" w:fill="auto"/>
            <w:noWrap/>
            <w:vAlign w:val="center"/>
          </w:tcPr>
          <w:p w14:paraId="1A382D97">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eastAsia" w:cs="Times New Roman"/>
                <w:i w:val="0"/>
                <w:iCs w:val="0"/>
                <w:color w:val="auto"/>
                <w:kern w:val="0"/>
                <w:sz w:val="18"/>
                <w:szCs w:val="18"/>
                <w:highlight w:val="none"/>
                <w:u w:val="none"/>
                <w:lang w:val="en-US" w:eastAsia="zh-CN" w:bidi="ar"/>
              </w:rPr>
              <w:t>0</w:t>
            </w:r>
          </w:p>
        </w:tc>
        <w:tc>
          <w:tcPr>
            <w:tcW w:w="492" w:type="pct"/>
            <w:tcBorders>
              <w:tl2br w:val="nil"/>
              <w:tr2bl w:val="nil"/>
            </w:tcBorders>
            <w:shd w:val="clear" w:color="auto" w:fill="auto"/>
            <w:noWrap/>
            <w:vAlign w:val="center"/>
          </w:tcPr>
          <w:p w14:paraId="4D9B5185">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w:t>
            </w:r>
          </w:p>
        </w:tc>
        <w:tc>
          <w:tcPr>
            <w:tcW w:w="1344" w:type="dxa"/>
            <w:tcBorders>
              <w:tl2br w:val="nil"/>
              <w:tr2bl w:val="nil"/>
            </w:tcBorders>
            <w:shd w:val="clear" w:color="auto" w:fill="auto"/>
            <w:noWrap/>
            <w:vAlign w:val="center"/>
          </w:tcPr>
          <w:p w14:paraId="08E9F9F7">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eastAsia" w:cs="Times New Roman"/>
                <w:i w:val="0"/>
                <w:iCs w:val="0"/>
                <w:color w:val="auto"/>
                <w:kern w:val="0"/>
                <w:sz w:val="18"/>
                <w:szCs w:val="18"/>
                <w:highlight w:val="none"/>
                <w:u w:val="none"/>
                <w:lang w:val="en-US" w:eastAsia="zh-CN" w:bidi="ar"/>
              </w:rPr>
              <w:t>0</w:t>
            </w:r>
          </w:p>
        </w:tc>
        <w:tc>
          <w:tcPr>
            <w:tcW w:w="1352" w:type="dxa"/>
            <w:tcBorders>
              <w:tl2br w:val="nil"/>
              <w:tr2bl w:val="nil"/>
            </w:tcBorders>
            <w:shd w:val="clear" w:color="auto" w:fill="auto"/>
            <w:noWrap/>
            <w:vAlign w:val="center"/>
          </w:tcPr>
          <w:p w14:paraId="350885E9">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eastAsia" w:cs="Times New Roman"/>
                <w:i w:val="0"/>
                <w:iCs w:val="0"/>
                <w:color w:val="auto"/>
                <w:kern w:val="0"/>
                <w:sz w:val="18"/>
                <w:szCs w:val="18"/>
                <w:highlight w:val="none"/>
                <w:u w:val="none"/>
                <w:lang w:val="en-US" w:eastAsia="zh-CN" w:bidi="ar"/>
              </w:rPr>
              <w:t>0</w:t>
            </w:r>
            <w:r>
              <w:rPr>
                <w:rFonts w:hint="default" w:ascii="Times New Roman" w:hAnsi="Times New Roman" w:eastAsia="宋体" w:cs="Times New Roman"/>
                <w:i w:val="0"/>
                <w:iCs w:val="0"/>
                <w:color w:val="auto"/>
                <w:kern w:val="0"/>
                <w:sz w:val="18"/>
                <w:szCs w:val="18"/>
                <w:highlight w:val="none"/>
                <w:u w:val="none"/>
                <w:lang w:val="en-US" w:eastAsia="zh-CN" w:bidi="ar"/>
              </w:rPr>
              <w:t xml:space="preserve"> </w:t>
            </w:r>
          </w:p>
        </w:tc>
      </w:tr>
      <w:tr w14:paraId="162ABA8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3" w:hRule="atLeast"/>
        </w:trPr>
        <w:tc>
          <w:tcPr>
            <w:tcW w:w="665" w:type="pct"/>
            <w:vMerge w:val="continue"/>
            <w:tcBorders>
              <w:tl2br w:val="nil"/>
              <w:tr2bl w:val="nil"/>
            </w:tcBorders>
            <w:shd w:val="clear" w:color="auto" w:fill="auto"/>
            <w:noWrap/>
            <w:vAlign w:val="center"/>
          </w:tcPr>
          <w:p w14:paraId="1412CE78">
            <w:pPr>
              <w:jc w:val="center"/>
              <w:rPr>
                <w:rFonts w:hint="default" w:ascii="Times New Roman" w:hAnsi="Times New Roman" w:eastAsia="宋体" w:cs="Times New Roman"/>
                <w:i w:val="0"/>
                <w:iCs w:val="0"/>
                <w:color w:val="auto"/>
                <w:sz w:val="18"/>
                <w:szCs w:val="18"/>
                <w:highlight w:val="none"/>
                <w:u w:val="none"/>
              </w:rPr>
            </w:pPr>
          </w:p>
        </w:tc>
        <w:tc>
          <w:tcPr>
            <w:tcW w:w="885" w:type="pct"/>
            <w:tcBorders>
              <w:tl2br w:val="nil"/>
              <w:tr2bl w:val="nil"/>
            </w:tcBorders>
            <w:shd w:val="clear" w:color="auto" w:fill="auto"/>
            <w:noWrap/>
            <w:vAlign w:val="center"/>
          </w:tcPr>
          <w:p w14:paraId="0987AD2D">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SS</w:t>
            </w:r>
          </w:p>
        </w:tc>
        <w:tc>
          <w:tcPr>
            <w:tcW w:w="492" w:type="pct"/>
            <w:tcBorders>
              <w:tl2br w:val="nil"/>
              <w:tr2bl w:val="nil"/>
            </w:tcBorders>
            <w:shd w:val="clear" w:color="auto" w:fill="auto"/>
            <w:noWrap/>
            <w:vAlign w:val="center"/>
          </w:tcPr>
          <w:p w14:paraId="4E98C91E">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w:t>
            </w:r>
          </w:p>
        </w:tc>
        <w:tc>
          <w:tcPr>
            <w:tcW w:w="492" w:type="pct"/>
            <w:tcBorders>
              <w:tl2br w:val="nil"/>
              <w:tr2bl w:val="nil"/>
            </w:tcBorders>
            <w:shd w:val="clear" w:color="auto" w:fill="auto"/>
            <w:noWrap/>
            <w:vAlign w:val="center"/>
          </w:tcPr>
          <w:p w14:paraId="64BB774B">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w:t>
            </w:r>
          </w:p>
        </w:tc>
        <w:tc>
          <w:tcPr>
            <w:tcW w:w="492" w:type="pct"/>
            <w:tcBorders>
              <w:tl2br w:val="nil"/>
              <w:tr2bl w:val="nil"/>
            </w:tcBorders>
            <w:shd w:val="clear" w:color="auto" w:fill="auto"/>
            <w:noWrap/>
            <w:vAlign w:val="center"/>
          </w:tcPr>
          <w:p w14:paraId="7E47E5A0">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w:t>
            </w:r>
          </w:p>
        </w:tc>
        <w:tc>
          <w:tcPr>
            <w:tcW w:w="492" w:type="pct"/>
            <w:tcBorders>
              <w:tl2br w:val="nil"/>
              <w:tr2bl w:val="nil"/>
            </w:tcBorders>
            <w:shd w:val="clear" w:color="auto" w:fill="auto"/>
            <w:noWrap/>
            <w:vAlign w:val="center"/>
          </w:tcPr>
          <w:p w14:paraId="3A8B112C">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lang w:val="en-US"/>
              </w:rPr>
            </w:pPr>
            <w:r>
              <w:rPr>
                <w:rFonts w:hint="eastAsia" w:cs="Times New Roman"/>
                <w:i w:val="0"/>
                <w:iCs w:val="0"/>
                <w:color w:val="auto"/>
                <w:kern w:val="0"/>
                <w:sz w:val="18"/>
                <w:szCs w:val="18"/>
                <w:highlight w:val="none"/>
                <w:u w:val="none"/>
                <w:lang w:val="en-US" w:eastAsia="zh-CN" w:bidi="ar"/>
              </w:rPr>
              <w:t>0.002</w:t>
            </w:r>
          </w:p>
        </w:tc>
        <w:tc>
          <w:tcPr>
            <w:tcW w:w="492" w:type="pct"/>
            <w:tcBorders>
              <w:tl2br w:val="nil"/>
              <w:tr2bl w:val="nil"/>
            </w:tcBorders>
            <w:shd w:val="clear" w:color="auto" w:fill="auto"/>
            <w:noWrap/>
            <w:vAlign w:val="center"/>
          </w:tcPr>
          <w:p w14:paraId="12AEA2A4">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w:t>
            </w:r>
          </w:p>
        </w:tc>
        <w:tc>
          <w:tcPr>
            <w:tcW w:w="1344" w:type="dxa"/>
            <w:tcBorders>
              <w:tl2br w:val="nil"/>
              <w:tr2bl w:val="nil"/>
            </w:tcBorders>
            <w:shd w:val="clear" w:color="auto" w:fill="auto"/>
            <w:noWrap/>
            <w:vAlign w:val="center"/>
          </w:tcPr>
          <w:p w14:paraId="62D96480">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eastAsia" w:cs="Times New Roman"/>
                <w:i w:val="0"/>
                <w:iCs w:val="0"/>
                <w:color w:val="auto"/>
                <w:kern w:val="0"/>
                <w:sz w:val="18"/>
                <w:szCs w:val="18"/>
                <w:highlight w:val="none"/>
                <w:u w:val="none"/>
                <w:lang w:val="en-US" w:eastAsia="zh-CN" w:bidi="ar"/>
              </w:rPr>
              <w:t>0.002</w:t>
            </w:r>
          </w:p>
        </w:tc>
        <w:tc>
          <w:tcPr>
            <w:tcW w:w="1352" w:type="dxa"/>
            <w:tcBorders>
              <w:tl2br w:val="nil"/>
              <w:tr2bl w:val="nil"/>
            </w:tcBorders>
            <w:shd w:val="clear" w:color="auto" w:fill="auto"/>
            <w:noWrap/>
            <w:vAlign w:val="center"/>
          </w:tcPr>
          <w:p w14:paraId="7011E215">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eastAsia" w:cs="Times New Roman"/>
                <w:i w:val="0"/>
                <w:iCs w:val="0"/>
                <w:color w:val="auto"/>
                <w:kern w:val="0"/>
                <w:sz w:val="18"/>
                <w:szCs w:val="18"/>
                <w:highlight w:val="none"/>
                <w:u w:val="none"/>
                <w:lang w:val="en-US" w:eastAsia="zh-CN" w:bidi="ar"/>
              </w:rPr>
              <w:t>0.002</w:t>
            </w:r>
          </w:p>
        </w:tc>
      </w:tr>
      <w:tr w14:paraId="3C11077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665" w:type="pct"/>
            <w:vMerge w:val="continue"/>
            <w:tcBorders>
              <w:tl2br w:val="nil"/>
              <w:tr2bl w:val="nil"/>
            </w:tcBorders>
            <w:shd w:val="clear" w:color="auto" w:fill="auto"/>
            <w:noWrap/>
            <w:vAlign w:val="center"/>
          </w:tcPr>
          <w:p w14:paraId="28C06E38">
            <w:pPr>
              <w:jc w:val="center"/>
              <w:rPr>
                <w:rFonts w:hint="default" w:ascii="Times New Roman" w:hAnsi="Times New Roman" w:eastAsia="宋体" w:cs="Times New Roman"/>
                <w:i w:val="0"/>
                <w:iCs w:val="0"/>
                <w:color w:val="auto"/>
                <w:sz w:val="18"/>
                <w:szCs w:val="18"/>
                <w:highlight w:val="none"/>
                <w:u w:val="none"/>
              </w:rPr>
            </w:pPr>
          </w:p>
        </w:tc>
        <w:tc>
          <w:tcPr>
            <w:tcW w:w="885" w:type="pct"/>
            <w:tcBorders>
              <w:tl2br w:val="nil"/>
              <w:tr2bl w:val="nil"/>
            </w:tcBorders>
            <w:shd w:val="clear" w:color="auto" w:fill="auto"/>
            <w:noWrap/>
            <w:vAlign w:val="center"/>
          </w:tcPr>
          <w:p w14:paraId="11F75DC6">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NH</w:t>
            </w:r>
            <w:r>
              <w:rPr>
                <w:rFonts w:hint="default" w:ascii="Times New Roman" w:hAnsi="Times New Roman" w:eastAsia="宋体" w:cs="Times New Roman"/>
                <w:i w:val="0"/>
                <w:iCs w:val="0"/>
                <w:color w:val="auto"/>
                <w:kern w:val="0"/>
                <w:sz w:val="18"/>
                <w:szCs w:val="18"/>
                <w:highlight w:val="none"/>
                <w:u w:val="none"/>
                <w:vertAlign w:val="subscript"/>
                <w:lang w:val="en-US" w:eastAsia="zh-CN" w:bidi="ar"/>
              </w:rPr>
              <w:t>3</w:t>
            </w:r>
            <w:r>
              <w:rPr>
                <w:rFonts w:hint="default" w:ascii="Times New Roman" w:hAnsi="Times New Roman" w:eastAsia="宋体" w:cs="Times New Roman"/>
                <w:i w:val="0"/>
                <w:iCs w:val="0"/>
                <w:color w:val="auto"/>
                <w:kern w:val="0"/>
                <w:sz w:val="18"/>
                <w:szCs w:val="18"/>
                <w:highlight w:val="none"/>
                <w:u w:val="none"/>
                <w:lang w:val="en-US" w:eastAsia="zh-CN" w:bidi="ar"/>
              </w:rPr>
              <w:t>-N</w:t>
            </w:r>
          </w:p>
        </w:tc>
        <w:tc>
          <w:tcPr>
            <w:tcW w:w="492" w:type="pct"/>
            <w:tcBorders>
              <w:tl2br w:val="nil"/>
              <w:tr2bl w:val="nil"/>
            </w:tcBorders>
            <w:shd w:val="clear" w:color="auto" w:fill="auto"/>
            <w:noWrap/>
            <w:vAlign w:val="center"/>
          </w:tcPr>
          <w:p w14:paraId="22391301">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w:t>
            </w:r>
          </w:p>
        </w:tc>
        <w:tc>
          <w:tcPr>
            <w:tcW w:w="492" w:type="pct"/>
            <w:tcBorders>
              <w:tl2br w:val="nil"/>
              <w:tr2bl w:val="nil"/>
            </w:tcBorders>
            <w:shd w:val="clear" w:color="auto" w:fill="auto"/>
            <w:noWrap/>
            <w:vAlign w:val="center"/>
          </w:tcPr>
          <w:p w14:paraId="2175CFF2">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w:t>
            </w:r>
          </w:p>
        </w:tc>
        <w:tc>
          <w:tcPr>
            <w:tcW w:w="492" w:type="pct"/>
            <w:tcBorders>
              <w:tl2br w:val="nil"/>
              <w:tr2bl w:val="nil"/>
            </w:tcBorders>
            <w:shd w:val="clear" w:color="auto" w:fill="auto"/>
            <w:noWrap/>
            <w:vAlign w:val="center"/>
          </w:tcPr>
          <w:p w14:paraId="5E2930E0">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w:t>
            </w:r>
          </w:p>
        </w:tc>
        <w:tc>
          <w:tcPr>
            <w:tcW w:w="492" w:type="pct"/>
            <w:tcBorders>
              <w:tl2br w:val="nil"/>
              <w:tr2bl w:val="nil"/>
            </w:tcBorders>
            <w:shd w:val="clear" w:color="auto" w:fill="auto"/>
            <w:noWrap/>
            <w:vAlign w:val="center"/>
          </w:tcPr>
          <w:p w14:paraId="0B38867F">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eastAsia" w:cs="Times New Roman"/>
                <w:i w:val="0"/>
                <w:iCs w:val="0"/>
                <w:color w:val="auto"/>
                <w:kern w:val="0"/>
                <w:sz w:val="18"/>
                <w:szCs w:val="18"/>
                <w:highlight w:val="none"/>
                <w:u w:val="none"/>
                <w:lang w:val="en-US" w:eastAsia="zh-CN" w:bidi="ar"/>
              </w:rPr>
              <w:t>0</w:t>
            </w:r>
          </w:p>
        </w:tc>
        <w:tc>
          <w:tcPr>
            <w:tcW w:w="492" w:type="pct"/>
            <w:tcBorders>
              <w:tl2br w:val="nil"/>
              <w:tr2bl w:val="nil"/>
            </w:tcBorders>
            <w:shd w:val="clear" w:color="auto" w:fill="auto"/>
            <w:noWrap/>
            <w:vAlign w:val="center"/>
          </w:tcPr>
          <w:p w14:paraId="761326CE">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w:t>
            </w:r>
          </w:p>
        </w:tc>
        <w:tc>
          <w:tcPr>
            <w:tcW w:w="1344" w:type="dxa"/>
            <w:tcBorders>
              <w:tl2br w:val="nil"/>
              <w:tr2bl w:val="nil"/>
            </w:tcBorders>
            <w:shd w:val="clear" w:color="auto" w:fill="auto"/>
            <w:noWrap/>
            <w:vAlign w:val="center"/>
          </w:tcPr>
          <w:p w14:paraId="21D22BD6">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eastAsia" w:cs="Times New Roman"/>
                <w:i w:val="0"/>
                <w:iCs w:val="0"/>
                <w:color w:val="auto"/>
                <w:kern w:val="0"/>
                <w:sz w:val="18"/>
                <w:szCs w:val="18"/>
                <w:highlight w:val="none"/>
                <w:u w:val="none"/>
                <w:lang w:val="en-US" w:eastAsia="zh-CN" w:bidi="ar"/>
              </w:rPr>
              <w:t>0</w:t>
            </w:r>
          </w:p>
        </w:tc>
        <w:tc>
          <w:tcPr>
            <w:tcW w:w="1352" w:type="dxa"/>
            <w:tcBorders>
              <w:tl2br w:val="nil"/>
              <w:tr2bl w:val="nil"/>
            </w:tcBorders>
            <w:shd w:val="clear" w:color="auto" w:fill="auto"/>
            <w:noWrap/>
            <w:vAlign w:val="center"/>
          </w:tcPr>
          <w:p w14:paraId="5A7D4E60">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eastAsia" w:cs="Times New Roman"/>
                <w:i w:val="0"/>
                <w:iCs w:val="0"/>
                <w:color w:val="auto"/>
                <w:kern w:val="0"/>
                <w:sz w:val="18"/>
                <w:szCs w:val="18"/>
                <w:highlight w:val="none"/>
                <w:u w:val="none"/>
                <w:lang w:val="en-US" w:eastAsia="zh-CN" w:bidi="ar"/>
              </w:rPr>
              <w:t>0</w:t>
            </w:r>
          </w:p>
        </w:tc>
      </w:tr>
      <w:tr w14:paraId="76C1FE6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3" w:hRule="atLeast"/>
        </w:trPr>
        <w:tc>
          <w:tcPr>
            <w:tcW w:w="665" w:type="pct"/>
            <w:vMerge w:val="restart"/>
            <w:tcBorders>
              <w:tl2br w:val="nil"/>
              <w:tr2bl w:val="nil"/>
            </w:tcBorders>
            <w:shd w:val="clear" w:color="auto" w:fill="auto"/>
            <w:noWrap/>
            <w:vAlign w:val="center"/>
          </w:tcPr>
          <w:p w14:paraId="0544336F">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一般工业固体废物</w:t>
            </w:r>
          </w:p>
        </w:tc>
        <w:tc>
          <w:tcPr>
            <w:tcW w:w="885" w:type="pct"/>
            <w:tcBorders>
              <w:tl2br w:val="nil"/>
              <w:tr2bl w:val="nil"/>
            </w:tcBorders>
            <w:shd w:val="clear" w:color="auto" w:fill="auto"/>
            <w:noWrap/>
            <w:vAlign w:val="center"/>
          </w:tcPr>
          <w:p w14:paraId="473E6D2A">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废包装材料</w:t>
            </w:r>
          </w:p>
        </w:tc>
        <w:tc>
          <w:tcPr>
            <w:tcW w:w="492" w:type="pct"/>
            <w:tcBorders>
              <w:tl2br w:val="nil"/>
              <w:tr2bl w:val="nil"/>
            </w:tcBorders>
            <w:shd w:val="clear" w:color="auto" w:fill="auto"/>
            <w:noWrap/>
            <w:vAlign w:val="center"/>
          </w:tcPr>
          <w:p w14:paraId="379AB376">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w:t>
            </w:r>
          </w:p>
        </w:tc>
        <w:tc>
          <w:tcPr>
            <w:tcW w:w="492" w:type="pct"/>
            <w:tcBorders>
              <w:tl2br w:val="nil"/>
              <w:tr2bl w:val="nil"/>
            </w:tcBorders>
            <w:shd w:val="clear" w:color="auto" w:fill="auto"/>
            <w:noWrap/>
            <w:vAlign w:val="center"/>
          </w:tcPr>
          <w:p w14:paraId="6D9399A2">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w:t>
            </w:r>
          </w:p>
        </w:tc>
        <w:tc>
          <w:tcPr>
            <w:tcW w:w="492" w:type="pct"/>
            <w:tcBorders>
              <w:tl2br w:val="nil"/>
              <w:tr2bl w:val="nil"/>
            </w:tcBorders>
            <w:shd w:val="clear" w:color="auto" w:fill="auto"/>
            <w:noWrap/>
            <w:vAlign w:val="center"/>
          </w:tcPr>
          <w:p w14:paraId="0370EB5B">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w:t>
            </w:r>
          </w:p>
        </w:tc>
        <w:tc>
          <w:tcPr>
            <w:tcW w:w="492" w:type="pct"/>
            <w:tcBorders>
              <w:tl2br w:val="nil"/>
              <w:tr2bl w:val="nil"/>
            </w:tcBorders>
            <w:shd w:val="clear" w:color="auto" w:fill="auto"/>
            <w:noWrap/>
            <w:vAlign w:val="center"/>
          </w:tcPr>
          <w:p w14:paraId="0EF51E21">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lang w:val="en-US"/>
              </w:rPr>
            </w:pPr>
            <w:r>
              <w:rPr>
                <w:rFonts w:hint="eastAsia" w:cs="Times New Roman"/>
                <w:i w:val="0"/>
                <w:iCs w:val="0"/>
                <w:color w:val="auto"/>
                <w:kern w:val="0"/>
                <w:sz w:val="18"/>
                <w:szCs w:val="18"/>
                <w:highlight w:val="none"/>
                <w:u w:val="none"/>
                <w:lang w:val="en-US" w:eastAsia="zh-CN" w:bidi="ar"/>
              </w:rPr>
              <w:t>0.04</w:t>
            </w:r>
          </w:p>
        </w:tc>
        <w:tc>
          <w:tcPr>
            <w:tcW w:w="492" w:type="pct"/>
            <w:tcBorders>
              <w:tl2br w:val="nil"/>
              <w:tr2bl w:val="nil"/>
            </w:tcBorders>
            <w:shd w:val="clear" w:color="auto" w:fill="auto"/>
            <w:noWrap/>
            <w:vAlign w:val="center"/>
          </w:tcPr>
          <w:p w14:paraId="3AB3289E">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w:t>
            </w:r>
          </w:p>
        </w:tc>
        <w:tc>
          <w:tcPr>
            <w:tcW w:w="1344" w:type="dxa"/>
            <w:tcBorders>
              <w:tl2br w:val="nil"/>
              <w:tr2bl w:val="nil"/>
            </w:tcBorders>
            <w:shd w:val="clear" w:color="auto" w:fill="auto"/>
            <w:noWrap/>
            <w:vAlign w:val="center"/>
          </w:tcPr>
          <w:p w14:paraId="5AD94596">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lang w:val="en-US"/>
              </w:rPr>
            </w:pPr>
            <w:r>
              <w:rPr>
                <w:rFonts w:hint="eastAsia" w:cs="Times New Roman"/>
                <w:i w:val="0"/>
                <w:iCs w:val="0"/>
                <w:color w:val="auto"/>
                <w:kern w:val="0"/>
                <w:sz w:val="18"/>
                <w:szCs w:val="18"/>
                <w:highlight w:val="none"/>
                <w:u w:val="none"/>
                <w:lang w:val="en-US" w:eastAsia="zh-CN" w:bidi="ar"/>
              </w:rPr>
              <w:t>0.04</w:t>
            </w:r>
          </w:p>
        </w:tc>
        <w:tc>
          <w:tcPr>
            <w:tcW w:w="1352" w:type="dxa"/>
            <w:tcBorders>
              <w:tl2br w:val="nil"/>
              <w:tr2bl w:val="nil"/>
            </w:tcBorders>
            <w:shd w:val="clear" w:color="auto" w:fill="auto"/>
            <w:noWrap/>
            <w:vAlign w:val="center"/>
          </w:tcPr>
          <w:p w14:paraId="2D1ED803">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lang w:val="en-US"/>
              </w:rPr>
            </w:pPr>
            <w:r>
              <w:rPr>
                <w:rFonts w:hint="eastAsia" w:cs="Times New Roman"/>
                <w:i w:val="0"/>
                <w:iCs w:val="0"/>
                <w:color w:val="auto"/>
                <w:kern w:val="0"/>
                <w:sz w:val="18"/>
                <w:szCs w:val="18"/>
                <w:highlight w:val="none"/>
                <w:u w:val="none"/>
                <w:lang w:val="en-US" w:eastAsia="zh-CN" w:bidi="ar"/>
              </w:rPr>
              <w:t>0.04</w:t>
            </w:r>
          </w:p>
        </w:tc>
      </w:tr>
      <w:tr w14:paraId="0131221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665" w:type="pct"/>
            <w:vMerge w:val="continue"/>
            <w:tcBorders>
              <w:tl2br w:val="nil"/>
              <w:tr2bl w:val="nil"/>
            </w:tcBorders>
            <w:shd w:val="clear" w:color="auto" w:fill="auto"/>
            <w:noWrap/>
            <w:vAlign w:val="center"/>
          </w:tcPr>
          <w:p w14:paraId="3AC43464">
            <w:pPr>
              <w:jc w:val="center"/>
              <w:rPr>
                <w:rFonts w:hint="default" w:ascii="Times New Roman" w:hAnsi="Times New Roman" w:eastAsia="宋体" w:cs="Times New Roman"/>
                <w:i w:val="0"/>
                <w:iCs w:val="0"/>
                <w:color w:val="auto"/>
                <w:sz w:val="18"/>
                <w:szCs w:val="18"/>
                <w:highlight w:val="none"/>
                <w:u w:val="none"/>
              </w:rPr>
            </w:pPr>
          </w:p>
        </w:tc>
        <w:tc>
          <w:tcPr>
            <w:tcW w:w="885" w:type="pct"/>
            <w:tcBorders>
              <w:tl2br w:val="nil"/>
              <w:tr2bl w:val="nil"/>
            </w:tcBorders>
            <w:shd w:val="clear" w:color="auto" w:fill="auto"/>
            <w:noWrap/>
            <w:vAlign w:val="center"/>
          </w:tcPr>
          <w:p w14:paraId="1D267C77">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废弃研磨介质</w:t>
            </w:r>
          </w:p>
        </w:tc>
        <w:tc>
          <w:tcPr>
            <w:tcW w:w="492" w:type="pct"/>
            <w:tcBorders>
              <w:tl2br w:val="nil"/>
              <w:tr2bl w:val="nil"/>
            </w:tcBorders>
            <w:shd w:val="clear" w:color="auto" w:fill="auto"/>
            <w:noWrap/>
            <w:vAlign w:val="center"/>
          </w:tcPr>
          <w:p w14:paraId="1DE9BEA6">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w:t>
            </w:r>
          </w:p>
        </w:tc>
        <w:tc>
          <w:tcPr>
            <w:tcW w:w="492" w:type="pct"/>
            <w:tcBorders>
              <w:tl2br w:val="nil"/>
              <w:tr2bl w:val="nil"/>
            </w:tcBorders>
            <w:shd w:val="clear" w:color="auto" w:fill="auto"/>
            <w:noWrap/>
            <w:vAlign w:val="center"/>
          </w:tcPr>
          <w:p w14:paraId="0749ACE4">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w:t>
            </w:r>
          </w:p>
        </w:tc>
        <w:tc>
          <w:tcPr>
            <w:tcW w:w="492" w:type="pct"/>
            <w:tcBorders>
              <w:tl2br w:val="nil"/>
              <w:tr2bl w:val="nil"/>
            </w:tcBorders>
            <w:shd w:val="clear" w:color="auto" w:fill="auto"/>
            <w:noWrap/>
            <w:vAlign w:val="center"/>
          </w:tcPr>
          <w:p w14:paraId="42B2C1E1">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w:t>
            </w:r>
          </w:p>
        </w:tc>
        <w:tc>
          <w:tcPr>
            <w:tcW w:w="492" w:type="pct"/>
            <w:tcBorders>
              <w:tl2br w:val="nil"/>
              <w:tr2bl w:val="nil"/>
            </w:tcBorders>
            <w:shd w:val="clear" w:color="auto" w:fill="auto"/>
            <w:noWrap/>
            <w:vAlign w:val="center"/>
          </w:tcPr>
          <w:p w14:paraId="65D24857">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lang w:val="en-US"/>
              </w:rPr>
            </w:pPr>
            <w:r>
              <w:rPr>
                <w:rFonts w:hint="eastAsia" w:cs="Times New Roman"/>
                <w:i w:val="0"/>
                <w:iCs w:val="0"/>
                <w:color w:val="auto"/>
                <w:kern w:val="0"/>
                <w:sz w:val="18"/>
                <w:szCs w:val="18"/>
                <w:highlight w:val="none"/>
                <w:u w:val="none"/>
                <w:lang w:val="en-US" w:eastAsia="zh-CN" w:bidi="ar"/>
              </w:rPr>
              <w:t>0.005</w:t>
            </w:r>
          </w:p>
        </w:tc>
        <w:tc>
          <w:tcPr>
            <w:tcW w:w="492" w:type="pct"/>
            <w:tcBorders>
              <w:tl2br w:val="nil"/>
              <w:tr2bl w:val="nil"/>
            </w:tcBorders>
            <w:shd w:val="clear" w:color="auto" w:fill="auto"/>
            <w:noWrap/>
            <w:vAlign w:val="center"/>
          </w:tcPr>
          <w:p w14:paraId="603EBCB5">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w:t>
            </w:r>
          </w:p>
        </w:tc>
        <w:tc>
          <w:tcPr>
            <w:tcW w:w="1344" w:type="dxa"/>
            <w:tcBorders>
              <w:tl2br w:val="nil"/>
              <w:tr2bl w:val="nil"/>
            </w:tcBorders>
            <w:shd w:val="clear" w:color="auto" w:fill="auto"/>
            <w:noWrap/>
            <w:vAlign w:val="center"/>
          </w:tcPr>
          <w:p w14:paraId="4A183DBE">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lang w:val="en-US"/>
              </w:rPr>
            </w:pPr>
            <w:r>
              <w:rPr>
                <w:rFonts w:hint="eastAsia" w:cs="Times New Roman"/>
                <w:i w:val="0"/>
                <w:iCs w:val="0"/>
                <w:color w:val="auto"/>
                <w:kern w:val="0"/>
                <w:sz w:val="18"/>
                <w:szCs w:val="18"/>
                <w:highlight w:val="none"/>
                <w:u w:val="none"/>
                <w:lang w:val="en-US" w:eastAsia="zh-CN" w:bidi="ar"/>
              </w:rPr>
              <w:t>0.005</w:t>
            </w:r>
          </w:p>
        </w:tc>
        <w:tc>
          <w:tcPr>
            <w:tcW w:w="1352" w:type="dxa"/>
            <w:tcBorders>
              <w:tl2br w:val="nil"/>
              <w:tr2bl w:val="nil"/>
            </w:tcBorders>
            <w:shd w:val="clear" w:color="auto" w:fill="auto"/>
            <w:noWrap/>
            <w:vAlign w:val="center"/>
          </w:tcPr>
          <w:p w14:paraId="43FF15C3">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lang w:val="en-US"/>
              </w:rPr>
            </w:pPr>
            <w:r>
              <w:rPr>
                <w:rFonts w:hint="eastAsia" w:cs="Times New Roman"/>
                <w:i w:val="0"/>
                <w:iCs w:val="0"/>
                <w:color w:val="auto"/>
                <w:kern w:val="0"/>
                <w:sz w:val="18"/>
                <w:szCs w:val="18"/>
                <w:highlight w:val="none"/>
                <w:u w:val="none"/>
                <w:lang w:val="en-US" w:eastAsia="zh-CN" w:bidi="ar"/>
              </w:rPr>
              <w:t>0.005</w:t>
            </w:r>
          </w:p>
        </w:tc>
      </w:tr>
      <w:tr w14:paraId="0BFCB5E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665" w:type="pct"/>
            <w:vMerge w:val="continue"/>
            <w:tcBorders>
              <w:tl2br w:val="nil"/>
              <w:tr2bl w:val="nil"/>
            </w:tcBorders>
            <w:shd w:val="clear" w:color="auto" w:fill="auto"/>
            <w:noWrap/>
            <w:vAlign w:val="center"/>
          </w:tcPr>
          <w:p w14:paraId="109FB8AD">
            <w:pPr>
              <w:jc w:val="center"/>
              <w:rPr>
                <w:rFonts w:hint="default" w:ascii="Times New Roman" w:hAnsi="Times New Roman" w:eastAsia="宋体" w:cs="Times New Roman"/>
                <w:i w:val="0"/>
                <w:iCs w:val="0"/>
                <w:color w:val="auto"/>
                <w:sz w:val="18"/>
                <w:szCs w:val="18"/>
                <w:highlight w:val="none"/>
                <w:u w:val="none"/>
              </w:rPr>
            </w:pPr>
          </w:p>
        </w:tc>
        <w:tc>
          <w:tcPr>
            <w:tcW w:w="885" w:type="pct"/>
            <w:tcBorders>
              <w:tl2br w:val="nil"/>
              <w:tr2bl w:val="nil"/>
            </w:tcBorders>
            <w:shd w:val="clear" w:color="auto" w:fill="auto"/>
            <w:noWrap/>
            <w:vAlign w:val="center"/>
          </w:tcPr>
          <w:p w14:paraId="6332F0F6">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集尘</w:t>
            </w:r>
          </w:p>
        </w:tc>
        <w:tc>
          <w:tcPr>
            <w:tcW w:w="492" w:type="pct"/>
            <w:tcBorders>
              <w:tl2br w:val="nil"/>
              <w:tr2bl w:val="nil"/>
            </w:tcBorders>
            <w:shd w:val="clear" w:color="auto" w:fill="auto"/>
            <w:noWrap/>
            <w:vAlign w:val="center"/>
          </w:tcPr>
          <w:p w14:paraId="30243439">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w:t>
            </w:r>
          </w:p>
        </w:tc>
        <w:tc>
          <w:tcPr>
            <w:tcW w:w="492" w:type="pct"/>
            <w:tcBorders>
              <w:tl2br w:val="nil"/>
              <w:tr2bl w:val="nil"/>
            </w:tcBorders>
            <w:shd w:val="clear" w:color="auto" w:fill="auto"/>
            <w:noWrap/>
            <w:vAlign w:val="center"/>
          </w:tcPr>
          <w:p w14:paraId="4A3FEF0C">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w:t>
            </w:r>
          </w:p>
        </w:tc>
        <w:tc>
          <w:tcPr>
            <w:tcW w:w="492" w:type="pct"/>
            <w:tcBorders>
              <w:tl2br w:val="nil"/>
              <w:tr2bl w:val="nil"/>
            </w:tcBorders>
            <w:shd w:val="clear" w:color="auto" w:fill="auto"/>
            <w:noWrap/>
            <w:vAlign w:val="center"/>
          </w:tcPr>
          <w:p w14:paraId="7D42E34E">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w:t>
            </w:r>
          </w:p>
        </w:tc>
        <w:tc>
          <w:tcPr>
            <w:tcW w:w="492" w:type="pct"/>
            <w:tcBorders>
              <w:tl2br w:val="nil"/>
              <w:tr2bl w:val="nil"/>
            </w:tcBorders>
            <w:shd w:val="clear" w:color="auto" w:fill="auto"/>
            <w:noWrap/>
            <w:vAlign w:val="center"/>
          </w:tcPr>
          <w:p w14:paraId="3D858B61">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lang w:val="en-US"/>
              </w:rPr>
            </w:pPr>
            <w:r>
              <w:rPr>
                <w:rFonts w:hint="eastAsia" w:cs="Times New Roman"/>
                <w:i w:val="0"/>
                <w:iCs w:val="0"/>
                <w:color w:val="auto"/>
                <w:kern w:val="0"/>
                <w:sz w:val="18"/>
                <w:szCs w:val="18"/>
                <w:highlight w:val="none"/>
                <w:u w:val="none"/>
                <w:lang w:val="en-US" w:eastAsia="zh-CN" w:bidi="ar"/>
              </w:rPr>
              <w:t>0.013</w:t>
            </w:r>
          </w:p>
        </w:tc>
        <w:tc>
          <w:tcPr>
            <w:tcW w:w="492" w:type="pct"/>
            <w:tcBorders>
              <w:tl2br w:val="nil"/>
              <w:tr2bl w:val="nil"/>
            </w:tcBorders>
            <w:shd w:val="clear" w:color="auto" w:fill="auto"/>
            <w:noWrap/>
            <w:vAlign w:val="center"/>
          </w:tcPr>
          <w:p w14:paraId="33C3C3D3">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w:t>
            </w:r>
          </w:p>
        </w:tc>
        <w:tc>
          <w:tcPr>
            <w:tcW w:w="1344" w:type="dxa"/>
            <w:tcBorders>
              <w:tl2br w:val="nil"/>
              <w:tr2bl w:val="nil"/>
            </w:tcBorders>
            <w:shd w:val="clear" w:color="auto" w:fill="auto"/>
            <w:noWrap/>
            <w:vAlign w:val="center"/>
          </w:tcPr>
          <w:p w14:paraId="23F3E7C8">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lang w:val="en-US"/>
              </w:rPr>
            </w:pPr>
            <w:r>
              <w:rPr>
                <w:rFonts w:hint="eastAsia" w:cs="Times New Roman"/>
                <w:i w:val="0"/>
                <w:iCs w:val="0"/>
                <w:color w:val="auto"/>
                <w:kern w:val="0"/>
                <w:sz w:val="18"/>
                <w:szCs w:val="18"/>
                <w:highlight w:val="none"/>
                <w:u w:val="none"/>
                <w:lang w:val="en-US" w:eastAsia="zh-CN" w:bidi="ar"/>
              </w:rPr>
              <w:t>0.013</w:t>
            </w:r>
          </w:p>
        </w:tc>
        <w:tc>
          <w:tcPr>
            <w:tcW w:w="1352" w:type="dxa"/>
            <w:tcBorders>
              <w:tl2br w:val="nil"/>
              <w:tr2bl w:val="nil"/>
            </w:tcBorders>
            <w:shd w:val="clear" w:color="auto" w:fill="auto"/>
            <w:noWrap/>
            <w:vAlign w:val="center"/>
          </w:tcPr>
          <w:p w14:paraId="07D3E01F">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lang w:val="en-US"/>
              </w:rPr>
            </w:pPr>
            <w:r>
              <w:rPr>
                <w:rFonts w:hint="eastAsia" w:cs="Times New Roman"/>
                <w:i w:val="0"/>
                <w:iCs w:val="0"/>
                <w:color w:val="auto"/>
                <w:kern w:val="0"/>
                <w:sz w:val="18"/>
                <w:szCs w:val="18"/>
                <w:highlight w:val="none"/>
                <w:u w:val="none"/>
                <w:lang w:val="en-US" w:eastAsia="zh-CN" w:bidi="ar"/>
              </w:rPr>
              <w:t>0.013</w:t>
            </w:r>
          </w:p>
        </w:tc>
      </w:tr>
      <w:tr w14:paraId="5322F6E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3" w:hRule="atLeast"/>
        </w:trPr>
        <w:tc>
          <w:tcPr>
            <w:tcW w:w="665" w:type="pct"/>
            <w:vMerge w:val="continue"/>
            <w:tcBorders>
              <w:tl2br w:val="nil"/>
              <w:tr2bl w:val="nil"/>
            </w:tcBorders>
            <w:shd w:val="clear" w:color="auto" w:fill="auto"/>
            <w:noWrap/>
            <w:vAlign w:val="center"/>
          </w:tcPr>
          <w:p w14:paraId="6D01BBA5">
            <w:pPr>
              <w:jc w:val="center"/>
              <w:rPr>
                <w:rFonts w:hint="default" w:ascii="Times New Roman" w:hAnsi="Times New Roman" w:eastAsia="宋体" w:cs="Times New Roman"/>
                <w:i w:val="0"/>
                <w:iCs w:val="0"/>
                <w:color w:val="auto"/>
                <w:sz w:val="18"/>
                <w:szCs w:val="18"/>
                <w:highlight w:val="none"/>
                <w:u w:val="none"/>
              </w:rPr>
            </w:pPr>
          </w:p>
        </w:tc>
        <w:tc>
          <w:tcPr>
            <w:tcW w:w="885" w:type="pct"/>
            <w:tcBorders>
              <w:tl2br w:val="nil"/>
              <w:tr2bl w:val="nil"/>
            </w:tcBorders>
            <w:shd w:val="clear" w:color="auto" w:fill="auto"/>
            <w:noWrap/>
            <w:vAlign w:val="center"/>
          </w:tcPr>
          <w:p w14:paraId="7EF6F0DC">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不合格粉体</w:t>
            </w:r>
          </w:p>
        </w:tc>
        <w:tc>
          <w:tcPr>
            <w:tcW w:w="492" w:type="pct"/>
            <w:tcBorders>
              <w:tl2br w:val="nil"/>
              <w:tr2bl w:val="nil"/>
            </w:tcBorders>
            <w:shd w:val="clear" w:color="auto" w:fill="auto"/>
            <w:noWrap/>
            <w:vAlign w:val="center"/>
          </w:tcPr>
          <w:p w14:paraId="768BB063">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w:t>
            </w:r>
          </w:p>
        </w:tc>
        <w:tc>
          <w:tcPr>
            <w:tcW w:w="492" w:type="pct"/>
            <w:tcBorders>
              <w:tl2br w:val="nil"/>
              <w:tr2bl w:val="nil"/>
            </w:tcBorders>
            <w:shd w:val="clear" w:color="auto" w:fill="auto"/>
            <w:noWrap/>
            <w:vAlign w:val="center"/>
          </w:tcPr>
          <w:p w14:paraId="3A4CBA45">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w:t>
            </w:r>
          </w:p>
        </w:tc>
        <w:tc>
          <w:tcPr>
            <w:tcW w:w="492" w:type="pct"/>
            <w:tcBorders>
              <w:tl2br w:val="nil"/>
              <w:tr2bl w:val="nil"/>
            </w:tcBorders>
            <w:shd w:val="clear" w:color="auto" w:fill="auto"/>
            <w:noWrap/>
            <w:vAlign w:val="center"/>
          </w:tcPr>
          <w:p w14:paraId="3ABC30B1">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w:t>
            </w:r>
          </w:p>
        </w:tc>
        <w:tc>
          <w:tcPr>
            <w:tcW w:w="492" w:type="pct"/>
            <w:tcBorders>
              <w:tl2br w:val="nil"/>
              <w:tr2bl w:val="nil"/>
            </w:tcBorders>
            <w:shd w:val="clear" w:color="auto" w:fill="auto"/>
            <w:noWrap/>
            <w:vAlign w:val="center"/>
          </w:tcPr>
          <w:p w14:paraId="39EFB3A9">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lang w:val="en-US"/>
              </w:rPr>
            </w:pPr>
            <w:r>
              <w:rPr>
                <w:rFonts w:hint="eastAsia" w:cs="Times New Roman"/>
                <w:i w:val="0"/>
                <w:iCs w:val="0"/>
                <w:color w:val="auto"/>
                <w:kern w:val="0"/>
                <w:sz w:val="18"/>
                <w:szCs w:val="18"/>
                <w:highlight w:val="none"/>
                <w:u w:val="none"/>
                <w:lang w:val="en-US" w:eastAsia="zh-CN" w:bidi="ar"/>
              </w:rPr>
              <w:t>0.218</w:t>
            </w:r>
          </w:p>
        </w:tc>
        <w:tc>
          <w:tcPr>
            <w:tcW w:w="492" w:type="pct"/>
            <w:tcBorders>
              <w:tl2br w:val="nil"/>
              <w:tr2bl w:val="nil"/>
            </w:tcBorders>
            <w:shd w:val="clear" w:color="auto" w:fill="auto"/>
            <w:noWrap/>
            <w:vAlign w:val="center"/>
          </w:tcPr>
          <w:p w14:paraId="3CB09A3F">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w:t>
            </w:r>
          </w:p>
        </w:tc>
        <w:tc>
          <w:tcPr>
            <w:tcW w:w="1344" w:type="dxa"/>
            <w:tcBorders>
              <w:tl2br w:val="nil"/>
              <w:tr2bl w:val="nil"/>
            </w:tcBorders>
            <w:shd w:val="clear" w:color="auto" w:fill="auto"/>
            <w:noWrap/>
            <w:vAlign w:val="center"/>
          </w:tcPr>
          <w:p w14:paraId="34385A44">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lang w:val="en-US"/>
              </w:rPr>
            </w:pPr>
            <w:r>
              <w:rPr>
                <w:rFonts w:hint="eastAsia" w:cs="Times New Roman"/>
                <w:i w:val="0"/>
                <w:iCs w:val="0"/>
                <w:color w:val="auto"/>
                <w:kern w:val="0"/>
                <w:sz w:val="18"/>
                <w:szCs w:val="18"/>
                <w:highlight w:val="none"/>
                <w:u w:val="none"/>
                <w:lang w:val="en-US" w:eastAsia="zh-CN" w:bidi="ar"/>
              </w:rPr>
              <w:t>0.218</w:t>
            </w:r>
          </w:p>
        </w:tc>
        <w:tc>
          <w:tcPr>
            <w:tcW w:w="1352" w:type="dxa"/>
            <w:tcBorders>
              <w:tl2br w:val="nil"/>
              <w:tr2bl w:val="nil"/>
            </w:tcBorders>
            <w:shd w:val="clear" w:color="auto" w:fill="auto"/>
            <w:noWrap/>
            <w:vAlign w:val="center"/>
          </w:tcPr>
          <w:p w14:paraId="1CE58A6F">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lang w:val="en-US"/>
              </w:rPr>
            </w:pPr>
            <w:r>
              <w:rPr>
                <w:rFonts w:hint="eastAsia" w:cs="Times New Roman"/>
                <w:i w:val="0"/>
                <w:iCs w:val="0"/>
                <w:color w:val="auto"/>
                <w:kern w:val="0"/>
                <w:sz w:val="18"/>
                <w:szCs w:val="18"/>
                <w:highlight w:val="none"/>
                <w:u w:val="none"/>
                <w:lang w:val="en-US" w:eastAsia="zh-CN" w:bidi="ar"/>
              </w:rPr>
              <w:t>0.218</w:t>
            </w:r>
          </w:p>
        </w:tc>
      </w:tr>
      <w:tr w14:paraId="796B91D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3" w:hRule="atLeast"/>
        </w:trPr>
        <w:tc>
          <w:tcPr>
            <w:tcW w:w="665" w:type="pct"/>
            <w:vMerge w:val="continue"/>
            <w:tcBorders>
              <w:tl2br w:val="nil"/>
              <w:tr2bl w:val="nil"/>
            </w:tcBorders>
            <w:shd w:val="clear" w:color="auto" w:fill="auto"/>
            <w:noWrap/>
            <w:vAlign w:val="center"/>
          </w:tcPr>
          <w:p w14:paraId="728D011C">
            <w:pPr>
              <w:jc w:val="center"/>
              <w:rPr>
                <w:rFonts w:hint="default" w:ascii="Times New Roman" w:hAnsi="Times New Roman" w:eastAsia="宋体" w:cs="Times New Roman"/>
                <w:i w:val="0"/>
                <w:iCs w:val="0"/>
                <w:color w:val="auto"/>
                <w:sz w:val="18"/>
                <w:szCs w:val="18"/>
                <w:highlight w:val="none"/>
                <w:u w:val="none"/>
              </w:rPr>
            </w:pPr>
          </w:p>
        </w:tc>
        <w:tc>
          <w:tcPr>
            <w:tcW w:w="885" w:type="pct"/>
            <w:tcBorders>
              <w:tl2br w:val="nil"/>
              <w:tr2bl w:val="nil"/>
            </w:tcBorders>
            <w:shd w:val="clear" w:color="auto" w:fill="auto"/>
            <w:noWrap/>
            <w:vAlign w:val="center"/>
          </w:tcPr>
          <w:p w14:paraId="14C5BF18">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测试废料</w:t>
            </w:r>
          </w:p>
        </w:tc>
        <w:tc>
          <w:tcPr>
            <w:tcW w:w="492" w:type="pct"/>
            <w:tcBorders>
              <w:tl2br w:val="nil"/>
              <w:tr2bl w:val="nil"/>
            </w:tcBorders>
            <w:shd w:val="clear" w:color="auto" w:fill="auto"/>
            <w:noWrap/>
            <w:vAlign w:val="center"/>
          </w:tcPr>
          <w:p w14:paraId="6B0BFFC7">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w:t>
            </w:r>
          </w:p>
        </w:tc>
        <w:tc>
          <w:tcPr>
            <w:tcW w:w="492" w:type="pct"/>
            <w:tcBorders>
              <w:tl2br w:val="nil"/>
              <w:tr2bl w:val="nil"/>
            </w:tcBorders>
            <w:shd w:val="clear" w:color="auto" w:fill="auto"/>
            <w:noWrap/>
            <w:vAlign w:val="center"/>
          </w:tcPr>
          <w:p w14:paraId="2FB2F125">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w:t>
            </w:r>
          </w:p>
        </w:tc>
        <w:tc>
          <w:tcPr>
            <w:tcW w:w="492" w:type="pct"/>
            <w:tcBorders>
              <w:tl2br w:val="nil"/>
              <w:tr2bl w:val="nil"/>
            </w:tcBorders>
            <w:shd w:val="clear" w:color="auto" w:fill="auto"/>
            <w:noWrap/>
            <w:vAlign w:val="center"/>
          </w:tcPr>
          <w:p w14:paraId="79C27151">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w:t>
            </w:r>
          </w:p>
        </w:tc>
        <w:tc>
          <w:tcPr>
            <w:tcW w:w="492" w:type="pct"/>
            <w:tcBorders>
              <w:tl2br w:val="nil"/>
              <w:tr2bl w:val="nil"/>
            </w:tcBorders>
            <w:shd w:val="clear" w:color="auto" w:fill="auto"/>
            <w:noWrap/>
            <w:vAlign w:val="center"/>
          </w:tcPr>
          <w:p w14:paraId="7FB38C72">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eastAsia" w:cs="Times New Roman"/>
                <w:i w:val="0"/>
                <w:iCs w:val="0"/>
                <w:color w:val="auto"/>
                <w:kern w:val="0"/>
                <w:sz w:val="18"/>
                <w:szCs w:val="18"/>
                <w:highlight w:val="none"/>
                <w:u w:val="none"/>
                <w:lang w:val="en-US" w:eastAsia="zh-CN" w:bidi="ar"/>
              </w:rPr>
              <w:t>1</w:t>
            </w:r>
          </w:p>
        </w:tc>
        <w:tc>
          <w:tcPr>
            <w:tcW w:w="492" w:type="pct"/>
            <w:tcBorders>
              <w:tl2br w:val="nil"/>
              <w:tr2bl w:val="nil"/>
            </w:tcBorders>
            <w:shd w:val="clear" w:color="auto" w:fill="auto"/>
            <w:noWrap/>
            <w:vAlign w:val="center"/>
          </w:tcPr>
          <w:p w14:paraId="0DB8A365">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w:t>
            </w:r>
          </w:p>
        </w:tc>
        <w:tc>
          <w:tcPr>
            <w:tcW w:w="1344" w:type="dxa"/>
            <w:tcBorders>
              <w:tl2br w:val="nil"/>
              <w:tr2bl w:val="nil"/>
            </w:tcBorders>
            <w:shd w:val="clear" w:color="auto" w:fill="auto"/>
            <w:noWrap/>
            <w:vAlign w:val="center"/>
          </w:tcPr>
          <w:p w14:paraId="4DC33E2A">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eastAsia" w:cs="Times New Roman"/>
                <w:i w:val="0"/>
                <w:iCs w:val="0"/>
                <w:color w:val="auto"/>
                <w:kern w:val="0"/>
                <w:sz w:val="18"/>
                <w:szCs w:val="18"/>
                <w:highlight w:val="none"/>
                <w:u w:val="none"/>
                <w:lang w:val="en-US" w:eastAsia="zh-CN" w:bidi="ar"/>
              </w:rPr>
              <w:t>1</w:t>
            </w:r>
          </w:p>
        </w:tc>
        <w:tc>
          <w:tcPr>
            <w:tcW w:w="1352" w:type="dxa"/>
            <w:tcBorders>
              <w:tl2br w:val="nil"/>
              <w:tr2bl w:val="nil"/>
            </w:tcBorders>
            <w:shd w:val="clear" w:color="auto" w:fill="auto"/>
            <w:noWrap/>
            <w:vAlign w:val="center"/>
          </w:tcPr>
          <w:p w14:paraId="46BCBE1D">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eastAsia" w:cs="Times New Roman"/>
                <w:i w:val="0"/>
                <w:iCs w:val="0"/>
                <w:color w:val="auto"/>
                <w:kern w:val="0"/>
                <w:sz w:val="18"/>
                <w:szCs w:val="18"/>
                <w:highlight w:val="none"/>
                <w:u w:val="none"/>
                <w:lang w:val="en-US" w:eastAsia="zh-CN" w:bidi="ar"/>
              </w:rPr>
              <w:t>1</w:t>
            </w:r>
          </w:p>
        </w:tc>
      </w:tr>
      <w:tr w14:paraId="0050A90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3" w:hRule="atLeast"/>
        </w:trPr>
        <w:tc>
          <w:tcPr>
            <w:tcW w:w="665" w:type="pct"/>
            <w:vMerge w:val="continue"/>
            <w:tcBorders>
              <w:tl2br w:val="nil"/>
              <w:tr2bl w:val="nil"/>
            </w:tcBorders>
            <w:shd w:val="clear" w:color="auto" w:fill="auto"/>
            <w:noWrap/>
            <w:vAlign w:val="center"/>
          </w:tcPr>
          <w:p w14:paraId="28E8B240">
            <w:pPr>
              <w:jc w:val="center"/>
              <w:rPr>
                <w:rFonts w:hint="default" w:ascii="Times New Roman" w:hAnsi="Times New Roman" w:eastAsia="宋体" w:cs="Times New Roman"/>
                <w:i w:val="0"/>
                <w:iCs w:val="0"/>
                <w:color w:val="auto"/>
                <w:sz w:val="18"/>
                <w:szCs w:val="18"/>
                <w:highlight w:val="none"/>
                <w:u w:val="none"/>
              </w:rPr>
            </w:pPr>
          </w:p>
        </w:tc>
        <w:tc>
          <w:tcPr>
            <w:tcW w:w="885" w:type="pct"/>
            <w:tcBorders>
              <w:tl2br w:val="nil"/>
              <w:tr2bl w:val="nil"/>
            </w:tcBorders>
            <w:shd w:val="clear" w:color="auto" w:fill="auto"/>
            <w:noWrap/>
            <w:vAlign w:val="center"/>
          </w:tcPr>
          <w:p w14:paraId="11FBA15F">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沉淀污泥</w:t>
            </w:r>
          </w:p>
        </w:tc>
        <w:tc>
          <w:tcPr>
            <w:tcW w:w="492" w:type="pct"/>
            <w:tcBorders>
              <w:tl2br w:val="nil"/>
              <w:tr2bl w:val="nil"/>
            </w:tcBorders>
            <w:shd w:val="clear" w:color="auto" w:fill="auto"/>
            <w:noWrap/>
            <w:vAlign w:val="center"/>
          </w:tcPr>
          <w:p w14:paraId="3E8A30D1">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w:t>
            </w:r>
          </w:p>
        </w:tc>
        <w:tc>
          <w:tcPr>
            <w:tcW w:w="492" w:type="pct"/>
            <w:tcBorders>
              <w:tl2br w:val="nil"/>
              <w:tr2bl w:val="nil"/>
            </w:tcBorders>
            <w:shd w:val="clear" w:color="auto" w:fill="auto"/>
            <w:noWrap/>
            <w:vAlign w:val="center"/>
          </w:tcPr>
          <w:p w14:paraId="26CED4E4">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w:t>
            </w:r>
          </w:p>
        </w:tc>
        <w:tc>
          <w:tcPr>
            <w:tcW w:w="492" w:type="pct"/>
            <w:tcBorders>
              <w:tl2br w:val="nil"/>
              <w:tr2bl w:val="nil"/>
            </w:tcBorders>
            <w:shd w:val="clear" w:color="auto" w:fill="auto"/>
            <w:noWrap/>
            <w:vAlign w:val="center"/>
          </w:tcPr>
          <w:p w14:paraId="01702896">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w:t>
            </w:r>
          </w:p>
        </w:tc>
        <w:tc>
          <w:tcPr>
            <w:tcW w:w="492" w:type="pct"/>
            <w:tcBorders>
              <w:tl2br w:val="nil"/>
              <w:tr2bl w:val="nil"/>
            </w:tcBorders>
            <w:shd w:val="clear" w:color="auto" w:fill="auto"/>
            <w:noWrap/>
            <w:vAlign w:val="center"/>
          </w:tcPr>
          <w:p w14:paraId="0877C4BA">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lang w:val="en-US"/>
              </w:rPr>
            </w:pPr>
            <w:r>
              <w:rPr>
                <w:rFonts w:hint="eastAsia" w:cs="Times New Roman"/>
                <w:i w:val="0"/>
                <w:iCs w:val="0"/>
                <w:color w:val="auto"/>
                <w:kern w:val="0"/>
                <w:sz w:val="18"/>
                <w:szCs w:val="18"/>
                <w:highlight w:val="none"/>
                <w:u w:val="none"/>
                <w:lang w:val="en-US" w:eastAsia="zh-CN" w:bidi="ar"/>
              </w:rPr>
              <w:t>0.1</w:t>
            </w:r>
          </w:p>
        </w:tc>
        <w:tc>
          <w:tcPr>
            <w:tcW w:w="492" w:type="pct"/>
            <w:tcBorders>
              <w:tl2br w:val="nil"/>
              <w:tr2bl w:val="nil"/>
            </w:tcBorders>
            <w:shd w:val="clear" w:color="auto" w:fill="auto"/>
            <w:noWrap/>
            <w:vAlign w:val="center"/>
          </w:tcPr>
          <w:p w14:paraId="1E8336DB">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w:t>
            </w:r>
          </w:p>
        </w:tc>
        <w:tc>
          <w:tcPr>
            <w:tcW w:w="1344" w:type="dxa"/>
            <w:tcBorders>
              <w:tl2br w:val="nil"/>
              <w:tr2bl w:val="nil"/>
            </w:tcBorders>
            <w:shd w:val="clear" w:color="auto" w:fill="auto"/>
            <w:noWrap/>
            <w:vAlign w:val="center"/>
          </w:tcPr>
          <w:p w14:paraId="2B1C3654">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lang w:val="en-US"/>
              </w:rPr>
            </w:pPr>
            <w:r>
              <w:rPr>
                <w:rFonts w:hint="eastAsia" w:cs="Times New Roman"/>
                <w:i w:val="0"/>
                <w:iCs w:val="0"/>
                <w:color w:val="auto"/>
                <w:kern w:val="0"/>
                <w:sz w:val="18"/>
                <w:szCs w:val="18"/>
                <w:highlight w:val="none"/>
                <w:u w:val="none"/>
                <w:lang w:val="en-US" w:eastAsia="zh-CN" w:bidi="ar"/>
              </w:rPr>
              <w:t>0.1</w:t>
            </w:r>
          </w:p>
        </w:tc>
        <w:tc>
          <w:tcPr>
            <w:tcW w:w="1352" w:type="dxa"/>
            <w:tcBorders>
              <w:tl2br w:val="nil"/>
              <w:tr2bl w:val="nil"/>
            </w:tcBorders>
            <w:shd w:val="clear" w:color="auto" w:fill="auto"/>
            <w:noWrap/>
            <w:vAlign w:val="center"/>
          </w:tcPr>
          <w:p w14:paraId="4B02753C">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lang w:val="en-US"/>
              </w:rPr>
            </w:pPr>
            <w:r>
              <w:rPr>
                <w:rFonts w:hint="eastAsia" w:cs="Times New Roman"/>
                <w:i w:val="0"/>
                <w:iCs w:val="0"/>
                <w:color w:val="auto"/>
                <w:kern w:val="0"/>
                <w:sz w:val="18"/>
                <w:szCs w:val="18"/>
                <w:highlight w:val="none"/>
                <w:u w:val="none"/>
                <w:lang w:val="en-US" w:eastAsia="zh-CN" w:bidi="ar"/>
              </w:rPr>
              <w:t>0.1</w:t>
            </w:r>
          </w:p>
        </w:tc>
      </w:tr>
      <w:tr w14:paraId="4C26C6D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3" w:hRule="atLeast"/>
        </w:trPr>
        <w:tc>
          <w:tcPr>
            <w:tcW w:w="665" w:type="pct"/>
            <w:vMerge w:val="continue"/>
            <w:tcBorders>
              <w:tl2br w:val="nil"/>
              <w:tr2bl w:val="nil"/>
            </w:tcBorders>
            <w:shd w:val="clear" w:color="auto" w:fill="auto"/>
            <w:noWrap/>
            <w:vAlign w:val="center"/>
          </w:tcPr>
          <w:p w14:paraId="3F43C160">
            <w:pPr>
              <w:jc w:val="center"/>
              <w:rPr>
                <w:rFonts w:hint="default" w:ascii="Times New Roman" w:hAnsi="Times New Roman" w:eastAsia="宋体" w:cs="Times New Roman"/>
                <w:i w:val="0"/>
                <w:iCs w:val="0"/>
                <w:color w:val="auto"/>
                <w:sz w:val="18"/>
                <w:szCs w:val="18"/>
                <w:highlight w:val="none"/>
                <w:u w:val="none"/>
              </w:rPr>
            </w:pPr>
          </w:p>
        </w:tc>
        <w:tc>
          <w:tcPr>
            <w:tcW w:w="885" w:type="pct"/>
            <w:tcBorders>
              <w:tl2br w:val="nil"/>
              <w:tr2bl w:val="nil"/>
            </w:tcBorders>
            <w:shd w:val="clear" w:color="auto" w:fill="auto"/>
            <w:noWrap/>
            <w:vAlign w:val="center"/>
          </w:tcPr>
          <w:p w14:paraId="068CCBD4">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纯水制备过滤介质</w:t>
            </w:r>
          </w:p>
        </w:tc>
        <w:tc>
          <w:tcPr>
            <w:tcW w:w="492" w:type="pct"/>
            <w:tcBorders>
              <w:tl2br w:val="nil"/>
              <w:tr2bl w:val="nil"/>
            </w:tcBorders>
            <w:shd w:val="clear" w:color="auto" w:fill="auto"/>
            <w:noWrap/>
            <w:vAlign w:val="center"/>
          </w:tcPr>
          <w:p w14:paraId="3F59A136">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w:t>
            </w:r>
          </w:p>
        </w:tc>
        <w:tc>
          <w:tcPr>
            <w:tcW w:w="492" w:type="pct"/>
            <w:tcBorders>
              <w:tl2br w:val="nil"/>
              <w:tr2bl w:val="nil"/>
            </w:tcBorders>
            <w:shd w:val="clear" w:color="auto" w:fill="auto"/>
            <w:noWrap/>
            <w:vAlign w:val="center"/>
          </w:tcPr>
          <w:p w14:paraId="1A8E33B3">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w:t>
            </w:r>
          </w:p>
        </w:tc>
        <w:tc>
          <w:tcPr>
            <w:tcW w:w="492" w:type="pct"/>
            <w:tcBorders>
              <w:tl2br w:val="nil"/>
              <w:tr2bl w:val="nil"/>
            </w:tcBorders>
            <w:shd w:val="clear" w:color="auto" w:fill="auto"/>
            <w:noWrap/>
            <w:vAlign w:val="center"/>
          </w:tcPr>
          <w:p w14:paraId="1BC76F40">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w:t>
            </w:r>
          </w:p>
        </w:tc>
        <w:tc>
          <w:tcPr>
            <w:tcW w:w="492" w:type="pct"/>
            <w:tcBorders>
              <w:tl2br w:val="nil"/>
              <w:tr2bl w:val="nil"/>
            </w:tcBorders>
            <w:shd w:val="clear" w:color="auto" w:fill="auto"/>
            <w:noWrap/>
            <w:vAlign w:val="center"/>
          </w:tcPr>
          <w:p w14:paraId="3938E363">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lang w:val="en-US"/>
              </w:rPr>
            </w:pPr>
            <w:r>
              <w:rPr>
                <w:rFonts w:hint="eastAsia" w:cs="Times New Roman"/>
                <w:i w:val="0"/>
                <w:iCs w:val="0"/>
                <w:color w:val="auto"/>
                <w:kern w:val="0"/>
                <w:sz w:val="18"/>
                <w:szCs w:val="18"/>
                <w:highlight w:val="none"/>
                <w:u w:val="none"/>
                <w:lang w:val="en-US" w:eastAsia="zh-CN" w:bidi="ar"/>
              </w:rPr>
              <w:t>0.001</w:t>
            </w:r>
          </w:p>
        </w:tc>
        <w:tc>
          <w:tcPr>
            <w:tcW w:w="492" w:type="pct"/>
            <w:tcBorders>
              <w:tl2br w:val="nil"/>
              <w:tr2bl w:val="nil"/>
            </w:tcBorders>
            <w:shd w:val="clear" w:color="auto" w:fill="auto"/>
            <w:noWrap/>
            <w:vAlign w:val="center"/>
          </w:tcPr>
          <w:p w14:paraId="33FE2604">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w:t>
            </w:r>
          </w:p>
        </w:tc>
        <w:tc>
          <w:tcPr>
            <w:tcW w:w="1344" w:type="dxa"/>
            <w:tcBorders>
              <w:tl2br w:val="nil"/>
              <w:tr2bl w:val="nil"/>
            </w:tcBorders>
            <w:shd w:val="clear" w:color="auto" w:fill="auto"/>
            <w:noWrap/>
            <w:vAlign w:val="center"/>
          </w:tcPr>
          <w:p w14:paraId="013CB6EF">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eastAsia" w:cs="Times New Roman"/>
                <w:i w:val="0"/>
                <w:iCs w:val="0"/>
                <w:color w:val="auto"/>
                <w:kern w:val="0"/>
                <w:sz w:val="18"/>
                <w:szCs w:val="18"/>
                <w:highlight w:val="none"/>
                <w:u w:val="none"/>
                <w:lang w:val="en-US" w:eastAsia="zh-CN" w:bidi="ar"/>
              </w:rPr>
              <w:t>0.001</w:t>
            </w:r>
          </w:p>
        </w:tc>
        <w:tc>
          <w:tcPr>
            <w:tcW w:w="1352" w:type="dxa"/>
            <w:tcBorders>
              <w:tl2br w:val="nil"/>
              <w:tr2bl w:val="nil"/>
            </w:tcBorders>
            <w:shd w:val="clear" w:color="auto" w:fill="auto"/>
            <w:noWrap/>
            <w:vAlign w:val="center"/>
          </w:tcPr>
          <w:p w14:paraId="2B61031A">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lang w:val="en-US"/>
              </w:rPr>
            </w:pPr>
            <w:r>
              <w:rPr>
                <w:rFonts w:hint="eastAsia" w:cs="Times New Roman"/>
                <w:i w:val="0"/>
                <w:iCs w:val="0"/>
                <w:color w:val="auto"/>
                <w:kern w:val="0"/>
                <w:sz w:val="18"/>
                <w:szCs w:val="18"/>
                <w:highlight w:val="none"/>
                <w:u w:val="none"/>
                <w:lang w:val="en-US" w:eastAsia="zh-CN" w:bidi="ar"/>
              </w:rPr>
              <w:t>0.001</w:t>
            </w:r>
          </w:p>
        </w:tc>
      </w:tr>
      <w:tr w14:paraId="34C8621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3" w:hRule="atLeast"/>
        </w:trPr>
        <w:tc>
          <w:tcPr>
            <w:tcW w:w="665" w:type="pct"/>
            <w:vMerge w:val="continue"/>
            <w:tcBorders>
              <w:tl2br w:val="nil"/>
              <w:tr2bl w:val="nil"/>
            </w:tcBorders>
            <w:shd w:val="clear" w:color="auto" w:fill="auto"/>
            <w:noWrap/>
            <w:vAlign w:val="center"/>
          </w:tcPr>
          <w:p w14:paraId="1CDC9A62">
            <w:pPr>
              <w:jc w:val="center"/>
              <w:rPr>
                <w:rFonts w:hint="default" w:ascii="Times New Roman" w:hAnsi="Times New Roman" w:eastAsia="宋体" w:cs="Times New Roman"/>
                <w:i w:val="0"/>
                <w:iCs w:val="0"/>
                <w:color w:val="auto"/>
                <w:sz w:val="18"/>
                <w:szCs w:val="18"/>
                <w:highlight w:val="none"/>
                <w:u w:val="none"/>
              </w:rPr>
            </w:pPr>
          </w:p>
        </w:tc>
        <w:tc>
          <w:tcPr>
            <w:tcW w:w="885" w:type="pct"/>
            <w:tcBorders>
              <w:tl2br w:val="nil"/>
              <w:tr2bl w:val="nil"/>
            </w:tcBorders>
            <w:shd w:val="clear" w:color="auto" w:fill="auto"/>
            <w:noWrap/>
            <w:vAlign w:val="center"/>
          </w:tcPr>
          <w:p w14:paraId="542FDDE5">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设备废滤料</w:t>
            </w:r>
          </w:p>
        </w:tc>
        <w:tc>
          <w:tcPr>
            <w:tcW w:w="492" w:type="pct"/>
            <w:tcBorders>
              <w:tl2br w:val="nil"/>
              <w:tr2bl w:val="nil"/>
            </w:tcBorders>
            <w:shd w:val="clear" w:color="auto" w:fill="auto"/>
            <w:noWrap/>
            <w:vAlign w:val="center"/>
          </w:tcPr>
          <w:p w14:paraId="6D14EB07">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w:t>
            </w:r>
          </w:p>
        </w:tc>
        <w:tc>
          <w:tcPr>
            <w:tcW w:w="492" w:type="pct"/>
            <w:tcBorders>
              <w:tl2br w:val="nil"/>
              <w:tr2bl w:val="nil"/>
            </w:tcBorders>
            <w:shd w:val="clear" w:color="auto" w:fill="auto"/>
            <w:noWrap/>
            <w:vAlign w:val="center"/>
          </w:tcPr>
          <w:p w14:paraId="6E5A376D">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w:t>
            </w:r>
          </w:p>
        </w:tc>
        <w:tc>
          <w:tcPr>
            <w:tcW w:w="492" w:type="pct"/>
            <w:tcBorders>
              <w:tl2br w:val="nil"/>
              <w:tr2bl w:val="nil"/>
            </w:tcBorders>
            <w:shd w:val="clear" w:color="auto" w:fill="auto"/>
            <w:noWrap/>
            <w:vAlign w:val="center"/>
          </w:tcPr>
          <w:p w14:paraId="28FEBE6E">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w:t>
            </w:r>
          </w:p>
        </w:tc>
        <w:tc>
          <w:tcPr>
            <w:tcW w:w="492" w:type="pct"/>
            <w:tcBorders>
              <w:tl2br w:val="nil"/>
              <w:tr2bl w:val="nil"/>
            </w:tcBorders>
            <w:shd w:val="clear" w:color="auto" w:fill="auto"/>
            <w:noWrap/>
            <w:vAlign w:val="center"/>
          </w:tcPr>
          <w:p w14:paraId="7B634F72">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lang w:val="en-US"/>
              </w:rPr>
            </w:pPr>
            <w:r>
              <w:rPr>
                <w:rFonts w:hint="eastAsia" w:cs="Times New Roman"/>
                <w:i w:val="0"/>
                <w:iCs w:val="0"/>
                <w:color w:val="auto"/>
                <w:kern w:val="0"/>
                <w:sz w:val="18"/>
                <w:szCs w:val="18"/>
                <w:highlight w:val="none"/>
                <w:u w:val="none"/>
                <w:lang w:val="en-US" w:eastAsia="zh-CN" w:bidi="ar"/>
              </w:rPr>
              <w:t>0.08</w:t>
            </w:r>
          </w:p>
        </w:tc>
        <w:tc>
          <w:tcPr>
            <w:tcW w:w="492" w:type="pct"/>
            <w:tcBorders>
              <w:tl2br w:val="nil"/>
              <w:tr2bl w:val="nil"/>
            </w:tcBorders>
            <w:shd w:val="clear" w:color="auto" w:fill="auto"/>
            <w:noWrap/>
            <w:vAlign w:val="center"/>
          </w:tcPr>
          <w:p w14:paraId="3E7A4F16">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w:t>
            </w:r>
          </w:p>
        </w:tc>
        <w:tc>
          <w:tcPr>
            <w:tcW w:w="1344" w:type="dxa"/>
            <w:tcBorders>
              <w:tl2br w:val="nil"/>
              <w:tr2bl w:val="nil"/>
            </w:tcBorders>
            <w:shd w:val="clear" w:color="auto" w:fill="auto"/>
            <w:noWrap/>
            <w:vAlign w:val="center"/>
          </w:tcPr>
          <w:p w14:paraId="720462E5">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lang w:val="en-US"/>
              </w:rPr>
            </w:pPr>
            <w:r>
              <w:rPr>
                <w:rFonts w:hint="eastAsia" w:cs="Times New Roman"/>
                <w:i w:val="0"/>
                <w:iCs w:val="0"/>
                <w:color w:val="auto"/>
                <w:kern w:val="0"/>
                <w:sz w:val="18"/>
                <w:szCs w:val="18"/>
                <w:highlight w:val="none"/>
                <w:u w:val="none"/>
                <w:lang w:val="en-US" w:eastAsia="zh-CN" w:bidi="ar"/>
              </w:rPr>
              <w:t>0.08</w:t>
            </w:r>
          </w:p>
        </w:tc>
        <w:tc>
          <w:tcPr>
            <w:tcW w:w="1352" w:type="dxa"/>
            <w:tcBorders>
              <w:tl2br w:val="nil"/>
              <w:tr2bl w:val="nil"/>
            </w:tcBorders>
            <w:shd w:val="clear" w:color="auto" w:fill="auto"/>
            <w:noWrap/>
            <w:vAlign w:val="center"/>
          </w:tcPr>
          <w:p w14:paraId="730499D0">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lang w:val="en-US"/>
              </w:rPr>
            </w:pPr>
            <w:r>
              <w:rPr>
                <w:rFonts w:hint="eastAsia" w:cs="Times New Roman"/>
                <w:i w:val="0"/>
                <w:iCs w:val="0"/>
                <w:color w:val="auto"/>
                <w:kern w:val="0"/>
                <w:sz w:val="18"/>
                <w:szCs w:val="18"/>
                <w:highlight w:val="none"/>
                <w:u w:val="none"/>
                <w:lang w:val="en-US" w:eastAsia="zh-CN" w:bidi="ar"/>
              </w:rPr>
              <w:t>0.08</w:t>
            </w:r>
          </w:p>
        </w:tc>
      </w:tr>
      <w:tr w14:paraId="0CCFF71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3" w:hRule="atLeast"/>
        </w:trPr>
        <w:tc>
          <w:tcPr>
            <w:tcW w:w="665" w:type="pct"/>
            <w:vMerge w:val="continue"/>
            <w:tcBorders>
              <w:tl2br w:val="nil"/>
              <w:tr2bl w:val="nil"/>
            </w:tcBorders>
            <w:shd w:val="clear" w:color="auto" w:fill="auto"/>
            <w:noWrap/>
            <w:vAlign w:val="center"/>
          </w:tcPr>
          <w:p w14:paraId="0DEAB3DC">
            <w:pPr>
              <w:jc w:val="center"/>
              <w:rPr>
                <w:rFonts w:hint="default" w:ascii="Times New Roman" w:hAnsi="Times New Roman" w:eastAsia="宋体" w:cs="Times New Roman"/>
                <w:i w:val="0"/>
                <w:iCs w:val="0"/>
                <w:color w:val="auto"/>
                <w:sz w:val="18"/>
                <w:szCs w:val="18"/>
                <w:highlight w:val="none"/>
                <w:u w:val="none"/>
              </w:rPr>
            </w:pPr>
          </w:p>
        </w:tc>
        <w:tc>
          <w:tcPr>
            <w:tcW w:w="885" w:type="pct"/>
            <w:tcBorders>
              <w:tl2br w:val="nil"/>
              <w:tr2bl w:val="nil"/>
            </w:tcBorders>
            <w:shd w:val="clear" w:color="auto" w:fill="auto"/>
            <w:noWrap/>
            <w:vAlign w:val="center"/>
          </w:tcPr>
          <w:p w14:paraId="365623A4">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废布袋</w:t>
            </w:r>
          </w:p>
        </w:tc>
        <w:tc>
          <w:tcPr>
            <w:tcW w:w="492" w:type="pct"/>
            <w:tcBorders>
              <w:tl2br w:val="nil"/>
              <w:tr2bl w:val="nil"/>
            </w:tcBorders>
            <w:shd w:val="clear" w:color="auto" w:fill="auto"/>
            <w:noWrap/>
            <w:vAlign w:val="center"/>
          </w:tcPr>
          <w:p w14:paraId="218F02F7">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w:t>
            </w:r>
          </w:p>
        </w:tc>
        <w:tc>
          <w:tcPr>
            <w:tcW w:w="492" w:type="pct"/>
            <w:tcBorders>
              <w:tl2br w:val="nil"/>
              <w:tr2bl w:val="nil"/>
            </w:tcBorders>
            <w:shd w:val="clear" w:color="auto" w:fill="auto"/>
            <w:noWrap/>
            <w:vAlign w:val="center"/>
          </w:tcPr>
          <w:p w14:paraId="1B09D18F">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w:t>
            </w:r>
          </w:p>
        </w:tc>
        <w:tc>
          <w:tcPr>
            <w:tcW w:w="492" w:type="pct"/>
            <w:tcBorders>
              <w:tl2br w:val="nil"/>
              <w:tr2bl w:val="nil"/>
            </w:tcBorders>
            <w:shd w:val="clear" w:color="auto" w:fill="auto"/>
            <w:noWrap/>
            <w:vAlign w:val="center"/>
          </w:tcPr>
          <w:p w14:paraId="3F71DA33">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w:t>
            </w:r>
          </w:p>
        </w:tc>
        <w:tc>
          <w:tcPr>
            <w:tcW w:w="492" w:type="pct"/>
            <w:tcBorders>
              <w:tl2br w:val="nil"/>
              <w:tr2bl w:val="nil"/>
            </w:tcBorders>
            <w:shd w:val="clear" w:color="auto" w:fill="auto"/>
            <w:noWrap/>
            <w:vAlign w:val="center"/>
          </w:tcPr>
          <w:p w14:paraId="284FEB7C">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lang w:val="en-US"/>
              </w:rPr>
            </w:pPr>
            <w:r>
              <w:rPr>
                <w:rFonts w:hint="eastAsia" w:cs="Times New Roman"/>
                <w:i w:val="0"/>
                <w:iCs w:val="0"/>
                <w:color w:val="auto"/>
                <w:kern w:val="0"/>
                <w:sz w:val="18"/>
                <w:szCs w:val="18"/>
                <w:highlight w:val="none"/>
                <w:u w:val="none"/>
                <w:lang w:val="en-US" w:eastAsia="zh-CN" w:bidi="ar"/>
              </w:rPr>
              <w:t>0.015</w:t>
            </w:r>
          </w:p>
        </w:tc>
        <w:tc>
          <w:tcPr>
            <w:tcW w:w="492" w:type="pct"/>
            <w:tcBorders>
              <w:tl2br w:val="nil"/>
              <w:tr2bl w:val="nil"/>
            </w:tcBorders>
            <w:shd w:val="clear" w:color="auto" w:fill="auto"/>
            <w:noWrap/>
            <w:vAlign w:val="center"/>
          </w:tcPr>
          <w:p w14:paraId="22378221">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w:t>
            </w:r>
          </w:p>
        </w:tc>
        <w:tc>
          <w:tcPr>
            <w:tcW w:w="1344" w:type="dxa"/>
            <w:tcBorders>
              <w:tl2br w:val="nil"/>
              <w:tr2bl w:val="nil"/>
            </w:tcBorders>
            <w:shd w:val="clear" w:color="auto" w:fill="auto"/>
            <w:noWrap/>
            <w:vAlign w:val="center"/>
          </w:tcPr>
          <w:p w14:paraId="79A3025A">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lang w:val="en-US"/>
              </w:rPr>
            </w:pPr>
            <w:r>
              <w:rPr>
                <w:rFonts w:hint="eastAsia" w:cs="Times New Roman"/>
                <w:i w:val="0"/>
                <w:iCs w:val="0"/>
                <w:color w:val="auto"/>
                <w:kern w:val="0"/>
                <w:sz w:val="18"/>
                <w:szCs w:val="18"/>
                <w:highlight w:val="none"/>
                <w:u w:val="none"/>
                <w:lang w:val="en-US" w:eastAsia="zh-CN" w:bidi="ar"/>
              </w:rPr>
              <w:t>0.015</w:t>
            </w:r>
          </w:p>
        </w:tc>
        <w:tc>
          <w:tcPr>
            <w:tcW w:w="1352" w:type="dxa"/>
            <w:tcBorders>
              <w:tl2br w:val="nil"/>
              <w:tr2bl w:val="nil"/>
            </w:tcBorders>
            <w:shd w:val="clear" w:color="auto" w:fill="auto"/>
            <w:noWrap/>
            <w:vAlign w:val="center"/>
          </w:tcPr>
          <w:p w14:paraId="3D0898B7">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lang w:val="en-US"/>
              </w:rPr>
            </w:pPr>
            <w:r>
              <w:rPr>
                <w:rFonts w:hint="eastAsia" w:cs="Times New Roman"/>
                <w:i w:val="0"/>
                <w:iCs w:val="0"/>
                <w:color w:val="auto"/>
                <w:kern w:val="0"/>
                <w:sz w:val="18"/>
                <w:szCs w:val="18"/>
                <w:highlight w:val="none"/>
                <w:u w:val="none"/>
                <w:lang w:val="en-US" w:eastAsia="zh-CN" w:bidi="ar"/>
              </w:rPr>
              <w:t>0.015</w:t>
            </w:r>
          </w:p>
        </w:tc>
      </w:tr>
      <w:tr w14:paraId="62CE691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3" w:hRule="atLeast"/>
        </w:trPr>
        <w:tc>
          <w:tcPr>
            <w:tcW w:w="665" w:type="pct"/>
            <w:vMerge w:val="restart"/>
            <w:tcBorders>
              <w:tl2br w:val="nil"/>
              <w:tr2bl w:val="nil"/>
            </w:tcBorders>
            <w:shd w:val="clear" w:color="auto" w:fill="auto"/>
            <w:noWrap/>
            <w:vAlign w:val="center"/>
          </w:tcPr>
          <w:p w14:paraId="539D9DCC">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危险废物</w:t>
            </w:r>
          </w:p>
        </w:tc>
        <w:tc>
          <w:tcPr>
            <w:tcW w:w="885" w:type="pct"/>
            <w:tcBorders>
              <w:tl2br w:val="nil"/>
              <w:tr2bl w:val="nil"/>
            </w:tcBorders>
            <w:shd w:val="clear" w:color="auto" w:fill="auto"/>
            <w:noWrap/>
            <w:vAlign w:val="center"/>
          </w:tcPr>
          <w:p w14:paraId="2988A22E">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沾染化学品的废包装材料</w:t>
            </w:r>
          </w:p>
        </w:tc>
        <w:tc>
          <w:tcPr>
            <w:tcW w:w="492" w:type="pct"/>
            <w:tcBorders>
              <w:tl2br w:val="nil"/>
              <w:tr2bl w:val="nil"/>
            </w:tcBorders>
            <w:shd w:val="clear" w:color="auto" w:fill="auto"/>
            <w:noWrap/>
            <w:vAlign w:val="center"/>
          </w:tcPr>
          <w:p w14:paraId="15E0ED0A">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w:t>
            </w:r>
          </w:p>
        </w:tc>
        <w:tc>
          <w:tcPr>
            <w:tcW w:w="492" w:type="pct"/>
            <w:tcBorders>
              <w:tl2br w:val="nil"/>
              <w:tr2bl w:val="nil"/>
            </w:tcBorders>
            <w:shd w:val="clear" w:color="auto" w:fill="auto"/>
            <w:noWrap/>
            <w:vAlign w:val="center"/>
          </w:tcPr>
          <w:p w14:paraId="58CC9B94">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w:t>
            </w:r>
          </w:p>
        </w:tc>
        <w:tc>
          <w:tcPr>
            <w:tcW w:w="492" w:type="pct"/>
            <w:tcBorders>
              <w:tl2br w:val="nil"/>
              <w:tr2bl w:val="nil"/>
            </w:tcBorders>
            <w:shd w:val="clear" w:color="auto" w:fill="auto"/>
            <w:noWrap/>
            <w:vAlign w:val="center"/>
          </w:tcPr>
          <w:p w14:paraId="05622337">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w:t>
            </w:r>
          </w:p>
        </w:tc>
        <w:tc>
          <w:tcPr>
            <w:tcW w:w="492" w:type="pct"/>
            <w:tcBorders>
              <w:tl2br w:val="nil"/>
              <w:tr2bl w:val="nil"/>
            </w:tcBorders>
            <w:shd w:val="clear" w:color="auto" w:fill="auto"/>
            <w:noWrap/>
            <w:vAlign w:val="center"/>
          </w:tcPr>
          <w:p w14:paraId="17BC5C2F">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lang w:val="en-US"/>
              </w:rPr>
            </w:pPr>
            <w:r>
              <w:rPr>
                <w:rFonts w:hint="eastAsia" w:cs="Times New Roman"/>
                <w:i w:val="0"/>
                <w:iCs w:val="0"/>
                <w:color w:val="auto"/>
                <w:kern w:val="0"/>
                <w:sz w:val="18"/>
                <w:szCs w:val="18"/>
                <w:highlight w:val="none"/>
                <w:u w:val="none"/>
                <w:lang w:val="en-US" w:eastAsia="zh-CN" w:bidi="ar"/>
              </w:rPr>
              <w:t>0.01</w:t>
            </w:r>
          </w:p>
        </w:tc>
        <w:tc>
          <w:tcPr>
            <w:tcW w:w="492" w:type="pct"/>
            <w:tcBorders>
              <w:tl2br w:val="nil"/>
              <w:tr2bl w:val="nil"/>
            </w:tcBorders>
            <w:shd w:val="clear" w:color="auto" w:fill="auto"/>
            <w:noWrap/>
            <w:vAlign w:val="center"/>
          </w:tcPr>
          <w:p w14:paraId="263DB2AE">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w:t>
            </w:r>
          </w:p>
        </w:tc>
        <w:tc>
          <w:tcPr>
            <w:tcW w:w="1344" w:type="dxa"/>
            <w:tcBorders>
              <w:tl2br w:val="nil"/>
              <w:tr2bl w:val="nil"/>
            </w:tcBorders>
            <w:shd w:val="clear" w:color="auto" w:fill="auto"/>
            <w:noWrap/>
            <w:vAlign w:val="center"/>
          </w:tcPr>
          <w:p w14:paraId="2581E7DF">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lang w:val="en-US"/>
              </w:rPr>
            </w:pPr>
            <w:r>
              <w:rPr>
                <w:rFonts w:hint="eastAsia" w:cs="Times New Roman"/>
                <w:i w:val="0"/>
                <w:iCs w:val="0"/>
                <w:color w:val="auto"/>
                <w:kern w:val="0"/>
                <w:sz w:val="18"/>
                <w:szCs w:val="18"/>
                <w:highlight w:val="none"/>
                <w:u w:val="none"/>
                <w:lang w:val="en-US" w:eastAsia="zh-CN" w:bidi="ar"/>
              </w:rPr>
              <w:t>0.01</w:t>
            </w:r>
          </w:p>
        </w:tc>
        <w:tc>
          <w:tcPr>
            <w:tcW w:w="1352" w:type="dxa"/>
            <w:tcBorders>
              <w:tl2br w:val="nil"/>
              <w:tr2bl w:val="nil"/>
            </w:tcBorders>
            <w:shd w:val="clear" w:color="auto" w:fill="auto"/>
            <w:noWrap/>
            <w:vAlign w:val="center"/>
          </w:tcPr>
          <w:p w14:paraId="02156A40">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lang w:val="en-US"/>
              </w:rPr>
            </w:pPr>
            <w:r>
              <w:rPr>
                <w:rFonts w:hint="eastAsia" w:cs="Times New Roman"/>
                <w:i w:val="0"/>
                <w:iCs w:val="0"/>
                <w:color w:val="auto"/>
                <w:kern w:val="0"/>
                <w:sz w:val="18"/>
                <w:szCs w:val="18"/>
                <w:highlight w:val="none"/>
                <w:u w:val="none"/>
                <w:lang w:val="en-US" w:eastAsia="zh-CN" w:bidi="ar"/>
              </w:rPr>
              <w:t>0.01</w:t>
            </w:r>
          </w:p>
        </w:tc>
      </w:tr>
      <w:tr w14:paraId="2C6A164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665" w:type="pct"/>
            <w:vMerge w:val="continue"/>
            <w:tcBorders>
              <w:tl2br w:val="nil"/>
              <w:tr2bl w:val="nil"/>
            </w:tcBorders>
            <w:shd w:val="clear" w:color="auto" w:fill="auto"/>
            <w:noWrap/>
            <w:vAlign w:val="center"/>
          </w:tcPr>
          <w:p w14:paraId="21304DA3">
            <w:pPr>
              <w:jc w:val="center"/>
              <w:rPr>
                <w:rFonts w:hint="default" w:ascii="Times New Roman" w:hAnsi="Times New Roman" w:eastAsia="宋体" w:cs="Times New Roman"/>
                <w:i w:val="0"/>
                <w:iCs w:val="0"/>
                <w:color w:val="auto"/>
                <w:sz w:val="18"/>
                <w:szCs w:val="18"/>
                <w:highlight w:val="none"/>
                <w:u w:val="none"/>
              </w:rPr>
            </w:pPr>
          </w:p>
        </w:tc>
        <w:tc>
          <w:tcPr>
            <w:tcW w:w="885" w:type="pct"/>
            <w:tcBorders>
              <w:tl2br w:val="nil"/>
              <w:tr2bl w:val="nil"/>
            </w:tcBorders>
            <w:shd w:val="clear" w:color="auto" w:fill="auto"/>
            <w:noWrap/>
            <w:vAlign w:val="center"/>
          </w:tcPr>
          <w:p w14:paraId="21BF6509">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测试废电池（个/年）</w:t>
            </w:r>
          </w:p>
        </w:tc>
        <w:tc>
          <w:tcPr>
            <w:tcW w:w="492" w:type="pct"/>
            <w:tcBorders>
              <w:tl2br w:val="nil"/>
              <w:tr2bl w:val="nil"/>
            </w:tcBorders>
            <w:shd w:val="clear" w:color="auto" w:fill="auto"/>
            <w:noWrap/>
            <w:vAlign w:val="center"/>
          </w:tcPr>
          <w:p w14:paraId="172A1D53">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w:t>
            </w:r>
          </w:p>
        </w:tc>
        <w:tc>
          <w:tcPr>
            <w:tcW w:w="492" w:type="pct"/>
            <w:tcBorders>
              <w:tl2br w:val="nil"/>
              <w:tr2bl w:val="nil"/>
            </w:tcBorders>
            <w:shd w:val="clear" w:color="auto" w:fill="auto"/>
            <w:noWrap/>
            <w:vAlign w:val="center"/>
          </w:tcPr>
          <w:p w14:paraId="0C909E86">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w:t>
            </w:r>
          </w:p>
        </w:tc>
        <w:tc>
          <w:tcPr>
            <w:tcW w:w="492" w:type="pct"/>
            <w:tcBorders>
              <w:tl2br w:val="nil"/>
              <w:tr2bl w:val="nil"/>
            </w:tcBorders>
            <w:shd w:val="clear" w:color="auto" w:fill="auto"/>
            <w:noWrap/>
            <w:vAlign w:val="center"/>
          </w:tcPr>
          <w:p w14:paraId="69BE97A7">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w:t>
            </w:r>
          </w:p>
        </w:tc>
        <w:tc>
          <w:tcPr>
            <w:tcW w:w="492" w:type="pct"/>
            <w:tcBorders>
              <w:tl2br w:val="nil"/>
              <w:tr2bl w:val="nil"/>
            </w:tcBorders>
            <w:shd w:val="clear" w:color="auto" w:fill="auto"/>
            <w:noWrap/>
            <w:vAlign w:val="center"/>
          </w:tcPr>
          <w:p w14:paraId="013BB92C">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2000</w:t>
            </w:r>
          </w:p>
        </w:tc>
        <w:tc>
          <w:tcPr>
            <w:tcW w:w="492" w:type="pct"/>
            <w:tcBorders>
              <w:tl2br w:val="nil"/>
              <w:tr2bl w:val="nil"/>
            </w:tcBorders>
            <w:shd w:val="clear" w:color="auto" w:fill="auto"/>
            <w:noWrap/>
            <w:vAlign w:val="center"/>
          </w:tcPr>
          <w:p w14:paraId="48B7EDB9">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w:t>
            </w:r>
          </w:p>
        </w:tc>
        <w:tc>
          <w:tcPr>
            <w:tcW w:w="1344" w:type="dxa"/>
            <w:tcBorders>
              <w:tl2br w:val="nil"/>
              <w:tr2bl w:val="nil"/>
            </w:tcBorders>
            <w:shd w:val="clear" w:color="auto" w:fill="auto"/>
            <w:noWrap/>
            <w:vAlign w:val="center"/>
          </w:tcPr>
          <w:p w14:paraId="6354590B">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2000</w:t>
            </w:r>
          </w:p>
        </w:tc>
        <w:tc>
          <w:tcPr>
            <w:tcW w:w="1352" w:type="dxa"/>
            <w:tcBorders>
              <w:tl2br w:val="nil"/>
              <w:tr2bl w:val="nil"/>
            </w:tcBorders>
            <w:shd w:val="clear" w:color="auto" w:fill="auto"/>
            <w:noWrap/>
            <w:vAlign w:val="center"/>
          </w:tcPr>
          <w:p w14:paraId="573C0042">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2000</w:t>
            </w:r>
          </w:p>
        </w:tc>
      </w:tr>
      <w:tr w14:paraId="60BF823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665" w:type="pct"/>
            <w:vMerge w:val="continue"/>
            <w:tcBorders>
              <w:tl2br w:val="nil"/>
              <w:tr2bl w:val="nil"/>
            </w:tcBorders>
            <w:shd w:val="clear" w:color="auto" w:fill="auto"/>
            <w:noWrap/>
            <w:vAlign w:val="center"/>
          </w:tcPr>
          <w:p w14:paraId="4B5D9BF8">
            <w:pPr>
              <w:jc w:val="center"/>
              <w:rPr>
                <w:rFonts w:hint="default" w:ascii="Times New Roman" w:hAnsi="Times New Roman" w:eastAsia="宋体" w:cs="Times New Roman"/>
                <w:i w:val="0"/>
                <w:iCs w:val="0"/>
                <w:color w:val="auto"/>
                <w:sz w:val="18"/>
                <w:szCs w:val="18"/>
                <w:highlight w:val="none"/>
                <w:u w:val="none"/>
              </w:rPr>
            </w:pPr>
          </w:p>
        </w:tc>
        <w:tc>
          <w:tcPr>
            <w:tcW w:w="885" w:type="pct"/>
            <w:tcBorders>
              <w:tl2br w:val="nil"/>
              <w:tr2bl w:val="nil"/>
            </w:tcBorders>
            <w:shd w:val="clear" w:color="auto" w:fill="auto"/>
            <w:noWrap/>
            <w:vAlign w:val="center"/>
          </w:tcPr>
          <w:p w14:paraId="7A8C6234">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废活性炭</w:t>
            </w:r>
          </w:p>
        </w:tc>
        <w:tc>
          <w:tcPr>
            <w:tcW w:w="492" w:type="pct"/>
            <w:tcBorders>
              <w:tl2br w:val="nil"/>
              <w:tr2bl w:val="nil"/>
            </w:tcBorders>
            <w:shd w:val="clear" w:color="auto" w:fill="auto"/>
            <w:noWrap/>
            <w:vAlign w:val="center"/>
          </w:tcPr>
          <w:p w14:paraId="5A1073ED">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w:t>
            </w:r>
          </w:p>
        </w:tc>
        <w:tc>
          <w:tcPr>
            <w:tcW w:w="492" w:type="pct"/>
            <w:tcBorders>
              <w:tl2br w:val="nil"/>
              <w:tr2bl w:val="nil"/>
            </w:tcBorders>
            <w:shd w:val="clear" w:color="auto" w:fill="auto"/>
            <w:noWrap/>
            <w:vAlign w:val="center"/>
          </w:tcPr>
          <w:p w14:paraId="2A7AEA58">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w:t>
            </w:r>
          </w:p>
        </w:tc>
        <w:tc>
          <w:tcPr>
            <w:tcW w:w="492" w:type="pct"/>
            <w:tcBorders>
              <w:tl2br w:val="nil"/>
              <w:tr2bl w:val="nil"/>
            </w:tcBorders>
            <w:shd w:val="clear" w:color="auto" w:fill="auto"/>
            <w:noWrap/>
            <w:vAlign w:val="center"/>
          </w:tcPr>
          <w:p w14:paraId="292064B2">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w:t>
            </w:r>
          </w:p>
        </w:tc>
        <w:tc>
          <w:tcPr>
            <w:tcW w:w="492" w:type="pct"/>
            <w:tcBorders>
              <w:tl2br w:val="nil"/>
              <w:tr2bl w:val="nil"/>
            </w:tcBorders>
            <w:shd w:val="clear" w:color="auto" w:fill="auto"/>
            <w:noWrap/>
            <w:vAlign w:val="center"/>
          </w:tcPr>
          <w:p w14:paraId="7FF13E3F">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lang w:val="en-US"/>
              </w:rPr>
            </w:pPr>
            <w:r>
              <w:rPr>
                <w:rFonts w:hint="eastAsia" w:cs="Times New Roman"/>
                <w:i w:val="0"/>
                <w:iCs w:val="0"/>
                <w:color w:val="auto"/>
                <w:kern w:val="0"/>
                <w:sz w:val="18"/>
                <w:szCs w:val="18"/>
                <w:highlight w:val="none"/>
                <w:u w:val="none"/>
                <w:lang w:val="en-US" w:eastAsia="zh-CN" w:bidi="ar"/>
              </w:rPr>
              <w:t>1</w:t>
            </w:r>
          </w:p>
        </w:tc>
        <w:tc>
          <w:tcPr>
            <w:tcW w:w="492" w:type="pct"/>
            <w:tcBorders>
              <w:tl2br w:val="nil"/>
              <w:tr2bl w:val="nil"/>
            </w:tcBorders>
            <w:shd w:val="clear" w:color="auto" w:fill="auto"/>
            <w:noWrap/>
            <w:vAlign w:val="center"/>
          </w:tcPr>
          <w:p w14:paraId="5C605438">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w:t>
            </w:r>
          </w:p>
        </w:tc>
        <w:tc>
          <w:tcPr>
            <w:tcW w:w="1344" w:type="dxa"/>
            <w:tcBorders>
              <w:tl2br w:val="nil"/>
              <w:tr2bl w:val="nil"/>
            </w:tcBorders>
            <w:shd w:val="clear" w:color="auto" w:fill="auto"/>
            <w:noWrap/>
            <w:vAlign w:val="center"/>
          </w:tcPr>
          <w:p w14:paraId="08123BA4">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lang w:val="en-US"/>
              </w:rPr>
            </w:pPr>
            <w:r>
              <w:rPr>
                <w:rFonts w:hint="eastAsia" w:cs="Times New Roman"/>
                <w:i w:val="0"/>
                <w:iCs w:val="0"/>
                <w:color w:val="auto"/>
                <w:kern w:val="0"/>
                <w:sz w:val="18"/>
                <w:szCs w:val="18"/>
                <w:highlight w:val="none"/>
                <w:u w:val="none"/>
                <w:lang w:val="en-US" w:eastAsia="zh-CN" w:bidi="ar"/>
              </w:rPr>
              <w:t>1</w:t>
            </w:r>
          </w:p>
        </w:tc>
        <w:tc>
          <w:tcPr>
            <w:tcW w:w="1352" w:type="dxa"/>
            <w:tcBorders>
              <w:tl2br w:val="nil"/>
              <w:tr2bl w:val="nil"/>
            </w:tcBorders>
            <w:shd w:val="clear" w:color="auto" w:fill="auto"/>
            <w:noWrap/>
            <w:vAlign w:val="center"/>
          </w:tcPr>
          <w:p w14:paraId="797849E4">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lang w:val="en-US"/>
              </w:rPr>
            </w:pPr>
            <w:r>
              <w:rPr>
                <w:rFonts w:hint="eastAsia" w:cs="Times New Roman"/>
                <w:i w:val="0"/>
                <w:iCs w:val="0"/>
                <w:color w:val="auto"/>
                <w:kern w:val="0"/>
                <w:sz w:val="18"/>
                <w:szCs w:val="18"/>
                <w:highlight w:val="none"/>
                <w:u w:val="none"/>
                <w:lang w:val="en-US" w:eastAsia="zh-CN" w:bidi="ar"/>
              </w:rPr>
              <w:t>1</w:t>
            </w:r>
          </w:p>
        </w:tc>
      </w:tr>
      <w:tr w14:paraId="37163B0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1550" w:type="pct"/>
            <w:gridSpan w:val="2"/>
            <w:tcBorders>
              <w:tl2br w:val="nil"/>
              <w:tr2bl w:val="nil"/>
            </w:tcBorders>
            <w:shd w:val="clear" w:color="auto" w:fill="auto"/>
            <w:noWrap/>
            <w:vAlign w:val="center"/>
          </w:tcPr>
          <w:p w14:paraId="414BD52D">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生活垃圾</w:t>
            </w:r>
          </w:p>
        </w:tc>
        <w:tc>
          <w:tcPr>
            <w:tcW w:w="492" w:type="pct"/>
            <w:tcBorders>
              <w:tl2br w:val="nil"/>
              <w:tr2bl w:val="nil"/>
            </w:tcBorders>
            <w:shd w:val="clear" w:color="auto" w:fill="auto"/>
            <w:noWrap/>
            <w:vAlign w:val="center"/>
          </w:tcPr>
          <w:p w14:paraId="40697A67">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w:t>
            </w:r>
          </w:p>
        </w:tc>
        <w:tc>
          <w:tcPr>
            <w:tcW w:w="492" w:type="pct"/>
            <w:tcBorders>
              <w:tl2br w:val="nil"/>
              <w:tr2bl w:val="nil"/>
            </w:tcBorders>
            <w:shd w:val="clear" w:color="auto" w:fill="auto"/>
            <w:noWrap/>
            <w:vAlign w:val="center"/>
          </w:tcPr>
          <w:p w14:paraId="45185F22">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w:t>
            </w:r>
          </w:p>
        </w:tc>
        <w:tc>
          <w:tcPr>
            <w:tcW w:w="492" w:type="pct"/>
            <w:tcBorders>
              <w:tl2br w:val="nil"/>
              <w:tr2bl w:val="nil"/>
            </w:tcBorders>
            <w:shd w:val="clear" w:color="auto" w:fill="auto"/>
            <w:noWrap/>
            <w:vAlign w:val="center"/>
          </w:tcPr>
          <w:p w14:paraId="4D691C19">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w:t>
            </w:r>
          </w:p>
        </w:tc>
        <w:tc>
          <w:tcPr>
            <w:tcW w:w="492" w:type="pct"/>
            <w:tcBorders>
              <w:tl2br w:val="nil"/>
              <w:tr2bl w:val="nil"/>
            </w:tcBorders>
            <w:shd w:val="clear" w:color="auto" w:fill="auto"/>
            <w:noWrap/>
            <w:vAlign w:val="center"/>
          </w:tcPr>
          <w:p w14:paraId="0D2B4F8E">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lang w:val="en-US"/>
              </w:rPr>
            </w:pPr>
            <w:r>
              <w:rPr>
                <w:rFonts w:hint="eastAsia" w:cs="Times New Roman"/>
                <w:i w:val="0"/>
                <w:iCs w:val="0"/>
                <w:color w:val="auto"/>
                <w:kern w:val="0"/>
                <w:sz w:val="18"/>
                <w:szCs w:val="18"/>
                <w:highlight w:val="none"/>
                <w:u w:val="none"/>
                <w:lang w:val="en-US" w:eastAsia="zh-CN" w:bidi="ar"/>
              </w:rPr>
              <w:t>1.612</w:t>
            </w:r>
          </w:p>
        </w:tc>
        <w:tc>
          <w:tcPr>
            <w:tcW w:w="492" w:type="pct"/>
            <w:tcBorders>
              <w:tl2br w:val="nil"/>
              <w:tr2bl w:val="nil"/>
            </w:tcBorders>
            <w:shd w:val="clear" w:color="auto" w:fill="auto"/>
            <w:noWrap/>
            <w:vAlign w:val="center"/>
          </w:tcPr>
          <w:p w14:paraId="60C02917">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w:t>
            </w:r>
          </w:p>
        </w:tc>
        <w:tc>
          <w:tcPr>
            <w:tcW w:w="1344" w:type="dxa"/>
            <w:tcBorders>
              <w:tl2br w:val="nil"/>
              <w:tr2bl w:val="nil"/>
            </w:tcBorders>
            <w:shd w:val="clear" w:color="auto" w:fill="auto"/>
            <w:noWrap/>
            <w:vAlign w:val="center"/>
          </w:tcPr>
          <w:p w14:paraId="5011DFFF">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lang w:val="en-US"/>
              </w:rPr>
            </w:pPr>
            <w:r>
              <w:rPr>
                <w:rFonts w:hint="eastAsia" w:cs="Times New Roman"/>
                <w:i w:val="0"/>
                <w:iCs w:val="0"/>
                <w:color w:val="auto"/>
                <w:kern w:val="0"/>
                <w:sz w:val="18"/>
                <w:szCs w:val="18"/>
                <w:highlight w:val="none"/>
                <w:u w:val="none"/>
                <w:lang w:val="en-US" w:eastAsia="zh-CN" w:bidi="ar"/>
              </w:rPr>
              <w:t>1.612</w:t>
            </w:r>
          </w:p>
        </w:tc>
        <w:tc>
          <w:tcPr>
            <w:tcW w:w="1352" w:type="dxa"/>
            <w:tcBorders>
              <w:tl2br w:val="nil"/>
              <w:tr2bl w:val="nil"/>
            </w:tcBorders>
            <w:shd w:val="clear" w:color="auto" w:fill="auto"/>
            <w:noWrap/>
            <w:vAlign w:val="center"/>
          </w:tcPr>
          <w:p w14:paraId="2BB4046C">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highlight w:val="none"/>
                <w:u w:val="none"/>
                <w:lang w:val="en-US"/>
              </w:rPr>
            </w:pPr>
            <w:r>
              <w:rPr>
                <w:rFonts w:hint="eastAsia" w:cs="Times New Roman"/>
                <w:i w:val="0"/>
                <w:iCs w:val="0"/>
                <w:color w:val="auto"/>
                <w:kern w:val="0"/>
                <w:sz w:val="18"/>
                <w:szCs w:val="18"/>
                <w:highlight w:val="none"/>
                <w:u w:val="none"/>
                <w:lang w:val="en-US" w:eastAsia="zh-CN" w:bidi="ar"/>
              </w:rPr>
              <w:t>1.612</w:t>
            </w:r>
          </w:p>
        </w:tc>
      </w:tr>
    </w:tbl>
    <w:p w14:paraId="1ED888DC">
      <w:pPr>
        <w:pStyle w:val="40"/>
        <w:spacing w:before="192" w:beforeLines="80" w:after="24"/>
        <w:jc w:val="left"/>
        <w:rPr>
          <w:rFonts w:ascii="Times New Roman"/>
          <w:snapToGrid w:val="0"/>
          <w:color w:val="auto"/>
          <w:spacing w:val="-6"/>
          <w:kern w:val="21"/>
          <w:szCs w:val="21"/>
          <w:highlight w:val="none"/>
        </w:rPr>
      </w:pPr>
      <w:r>
        <w:rPr>
          <w:rFonts w:ascii="Times New Roman"/>
          <w:snapToGrid w:val="0"/>
          <w:color w:val="auto"/>
          <w:kern w:val="21"/>
          <w:szCs w:val="21"/>
          <w:highlight w:val="none"/>
        </w:rPr>
        <w:t>注：</w:t>
      </w:r>
      <w:r>
        <w:rPr>
          <w:rFonts w:ascii="Times New Roman"/>
          <w:snapToGrid w:val="0"/>
          <w:color w:val="auto"/>
          <w:spacing w:val="-16"/>
          <w:kern w:val="21"/>
          <w:szCs w:val="21"/>
          <w:highlight w:val="none"/>
        </w:rPr>
        <w:fldChar w:fldCharType="begin"/>
      </w:r>
      <w:r>
        <w:rPr>
          <w:rFonts w:ascii="Times New Roman"/>
          <w:snapToGrid w:val="0"/>
          <w:color w:val="auto"/>
          <w:spacing w:val="-16"/>
          <w:kern w:val="21"/>
          <w:szCs w:val="21"/>
          <w:highlight w:val="none"/>
        </w:rPr>
        <w:instrText xml:space="preserve"> = 6 \* GB3 \* MERGEFORMAT </w:instrText>
      </w:r>
      <w:r>
        <w:rPr>
          <w:rFonts w:ascii="Times New Roman"/>
          <w:snapToGrid w:val="0"/>
          <w:color w:val="auto"/>
          <w:spacing w:val="-16"/>
          <w:kern w:val="21"/>
          <w:szCs w:val="21"/>
          <w:highlight w:val="none"/>
        </w:rPr>
        <w:fldChar w:fldCharType="separate"/>
      </w:r>
      <w:r>
        <w:rPr>
          <w:rFonts w:hint="default" w:ascii="Times New Roman" w:hAnsi="Times New Roman" w:cs="Times New Roman"/>
          <w:color w:val="auto"/>
          <w:szCs w:val="21"/>
          <w:highlight w:val="none"/>
        </w:rPr>
        <w:t>⑥</w:t>
      </w:r>
      <w:r>
        <w:rPr>
          <w:rFonts w:ascii="Times New Roman"/>
          <w:snapToGrid w:val="0"/>
          <w:color w:val="auto"/>
          <w:spacing w:val="-16"/>
          <w:kern w:val="21"/>
          <w:szCs w:val="21"/>
          <w:highlight w:val="none"/>
        </w:rPr>
        <w:fldChar w:fldCharType="end"/>
      </w:r>
      <w:r>
        <w:rPr>
          <w:rFonts w:ascii="Times New Roman"/>
          <w:snapToGrid w:val="0"/>
          <w:color w:val="auto"/>
          <w:spacing w:val="-16"/>
          <w:kern w:val="21"/>
          <w:szCs w:val="21"/>
          <w:highlight w:val="none"/>
        </w:rPr>
        <w:t>=</w:t>
      </w:r>
      <w:r>
        <w:rPr>
          <w:rFonts w:ascii="Times New Roman"/>
          <w:snapToGrid w:val="0"/>
          <w:color w:val="auto"/>
          <w:spacing w:val="-6"/>
          <w:kern w:val="21"/>
          <w:szCs w:val="21"/>
          <w:highlight w:val="none"/>
        </w:rPr>
        <w:fldChar w:fldCharType="begin"/>
      </w:r>
      <w:r>
        <w:rPr>
          <w:rFonts w:ascii="Times New Roman"/>
          <w:snapToGrid w:val="0"/>
          <w:color w:val="auto"/>
          <w:spacing w:val="-6"/>
          <w:kern w:val="21"/>
          <w:szCs w:val="21"/>
          <w:highlight w:val="none"/>
        </w:rPr>
        <w:instrText xml:space="preserve"> = 1 \* GB3 \* MERGEFORMAT </w:instrText>
      </w:r>
      <w:r>
        <w:rPr>
          <w:rFonts w:ascii="Times New Roman"/>
          <w:snapToGrid w:val="0"/>
          <w:color w:val="auto"/>
          <w:spacing w:val="-6"/>
          <w:kern w:val="21"/>
          <w:szCs w:val="21"/>
          <w:highlight w:val="none"/>
        </w:rPr>
        <w:fldChar w:fldCharType="separate"/>
      </w:r>
      <w:r>
        <w:rPr>
          <w:rFonts w:hint="default" w:ascii="Times New Roman" w:hAnsi="Times New Roman" w:cs="Times New Roman"/>
          <w:color w:val="auto"/>
          <w:szCs w:val="21"/>
          <w:highlight w:val="none"/>
        </w:rPr>
        <w:t>①</w:t>
      </w:r>
      <w:r>
        <w:rPr>
          <w:rFonts w:ascii="Times New Roman"/>
          <w:snapToGrid w:val="0"/>
          <w:color w:val="auto"/>
          <w:spacing w:val="-6"/>
          <w:kern w:val="21"/>
          <w:szCs w:val="21"/>
          <w:highlight w:val="none"/>
        </w:rPr>
        <w:fldChar w:fldCharType="end"/>
      </w:r>
      <w:r>
        <w:rPr>
          <w:rFonts w:ascii="Times New Roman"/>
          <w:snapToGrid w:val="0"/>
          <w:color w:val="auto"/>
          <w:spacing w:val="-6"/>
          <w:kern w:val="21"/>
          <w:szCs w:val="21"/>
          <w:highlight w:val="none"/>
        </w:rPr>
        <w:t>+</w:t>
      </w:r>
      <w:r>
        <w:rPr>
          <w:rFonts w:ascii="Times New Roman"/>
          <w:snapToGrid w:val="0"/>
          <w:color w:val="auto"/>
          <w:spacing w:val="-6"/>
          <w:kern w:val="21"/>
          <w:szCs w:val="21"/>
          <w:highlight w:val="none"/>
        </w:rPr>
        <w:fldChar w:fldCharType="begin"/>
      </w:r>
      <w:r>
        <w:rPr>
          <w:rFonts w:ascii="Times New Roman"/>
          <w:snapToGrid w:val="0"/>
          <w:color w:val="auto"/>
          <w:spacing w:val="-6"/>
          <w:kern w:val="21"/>
          <w:szCs w:val="21"/>
          <w:highlight w:val="none"/>
        </w:rPr>
        <w:instrText xml:space="preserve"> = 3 \* GB3 \* MERGEFORMAT </w:instrText>
      </w:r>
      <w:r>
        <w:rPr>
          <w:rFonts w:ascii="Times New Roman"/>
          <w:snapToGrid w:val="0"/>
          <w:color w:val="auto"/>
          <w:spacing w:val="-6"/>
          <w:kern w:val="21"/>
          <w:szCs w:val="21"/>
          <w:highlight w:val="none"/>
        </w:rPr>
        <w:fldChar w:fldCharType="separate"/>
      </w:r>
      <w:r>
        <w:rPr>
          <w:rFonts w:hint="default" w:ascii="Times New Roman" w:hAnsi="Times New Roman" w:cs="Times New Roman"/>
          <w:color w:val="auto"/>
          <w:szCs w:val="21"/>
          <w:highlight w:val="none"/>
        </w:rPr>
        <w:t>③</w:t>
      </w:r>
      <w:r>
        <w:rPr>
          <w:rFonts w:ascii="Times New Roman"/>
          <w:snapToGrid w:val="0"/>
          <w:color w:val="auto"/>
          <w:spacing w:val="-6"/>
          <w:kern w:val="21"/>
          <w:szCs w:val="21"/>
          <w:highlight w:val="none"/>
        </w:rPr>
        <w:fldChar w:fldCharType="end"/>
      </w:r>
      <w:r>
        <w:rPr>
          <w:rFonts w:ascii="Times New Roman"/>
          <w:snapToGrid w:val="0"/>
          <w:color w:val="auto"/>
          <w:spacing w:val="-6"/>
          <w:kern w:val="21"/>
          <w:szCs w:val="21"/>
          <w:highlight w:val="none"/>
        </w:rPr>
        <w:t>+</w:t>
      </w:r>
      <w:r>
        <w:rPr>
          <w:rFonts w:ascii="Times New Roman"/>
          <w:snapToGrid w:val="0"/>
          <w:color w:val="auto"/>
          <w:spacing w:val="-6"/>
          <w:kern w:val="21"/>
          <w:szCs w:val="21"/>
          <w:highlight w:val="none"/>
        </w:rPr>
        <w:fldChar w:fldCharType="begin"/>
      </w:r>
      <w:r>
        <w:rPr>
          <w:rFonts w:ascii="Times New Roman"/>
          <w:snapToGrid w:val="0"/>
          <w:color w:val="auto"/>
          <w:spacing w:val="-6"/>
          <w:kern w:val="21"/>
          <w:szCs w:val="21"/>
          <w:highlight w:val="none"/>
        </w:rPr>
        <w:instrText xml:space="preserve"> = 4 \* GB3 \* MERGEFORMAT </w:instrText>
      </w:r>
      <w:r>
        <w:rPr>
          <w:rFonts w:ascii="Times New Roman"/>
          <w:snapToGrid w:val="0"/>
          <w:color w:val="auto"/>
          <w:spacing w:val="-6"/>
          <w:kern w:val="21"/>
          <w:szCs w:val="21"/>
          <w:highlight w:val="none"/>
        </w:rPr>
        <w:fldChar w:fldCharType="separate"/>
      </w:r>
      <w:r>
        <w:rPr>
          <w:rFonts w:hint="default" w:ascii="Times New Roman" w:hAnsi="Times New Roman" w:cs="Times New Roman"/>
          <w:color w:val="auto"/>
          <w:szCs w:val="21"/>
          <w:highlight w:val="none"/>
        </w:rPr>
        <w:t>④</w:t>
      </w:r>
      <w:r>
        <w:rPr>
          <w:rFonts w:ascii="Times New Roman"/>
          <w:snapToGrid w:val="0"/>
          <w:color w:val="auto"/>
          <w:spacing w:val="-6"/>
          <w:kern w:val="21"/>
          <w:szCs w:val="21"/>
          <w:highlight w:val="none"/>
        </w:rPr>
        <w:fldChar w:fldCharType="end"/>
      </w:r>
      <w:r>
        <w:rPr>
          <w:rFonts w:ascii="Times New Roman"/>
          <w:snapToGrid w:val="0"/>
          <w:color w:val="auto"/>
          <w:spacing w:val="-6"/>
          <w:kern w:val="21"/>
          <w:szCs w:val="21"/>
          <w:highlight w:val="none"/>
        </w:rPr>
        <w:t>-</w:t>
      </w:r>
      <w:r>
        <w:rPr>
          <w:rFonts w:ascii="Times New Roman"/>
          <w:snapToGrid w:val="0"/>
          <w:color w:val="auto"/>
          <w:spacing w:val="-16"/>
          <w:kern w:val="21"/>
          <w:szCs w:val="21"/>
          <w:highlight w:val="none"/>
        </w:rPr>
        <w:fldChar w:fldCharType="begin"/>
      </w:r>
      <w:r>
        <w:rPr>
          <w:rFonts w:ascii="Times New Roman"/>
          <w:snapToGrid w:val="0"/>
          <w:color w:val="auto"/>
          <w:spacing w:val="-16"/>
          <w:kern w:val="21"/>
          <w:szCs w:val="21"/>
          <w:highlight w:val="none"/>
        </w:rPr>
        <w:instrText xml:space="preserve"> = 5 \* GB3 \* MERGEFORMAT </w:instrText>
      </w:r>
      <w:r>
        <w:rPr>
          <w:rFonts w:ascii="Times New Roman"/>
          <w:snapToGrid w:val="0"/>
          <w:color w:val="auto"/>
          <w:spacing w:val="-16"/>
          <w:kern w:val="21"/>
          <w:szCs w:val="21"/>
          <w:highlight w:val="none"/>
        </w:rPr>
        <w:fldChar w:fldCharType="separate"/>
      </w:r>
      <w:r>
        <w:rPr>
          <w:rFonts w:hint="default" w:ascii="Times New Roman" w:hAnsi="Times New Roman" w:cs="Times New Roman"/>
          <w:color w:val="auto"/>
          <w:szCs w:val="21"/>
          <w:highlight w:val="none"/>
        </w:rPr>
        <w:t>⑤</w:t>
      </w:r>
      <w:r>
        <w:rPr>
          <w:rFonts w:ascii="Times New Roman"/>
          <w:snapToGrid w:val="0"/>
          <w:color w:val="auto"/>
          <w:spacing w:val="-16"/>
          <w:kern w:val="21"/>
          <w:szCs w:val="21"/>
          <w:highlight w:val="none"/>
        </w:rPr>
        <w:fldChar w:fldCharType="end"/>
      </w:r>
      <w:r>
        <w:rPr>
          <w:rFonts w:ascii="Times New Roman"/>
          <w:snapToGrid w:val="0"/>
          <w:color w:val="auto"/>
          <w:spacing w:val="-16"/>
          <w:kern w:val="21"/>
          <w:szCs w:val="21"/>
          <w:highlight w:val="none"/>
        </w:rPr>
        <w:t>；</w:t>
      </w:r>
      <w:r>
        <w:rPr>
          <w:rFonts w:ascii="Times New Roman"/>
          <w:snapToGrid w:val="0"/>
          <w:color w:val="auto"/>
          <w:spacing w:val="-6"/>
          <w:kern w:val="21"/>
          <w:szCs w:val="21"/>
          <w:highlight w:val="none"/>
        </w:rPr>
        <w:fldChar w:fldCharType="begin"/>
      </w:r>
      <w:r>
        <w:rPr>
          <w:rFonts w:ascii="Times New Roman"/>
          <w:snapToGrid w:val="0"/>
          <w:color w:val="auto"/>
          <w:spacing w:val="-6"/>
          <w:kern w:val="21"/>
          <w:szCs w:val="21"/>
          <w:highlight w:val="none"/>
        </w:rPr>
        <w:instrText xml:space="preserve"> = 7 \* GB3 \* MERGEFORMAT </w:instrText>
      </w:r>
      <w:r>
        <w:rPr>
          <w:rFonts w:ascii="Times New Roman"/>
          <w:snapToGrid w:val="0"/>
          <w:color w:val="auto"/>
          <w:spacing w:val="-6"/>
          <w:kern w:val="21"/>
          <w:szCs w:val="21"/>
          <w:highlight w:val="none"/>
        </w:rPr>
        <w:fldChar w:fldCharType="separate"/>
      </w:r>
      <w:r>
        <w:rPr>
          <w:rFonts w:hint="default" w:ascii="Times New Roman" w:hAnsi="Times New Roman" w:cs="Times New Roman"/>
          <w:color w:val="auto"/>
          <w:szCs w:val="21"/>
          <w:highlight w:val="none"/>
        </w:rPr>
        <w:t>⑦</w:t>
      </w:r>
      <w:r>
        <w:rPr>
          <w:rFonts w:ascii="Times New Roman"/>
          <w:snapToGrid w:val="0"/>
          <w:color w:val="auto"/>
          <w:spacing w:val="-6"/>
          <w:kern w:val="21"/>
          <w:szCs w:val="21"/>
          <w:highlight w:val="none"/>
        </w:rPr>
        <w:fldChar w:fldCharType="end"/>
      </w:r>
      <w:r>
        <w:rPr>
          <w:rFonts w:ascii="Times New Roman"/>
          <w:snapToGrid w:val="0"/>
          <w:color w:val="auto"/>
          <w:spacing w:val="-6"/>
          <w:kern w:val="21"/>
          <w:szCs w:val="21"/>
          <w:highlight w:val="none"/>
        </w:rPr>
        <w:t>=</w:t>
      </w:r>
      <w:r>
        <w:rPr>
          <w:rFonts w:ascii="Times New Roman"/>
          <w:snapToGrid w:val="0"/>
          <w:color w:val="auto"/>
          <w:spacing w:val="-16"/>
          <w:kern w:val="21"/>
          <w:szCs w:val="21"/>
          <w:highlight w:val="none"/>
        </w:rPr>
        <w:fldChar w:fldCharType="begin"/>
      </w:r>
      <w:r>
        <w:rPr>
          <w:rFonts w:ascii="Times New Roman"/>
          <w:snapToGrid w:val="0"/>
          <w:color w:val="auto"/>
          <w:spacing w:val="-16"/>
          <w:kern w:val="21"/>
          <w:szCs w:val="21"/>
          <w:highlight w:val="none"/>
        </w:rPr>
        <w:instrText xml:space="preserve"> = 6 \* GB3 \* MERGEFORMAT </w:instrText>
      </w:r>
      <w:r>
        <w:rPr>
          <w:rFonts w:ascii="Times New Roman"/>
          <w:snapToGrid w:val="0"/>
          <w:color w:val="auto"/>
          <w:spacing w:val="-16"/>
          <w:kern w:val="21"/>
          <w:szCs w:val="21"/>
          <w:highlight w:val="none"/>
        </w:rPr>
        <w:fldChar w:fldCharType="separate"/>
      </w:r>
      <w:r>
        <w:rPr>
          <w:rFonts w:hint="default" w:ascii="Times New Roman" w:hAnsi="Times New Roman" w:cs="Times New Roman"/>
          <w:color w:val="auto"/>
          <w:szCs w:val="21"/>
          <w:highlight w:val="none"/>
        </w:rPr>
        <w:t>⑥</w:t>
      </w:r>
      <w:r>
        <w:rPr>
          <w:rFonts w:ascii="Times New Roman"/>
          <w:snapToGrid w:val="0"/>
          <w:color w:val="auto"/>
          <w:spacing w:val="-16"/>
          <w:kern w:val="21"/>
          <w:szCs w:val="21"/>
          <w:highlight w:val="none"/>
        </w:rPr>
        <w:fldChar w:fldCharType="end"/>
      </w:r>
      <w:r>
        <w:rPr>
          <w:rFonts w:ascii="Times New Roman"/>
          <w:snapToGrid w:val="0"/>
          <w:color w:val="auto"/>
          <w:spacing w:val="-16"/>
          <w:kern w:val="21"/>
          <w:szCs w:val="21"/>
          <w:highlight w:val="none"/>
        </w:rPr>
        <w:t>-</w:t>
      </w:r>
      <w:r>
        <w:rPr>
          <w:rFonts w:ascii="Times New Roman"/>
          <w:snapToGrid w:val="0"/>
          <w:color w:val="auto"/>
          <w:spacing w:val="-6"/>
          <w:kern w:val="21"/>
          <w:szCs w:val="21"/>
          <w:highlight w:val="none"/>
        </w:rPr>
        <w:fldChar w:fldCharType="begin"/>
      </w:r>
      <w:r>
        <w:rPr>
          <w:rFonts w:ascii="Times New Roman"/>
          <w:snapToGrid w:val="0"/>
          <w:color w:val="auto"/>
          <w:spacing w:val="-6"/>
          <w:kern w:val="21"/>
          <w:szCs w:val="21"/>
          <w:highlight w:val="none"/>
        </w:rPr>
        <w:instrText xml:space="preserve"> = 1 \* GB3 \* MERGEFORMAT </w:instrText>
      </w:r>
      <w:r>
        <w:rPr>
          <w:rFonts w:ascii="Times New Roman"/>
          <w:snapToGrid w:val="0"/>
          <w:color w:val="auto"/>
          <w:spacing w:val="-6"/>
          <w:kern w:val="21"/>
          <w:szCs w:val="21"/>
          <w:highlight w:val="none"/>
        </w:rPr>
        <w:fldChar w:fldCharType="separate"/>
      </w:r>
      <w:r>
        <w:rPr>
          <w:rFonts w:hint="default" w:ascii="Times New Roman" w:hAnsi="Times New Roman" w:cs="Times New Roman"/>
          <w:color w:val="auto"/>
          <w:szCs w:val="21"/>
          <w:highlight w:val="none"/>
        </w:rPr>
        <w:t>①</w:t>
      </w:r>
      <w:r>
        <w:rPr>
          <w:rFonts w:ascii="Times New Roman"/>
          <w:snapToGrid w:val="0"/>
          <w:color w:val="auto"/>
          <w:spacing w:val="-6"/>
          <w:kern w:val="21"/>
          <w:szCs w:val="21"/>
          <w:highlight w:val="none"/>
        </w:rPr>
        <w:fldChar w:fldCharType="end"/>
      </w:r>
    </w:p>
    <w:p w14:paraId="457F99FD">
      <w:pPr>
        <w:rPr>
          <w:color w:val="auto"/>
          <w:highlight w:val="none"/>
        </w:rPr>
      </w:pPr>
    </w:p>
    <w:sectPr>
      <w:type w:val="continuous"/>
      <w:pgSz w:w="16838" w:h="11906" w:orient="landscape"/>
      <w:pgMar w:top="1531" w:right="1701" w:bottom="1531" w:left="1701" w:header="851" w:footer="851" w:gutter="0"/>
      <w:pgBorders>
        <w:top w:val="none" w:sz="0" w:space="0"/>
        <w:left w:val="none" w:sz="0" w:space="0"/>
        <w:bottom w:val="none" w:sz="0" w:space="0"/>
        <w:right w:val="none" w:sz="0" w:space="0"/>
      </w:pgBorders>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script"/>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Tahoma">
    <w:panose1 w:val="020B0604030504040204"/>
    <w:charset w:val="00"/>
    <w:family w:val="swiss"/>
    <w:pitch w:val="default"/>
    <w:sig w:usb0="E1002EFF" w:usb1="C000605B" w:usb2="00000029" w:usb3="00000000" w:csb0="200101FF" w:csb1="2028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_GBK">
    <w:altName w:val="微软雅黑"/>
    <w:panose1 w:val="03000509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font>
  <w:font w:name="Wingdings 2">
    <w:panose1 w:val="05020102010507070707"/>
    <w:charset w:val="02"/>
    <w:family w:val="roman"/>
    <w:pitch w:val="default"/>
    <w:sig w:usb0="00000000" w:usb1="00000000" w:usb2="00000000" w:usb3="00000000" w:csb0="80000000" w:csb1="00000000"/>
  </w:font>
  <w:font w:name="等线">
    <w:panose1 w:val="02010600030101010101"/>
    <w:charset w:val="86"/>
    <w:family w:val="auto"/>
    <w:pitch w:val="default"/>
    <w:sig w:usb0="A00002BF" w:usb1="38CF7CFA" w:usb2="00000016" w:usb3="00000000" w:csb0="0004000F" w:csb1="00000000"/>
  </w:font>
  <w:font w:name="Microsoft YaHei U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FF3E34">
    <w:pPr>
      <w:pStyle w:val="17"/>
      <w:ind w:right="360" w:firstLine="36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28B0E3">
    <w:pPr>
      <w:pStyle w:val="17"/>
      <w:framePr w:wrap="around" w:vAnchor="text" w:hAnchor="margin" w:xAlign="center" w:y="1"/>
      <w:rPr>
        <w:rStyle w:val="28"/>
      </w:rPr>
    </w:pPr>
    <w:r>
      <w:fldChar w:fldCharType="begin"/>
    </w:r>
    <w:r>
      <w:rPr>
        <w:rStyle w:val="28"/>
      </w:rPr>
      <w:instrText xml:space="preserve">PAGE  </w:instrText>
    </w:r>
    <w:r>
      <w:fldChar w:fldCharType="separate"/>
    </w:r>
    <w:r>
      <w:rPr>
        <w:rStyle w:val="28"/>
      </w:rPr>
      <w:t>19</w:t>
    </w:r>
    <w:r>
      <w:fldChar w:fldCharType="end"/>
    </w:r>
  </w:p>
  <w:p w14:paraId="5516B461">
    <w:pPr>
      <w:pStyle w:val="17"/>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6A0803">
    <w:pPr>
      <w:pStyle w:val="17"/>
      <w:ind w:right="360"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354A2D">
    <w:pPr>
      <w:pStyle w:val="17"/>
      <w:ind w:right="360" w:firstLine="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2AC09A">
    <w:pPr>
      <w:pStyle w:val="17"/>
      <w:framePr w:wrap="around" w:vAnchor="text" w:hAnchor="margin" w:xAlign="outside" w:y="1"/>
      <w:rPr>
        <w:rStyle w:val="28"/>
        <w:rFonts w:hint="eastAsia" w:ascii="宋体" w:hAnsi="宋体"/>
        <w:sz w:val="28"/>
        <w:szCs w:val="28"/>
      </w:rPr>
    </w:pPr>
    <w:r>
      <w:rPr>
        <w:rStyle w:val="28"/>
        <w:rFonts w:hint="eastAsia" w:ascii="宋体" w:hAnsi="宋体"/>
        <w:sz w:val="28"/>
        <w:szCs w:val="28"/>
      </w:rPr>
      <w:t>—</w:t>
    </w:r>
    <w:r>
      <w:rPr>
        <w:rStyle w:val="28"/>
        <w:rFonts w:hint="eastAsia" w:ascii="宋体" w:hAnsi="宋体"/>
        <w:sz w:val="20"/>
      </w:rPr>
      <w:t xml:space="preserve">  </w:t>
    </w:r>
    <w:r>
      <w:rPr>
        <w:rStyle w:val="28"/>
        <w:rFonts w:ascii="宋体" w:hAnsi="宋体"/>
        <w:sz w:val="26"/>
        <w:szCs w:val="26"/>
      </w:rPr>
      <w:fldChar w:fldCharType="begin"/>
    </w:r>
    <w:r>
      <w:rPr>
        <w:rStyle w:val="28"/>
        <w:rFonts w:ascii="宋体" w:hAnsi="宋体"/>
        <w:sz w:val="26"/>
        <w:szCs w:val="26"/>
      </w:rPr>
      <w:instrText xml:space="preserve">PAGE  </w:instrText>
    </w:r>
    <w:r>
      <w:rPr>
        <w:rStyle w:val="28"/>
        <w:rFonts w:ascii="宋体" w:hAnsi="宋体"/>
        <w:sz w:val="26"/>
        <w:szCs w:val="26"/>
      </w:rPr>
      <w:fldChar w:fldCharType="separate"/>
    </w:r>
    <w:r>
      <w:rPr>
        <w:rStyle w:val="28"/>
        <w:rFonts w:ascii="宋体" w:hAnsi="宋体"/>
        <w:sz w:val="26"/>
        <w:szCs w:val="26"/>
      </w:rPr>
      <w:t>18</w:t>
    </w:r>
    <w:r>
      <w:rPr>
        <w:rStyle w:val="28"/>
        <w:rFonts w:ascii="宋体" w:hAnsi="宋体"/>
        <w:sz w:val="26"/>
        <w:szCs w:val="26"/>
      </w:rPr>
      <w:fldChar w:fldCharType="end"/>
    </w:r>
    <w:r>
      <w:rPr>
        <w:rStyle w:val="28"/>
        <w:rFonts w:hint="eastAsia" w:ascii="宋体" w:hAnsi="宋体"/>
        <w:sz w:val="20"/>
      </w:rPr>
      <w:t xml:space="preserve">  </w:t>
    </w:r>
    <w:r>
      <w:rPr>
        <w:rStyle w:val="28"/>
        <w:rFonts w:hint="eastAsia" w:ascii="宋体" w:hAnsi="宋体"/>
        <w:sz w:val="28"/>
        <w:szCs w:val="28"/>
      </w:rPr>
      <w:t>—</w:t>
    </w:r>
  </w:p>
  <w:p w14:paraId="6C859E4F">
    <w:pPr>
      <w:pStyle w:val="17"/>
      <w:ind w:right="360" w:firstLine="360"/>
      <w:jc w:val="cen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754BA9">
    <w:pPr>
      <w:pStyle w:val="17"/>
      <w:framePr w:wrap="around" w:vAnchor="text" w:hAnchor="margin" w:xAlign="outside" w:y="1"/>
      <w:rPr>
        <w:rStyle w:val="28"/>
        <w:rFonts w:hint="eastAsia" w:ascii="宋体" w:hAnsi="宋体"/>
        <w:sz w:val="28"/>
        <w:szCs w:val="28"/>
      </w:rPr>
    </w:pPr>
    <w:r>
      <w:rPr>
        <w:rStyle w:val="28"/>
        <w:rFonts w:hint="eastAsia" w:ascii="宋体" w:hAnsi="宋体"/>
        <w:sz w:val="28"/>
        <w:szCs w:val="28"/>
      </w:rPr>
      <w:t>—</w:t>
    </w:r>
    <w:r>
      <w:rPr>
        <w:rStyle w:val="28"/>
        <w:rFonts w:hint="eastAsia" w:ascii="宋体" w:hAnsi="宋体"/>
        <w:sz w:val="20"/>
      </w:rPr>
      <w:t xml:space="preserve">  </w:t>
    </w:r>
    <w:r>
      <w:rPr>
        <w:rStyle w:val="28"/>
        <w:rFonts w:ascii="宋体" w:hAnsi="宋体"/>
        <w:sz w:val="26"/>
        <w:szCs w:val="26"/>
      </w:rPr>
      <w:fldChar w:fldCharType="begin"/>
    </w:r>
    <w:r>
      <w:rPr>
        <w:rStyle w:val="28"/>
        <w:rFonts w:ascii="宋体" w:hAnsi="宋体"/>
        <w:sz w:val="26"/>
        <w:szCs w:val="26"/>
      </w:rPr>
      <w:instrText xml:space="preserve">PAGE  </w:instrText>
    </w:r>
    <w:r>
      <w:rPr>
        <w:rStyle w:val="28"/>
        <w:rFonts w:ascii="宋体" w:hAnsi="宋体"/>
        <w:sz w:val="26"/>
        <w:szCs w:val="26"/>
      </w:rPr>
      <w:fldChar w:fldCharType="separate"/>
    </w:r>
    <w:r>
      <w:rPr>
        <w:rStyle w:val="28"/>
        <w:rFonts w:ascii="宋体" w:hAnsi="宋体"/>
        <w:sz w:val="26"/>
        <w:szCs w:val="26"/>
      </w:rPr>
      <w:t>76</w:t>
    </w:r>
    <w:r>
      <w:rPr>
        <w:rStyle w:val="28"/>
        <w:rFonts w:ascii="宋体" w:hAnsi="宋体"/>
        <w:sz w:val="26"/>
        <w:szCs w:val="26"/>
      </w:rPr>
      <w:fldChar w:fldCharType="end"/>
    </w:r>
    <w:r>
      <w:rPr>
        <w:rStyle w:val="28"/>
        <w:rFonts w:hint="eastAsia" w:ascii="宋体" w:hAnsi="宋体"/>
        <w:sz w:val="20"/>
      </w:rPr>
      <w:t xml:space="preserve">  </w:t>
    </w:r>
    <w:r>
      <w:rPr>
        <w:rStyle w:val="28"/>
        <w:rFonts w:hint="eastAsia" w:ascii="宋体" w:hAnsi="宋体"/>
        <w:sz w:val="28"/>
        <w:szCs w:val="28"/>
      </w:rPr>
      <w:t>—</w:t>
    </w:r>
  </w:p>
  <w:p w14:paraId="27E47D8B">
    <w:pPr>
      <w:pStyle w:val="17"/>
      <w:ind w:right="360" w:firstLine="360"/>
      <w:jc w:val="cente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B2E04F6"/>
    <w:multiLevelType w:val="singleLevel"/>
    <w:tmpl w:val="8B2E04F6"/>
    <w:lvl w:ilvl="0" w:tentative="0">
      <w:start w:val="1"/>
      <w:numFmt w:val="decimal"/>
      <w:suff w:val="nothing"/>
      <w:lvlText w:val="（%1）"/>
      <w:lvlJc w:val="left"/>
    </w:lvl>
  </w:abstractNum>
  <w:abstractNum w:abstractNumId="1">
    <w:nsid w:val="A8D93FD3"/>
    <w:multiLevelType w:val="singleLevel"/>
    <w:tmpl w:val="A8D93FD3"/>
    <w:lvl w:ilvl="0" w:tentative="0">
      <w:start w:val="1"/>
      <w:numFmt w:val="decimal"/>
      <w:suff w:val="nothing"/>
      <w:lvlText w:val="（%1）"/>
      <w:lvlJc w:val="left"/>
    </w:lvl>
  </w:abstractNum>
  <w:abstractNum w:abstractNumId="2">
    <w:nsid w:val="BBC5DF5E"/>
    <w:multiLevelType w:val="singleLevel"/>
    <w:tmpl w:val="BBC5DF5E"/>
    <w:lvl w:ilvl="0" w:tentative="0">
      <w:start w:val="1"/>
      <w:numFmt w:val="decimal"/>
      <w:suff w:val="nothing"/>
      <w:lvlText w:val="（%1）"/>
      <w:lvlJc w:val="left"/>
    </w:lvl>
  </w:abstractNum>
  <w:abstractNum w:abstractNumId="3">
    <w:nsid w:val="C364489E"/>
    <w:multiLevelType w:val="singleLevel"/>
    <w:tmpl w:val="C364489E"/>
    <w:lvl w:ilvl="0" w:tentative="0">
      <w:start w:val="2"/>
      <w:numFmt w:val="decimal"/>
      <w:suff w:val="nothing"/>
      <w:lvlText w:val="%1、"/>
      <w:lvlJc w:val="left"/>
    </w:lvl>
  </w:abstractNum>
  <w:abstractNum w:abstractNumId="4">
    <w:nsid w:val="EFDE331C"/>
    <w:multiLevelType w:val="singleLevel"/>
    <w:tmpl w:val="EFDE331C"/>
    <w:lvl w:ilvl="0" w:tentative="0">
      <w:start w:val="2"/>
      <w:numFmt w:val="decimal"/>
      <w:suff w:val="nothing"/>
      <w:lvlText w:val="%1、"/>
      <w:lvlJc w:val="left"/>
    </w:lvl>
  </w:abstractNum>
  <w:abstractNum w:abstractNumId="5">
    <w:nsid w:val="F52CD8CF"/>
    <w:multiLevelType w:val="singleLevel"/>
    <w:tmpl w:val="F52CD8CF"/>
    <w:lvl w:ilvl="0" w:tentative="0">
      <w:start w:val="2"/>
      <w:numFmt w:val="decimal"/>
      <w:suff w:val="nothing"/>
      <w:lvlText w:val="（%1）"/>
      <w:lvlJc w:val="left"/>
      <w:rPr>
        <w:rFonts w:hint="default"/>
        <w:b/>
        <w:bCs/>
      </w:rPr>
    </w:lvl>
  </w:abstractNum>
  <w:abstractNum w:abstractNumId="6">
    <w:nsid w:val="05D1514E"/>
    <w:multiLevelType w:val="multilevel"/>
    <w:tmpl w:val="05D1514E"/>
    <w:lvl w:ilvl="0" w:tentative="0">
      <w:start w:val="1"/>
      <w:numFmt w:val="decimal"/>
      <w:lvlText w:val="图3-%1"/>
      <w:lvlJc w:val="left"/>
      <w:pPr>
        <w:tabs>
          <w:tab w:val="left" w:pos="113"/>
        </w:tabs>
        <w:ind w:left="113" w:hanging="113"/>
      </w:pPr>
      <w:rPr>
        <w:rFonts w:hint="default"/>
      </w:rPr>
    </w:lvl>
    <w:lvl w:ilvl="1" w:tentative="0">
      <w:start w:val="1"/>
      <w:numFmt w:val="decimal"/>
      <w:lvlText w:val="图3-%2"/>
      <w:lvlJc w:val="left"/>
      <w:pPr>
        <w:ind w:left="840" w:hanging="420"/>
      </w:pPr>
      <w:rPr>
        <w:rFonts w:hint="default" w:ascii="宋体" w:hAnsi="宋体" w:eastAsia="宋体" w:cs="宋体"/>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18A08E6C"/>
    <w:multiLevelType w:val="singleLevel"/>
    <w:tmpl w:val="18A08E6C"/>
    <w:lvl w:ilvl="0" w:tentative="0">
      <w:start w:val="1"/>
      <w:numFmt w:val="decimal"/>
      <w:suff w:val="nothing"/>
      <w:lvlText w:val="%1、"/>
      <w:lvlJc w:val="left"/>
    </w:lvl>
  </w:abstractNum>
  <w:abstractNum w:abstractNumId="8">
    <w:nsid w:val="24563E7D"/>
    <w:multiLevelType w:val="multilevel"/>
    <w:tmpl w:val="24563E7D"/>
    <w:lvl w:ilvl="0" w:tentative="0">
      <w:start w:val="1"/>
      <w:numFmt w:val="decimal"/>
      <w:lvlText w:val="表2-%1"/>
      <w:lvlJc w:val="center"/>
      <w:pPr>
        <w:ind w:left="2830" w:hanging="420"/>
      </w:pPr>
      <w:rPr>
        <w:rFonts w:hint="default" w:ascii="黑体" w:hAnsi="黑体" w:eastAsia="黑体" w:cs="黑体"/>
        <w:b w:val="0"/>
        <w:bCs w:val="0"/>
      </w:rPr>
    </w:lvl>
    <w:lvl w:ilvl="1" w:tentative="0">
      <w:start w:val="1"/>
      <w:numFmt w:val="lowerLetter"/>
      <w:lvlText w:val="%2)"/>
      <w:lvlJc w:val="left"/>
      <w:pPr>
        <w:ind w:left="3250" w:hanging="420"/>
      </w:pPr>
    </w:lvl>
    <w:lvl w:ilvl="2" w:tentative="0">
      <w:start w:val="1"/>
      <w:numFmt w:val="lowerRoman"/>
      <w:lvlText w:val="%3."/>
      <w:lvlJc w:val="right"/>
      <w:pPr>
        <w:ind w:left="3670" w:hanging="420"/>
      </w:pPr>
    </w:lvl>
    <w:lvl w:ilvl="3" w:tentative="0">
      <w:start w:val="1"/>
      <w:numFmt w:val="decimal"/>
      <w:lvlText w:val="%4."/>
      <w:lvlJc w:val="left"/>
      <w:pPr>
        <w:ind w:left="4090" w:hanging="420"/>
      </w:pPr>
    </w:lvl>
    <w:lvl w:ilvl="4" w:tentative="0">
      <w:start w:val="1"/>
      <w:numFmt w:val="lowerLetter"/>
      <w:lvlText w:val="%5)"/>
      <w:lvlJc w:val="left"/>
      <w:pPr>
        <w:ind w:left="4510" w:hanging="420"/>
      </w:pPr>
    </w:lvl>
    <w:lvl w:ilvl="5" w:tentative="0">
      <w:start w:val="1"/>
      <w:numFmt w:val="lowerRoman"/>
      <w:lvlText w:val="%6."/>
      <w:lvlJc w:val="right"/>
      <w:pPr>
        <w:ind w:left="4930" w:hanging="420"/>
      </w:pPr>
    </w:lvl>
    <w:lvl w:ilvl="6" w:tentative="0">
      <w:start w:val="1"/>
      <w:numFmt w:val="decimal"/>
      <w:lvlText w:val="%7."/>
      <w:lvlJc w:val="left"/>
      <w:pPr>
        <w:ind w:left="5350" w:hanging="420"/>
      </w:pPr>
    </w:lvl>
    <w:lvl w:ilvl="7" w:tentative="0">
      <w:start w:val="1"/>
      <w:numFmt w:val="lowerLetter"/>
      <w:lvlText w:val="%8)"/>
      <w:lvlJc w:val="left"/>
      <w:pPr>
        <w:ind w:left="5770" w:hanging="420"/>
      </w:pPr>
    </w:lvl>
    <w:lvl w:ilvl="8" w:tentative="0">
      <w:start w:val="1"/>
      <w:numFmt w:val="lowerRoman"/>
      <w:lvlText w:val="%9."/>
      <w:lvlJc w:val="right"/>
      <w:pPr>
        <w:ind w:left="6190" w:hanging="420"/>
      </w:pPr>
    </w:lvl>
  </w:abstractNum>
  <w:abstractNum w:abstractNumId="9">
    <w:nsid w:val="39E964DD"/>
    <w:multiLevelType w:val="multilevel"/>
    <w:tmpl w:val="39E964DD"/>
    <w:lvl w:ilvl="0" w:tentative="0">
      <w:start w:val="1"/>
      <w:numFmt w:val="decimal"/>
      <w:suff w:val="space"/>
      <w:lvlText w:val="表1-%1 "/>
      <w:lvlJc w:val="center"/>
      <w:pPr>
        <w:ind w:left="1134" w:hanging="1134"/>
      </w:pPr>
      <w:rPr>
        <w:rFonts w:hint="default" w:ascii="黑体" w:hAnsi="黑体" w:eastAsia="黑体" w:cs="黑体"/>
        <w:b w:val="0"/>
        <w:bCs w:val="0"/>
        <w:sz w:val="21"/>
        <w:szCs w:val="21"/>
      </w:rPr>
    </w:lvl>
    <w:lvl w:ilvl="1" w:tentative="0">
      <w:start w:val="1"/>
      <w:numFmt w:val="lowerLetter"/>
      <w:lvlText w:val="%2)"/>
      <w:lvlJc w:val="left"/>
      <w:pPr>
        <w:ind w:left="2991" w:hanging="420"/>
      </w:pPr>
      <w:rPr>
        <w:rFonts w:hint="eastAsia"/>
      </w:rPr>
    </w:lvl>
    <w:lvl w:ilvl="2" w:tentative="0">
      <w:start w:val="1"/>
      <w:numFmt w:val="lowerRoman"/>
      <w:lvlText w:val="%3."/>
      <w:lvlJc w:val="right"/>
      <w:pPr>
        <w:ind w:left="3411" w:hanging="420"/>
      </w:pPr>
      <w:rPr>
        <w:rFonts w:hint="eastAsia"/>
      </w:rPr>
    </w:lvl>
    <w:lvl w:ilvl="3" w:tentative="0">
      <w:start w:val="1"/>
      <w:numFmt w:val="decimal"/>
      <w:lvlText w:val="%4."/>
      <w:lvlJc w:val="left"/>
      <w:pPr>
        <w:ind w:left="3831" w:hanging="420"/>
      </w:pPr>
      <w:rPr>
        <w:rFonts w:hint="eastAsia"/>
      </w:rPr>
    </w:lvl>
    <w:lvl w:ilvl="4" w:tentative="0">
      <w:start w:val="1"/>
      <w:numFmt w:val="lowerLetter"/>
      <w:lvlText w:val="%5)"/>
      <w:lvlJc w:val="left"/>
      <w:pPr>
        <w:ind w:left="4251" w:hanging="420"/>
      </w:pPr>
      <w:rPr>
        <w:rFonts w:hint="eastAsia"/>
      </w:rPr>
    </w:lvl>
    <w:lvl w:ilvl="5" w:tentative="0">
      <w:start w:val="1"/>
      <w:numFmt w:val="lowerRoman"/>
      <w:lvlText w:val="%6."/>
      <w:lvlJc w:val="right"/>
      <w:pPr>
        <w:ind w:left="4671" w:hanging="420"/>
      </w:pPr>
      <w:rPr>
        <w:rFonts w:hint="eastAsia"/>
      </w:rPr>
    </w:lvl>
    <w:lvl w:ilvl="6" w:tentative="0">
      <w:start w:val="1"/>
      <w:numFmt w:val="decimal"/>
      <w:lvlText w:val="%7."/>
      <w:lvlJc w:val="left"/>
      <w:pPr>
        <w:ind w:left="5091" w:hanging="420"/>
      </w:pPr>
      <w:rPr>
        <w:rFonts w:hint="eastAsia"/>
      </w:rPr>
    </w:lvl>
    <w:lvl w:ilvl="7" w:tentative="0">
      <w:start w:val="1"/>
      <w:numFmt w:val="lowerLetter"/>
      <w:lvlText w:val="%8)"/>
      <w:lvlJc w:val="left"/>
      <w:pPr>
        <w:ind w:left="5511" w:hanging="420"/>
      </w:pPr>
      <w:rPr>
        <w:rFonts w:hint="eastAsia"/>
      </w:rPr>
    </w:lvl>
    <w:lvl w:ilvl="8" w:tentative="0">
      <w:start w:val="1"/>
      <w:numFmt w:val="lowerRoman"/>
      <w:lvlText w:val="%9."/>
      <w:lvlJc w:val="right"/>
      <w:pPr>
        <w:ind w:left="5931" w:hanging="420"/>
      </w:pPr>
      <w:rPr>
        <w:rFonts w:hint="eastAsia"/>
      </w:rPr>
    </w:lvl>
  </w:abstractNum>
  <w:abstractNum w:abstractNumId="10">
    <w:nsid w:val="43EFB56D"/>
    <w:multiLevelType w:val="singleLevel"/>
    <w:tmpl w:val="43EFB56D"/>
    <w:lvl w:ilvl="0" w:tentative="0">
      <w:start w:val="2"/>
      <w:numFmt w:val="decimal"/>
      <w:suff w:val="nothing"/>
      <w:lvlText w:val="%1、"/>
      <w:lvlJc w:val="left"/>
    </w:lvl>
  </w:abstractNum>
  <w:abstractNum w:abstractNumId="11">
    <w:nsid w:val="5197A1C7"/>
    <w:multiLevelType w:val="singleLevel"/>
    <w:tmpl w:val="5197A1C7"/>
    <w:lvl w:ilvl="0" w:tentative="0">
      <w:start w:val="6"/>
      <w:numFmt w:val="decimal"/>
      <w:suff w:val="nothing"/>
      <w:lvlText w:val="%1、"/>
      <w:lvlJc w:val="left"/>
    </w:lvl>
  </w:abstractNum>
  <w:abstractNum w:abstractNumId="12">
    <w:nsid w:val="55913BBE"/>
    <w:multiLevelType w:val="multilevel"/>
    <w:tmpl w:val="55913BBE"/>
    <w:lvl w:ilvl="0" w:tentative="0">
      <w:start w:val="1"/>
      <w:numFmt w:val="decimal"/>
      <w:suff w:val="space"/>
      <w:lvlText w:val="表4-%1"/>
      <w:lvlJc w:val="left"/>
      <w:pPr>
        <w:tabs>
          <w:tab w:val="left" w:pos="0"/>
        </w:tabs>
        <w:ind w:left="0" w:firstLine="0"/>
      </w:pPr>
      <w:rPr>
        <w:rFonts w:hint="default" w:ascii="黑体" w:hAnsi="黑体" w:eastAsia="黑体" w:cs="黑体"/>
        <w:b w:val="0"/>
        <w:bCs w:val="0"/>
        <w:sz w:val="21"/>
        <w:szCs w:val="21"/>
        <w:lang w:val="en-US"/>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3">
    <w:nsid w:val="6A05D1B0"/>
    <w:multiLevelType w:val="singleLevel"/>
    <w:tmpl w:val="6A05D1B0"/>
    <w:lvl w:ilvl="0" w:tentative="0">
      <w:start w:val="1"/>
      <w:numFmt w:val="decimal"/>
      <w:suff w:val="nothing"/>
      <w:lvlText w:val="（%1）"/>
      <w:lvlJc w:val="left"/>
    </w:lvl>
  </w:abstractNum>
  <w:abstractNum w:abstractNumId="14">
    <w:nsid w:val="743C71F9"/>
    <w:multiLevelType w:val="multilevel"/>
    <w:tmpl w:val="743C71F9"/>
    <w:lvl w:ilvl="0" w:tentative="0">
      <w:start w:val="1"/>
      <w:numFmt w:val="decimal"/>
      <w:suff w:val="space"/>
      <w:lvlText w:val="表3-%1"/>
      <w:lvlJc w:val="center"/>
      <w:pPr>
        <w:ind w:left="0" w:firstLine="0"/>
      </w:pPr>
      <w:rPr>
        <w:rFonts w:hint="default" w:ascii="黑体" w:hAnsi="黑体" w:eastAsia="黑体" w:cs="黑体"/>
        <w:b w:val="0"/>
        <w:bCs w:val="0"/>
        <w:spacing w:val="0"/>
        <w:w w:val="100"/>
        <w:lang w:val="en-US"/>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15">
    <w:nsid w:val="7EB9FB6D"/>
    <w:multiLevelType w:val="singleLevel"/>
    <w:tmpl w:val="7EB9FB6D"/>
    <w:lvl w:ilvl="0" w:tentative="0">
      <w:start w:val="2"/>
      <w:numFmt w:val="decimal"/>
      <w:suff w:val="nothing"/>
      <w:lvlText w:val="%1、"/>
      <w:lvlJc w:val="left"/>
    </w:lvl>
  </w:abstractNum>
  <w:num w:numId="1">
    <w:abstractNumId w:val="9"/>
  </w:num>
  <w:num w:numId="2">
    <w:abstractNumId w:val="5"/>
  </w:num>
  <w:num w:numId="3">
    <w:abstractNumId w:val="8"/>
  </w:num>
  <w:num w:numId="4">
    <w:abstractNumId w:val="14"/>
  </w:num>
  <w:num w:numId="5">
    <w:abstractNumId w:val="6"/>
  </w:num>
  <w:num w:numId="6">
    <w:abstractNumId w:val="13"/>
  </w:num>
  <w:num w:numId="7">
    <w:abstractNumId w:val="3"/>
  </w:num>
  <w:num w:numId="8">
    <w:abstractNumId w:val="12"/>
  </w:num>
  <w:num w:numId="9">
    <w:abstractNumId w:val="2"/>
  </w:num>
  <w:num w:numId="10">
    <w:abstractNumId w:val="10"/>
  </w:num>
  <w:num w:numId="11">
    <w:abstractNumId w:val="1"/>
  </w:num>
  <w:num w:numId="12">
    <w:abstractNumId w:val="4"/>
  </w:num>
  <w:num w:numId="13">
    <w:abstractNumId w:val="0"/>
  </w:num>
  <w:num w:numId="14">
    <w:abstractNumId w:val="15"/>
  </w:num>
  <w:num w:numId="15">
    <w:abstractNumId w:val="11"/>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NotDisplayPageBoundaries w:val="1"/>
  <w:bordersDoNotSurroundHeader w:val="0"/>
  <w:bordersDoNotSurroundFooter w:val="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dit="trackedChanges" w:enforcement="0"/>
  <w:defaultTabStop w:val="420"/>
  <w:displayHorizontalDrawingGridEvery w:val="1"/>
  <w:displayVerticalDrawingGridEvery w:val="1"/>
  <w:noPunctuationKerning w:val="1"/>
  <w:characterSpacingControl w:val="doNotCompress"/>
  <w:noLineBreaksAfter w:lang="zh-CN" w:val="([{·‘“〈《「『【〔〖（．［｛￡￥"/>
  <w:noLineBreaksBefore w:lang="zh-CN" w:val="!),.:;?]}¨·ˇˉ―‖’”…∶、。〃々〉》」』】〕〗！＂＇），．：；？］｀｜｝～￠"/>
  <w:compat>
    <w:doNotExpandShiftReturn/>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E0ZTIzNjU4NWJiYzFjNjU1YzQ3YmVhMTllZjcwYmYifQ=="/>
  </w:docVars>
  <w:rsids>
    <w:rsidRoot w:val="00A14947"/>
    <w:rsid w:val="0000008D"/>
    <w:rsid w:val="00000545"/>
    <w:rsid w:val="000017DC"/>
    <w:rsid w:val="000019C8"/>
    <w:rsid w:val="00001CB8"/>
    <w:rsid w:val="00001EE1"/>
    <w:rsid w:val="000024C8"/>
    <w:rsid w:val="000029B4"/>
    <w:rsid w:val="00002DFC"/>
    <w:rsid w:val="0000304D"/>
    <w:rsid w:val="0000340C"/>
    <w:rsid w:val="00003991"/>
    <w:rsid w:val="00003FC4"/>
    <w:rsid w:val="0000413B"/>
    <w:rsid w:val="000043C8"/>
    <w:rsid w:val="000048F8"/>
    <w:rsid w:val="00004AA6"/>
    <w:rsid w:val="00004C68"/>
    <w:rsid w:val="00004D2C"/>
    <w:rsid w:val="00004E87"/>
    <w:rsid w:val="00005204"/>
    <w:rsid w:val="000059E0"/>
    <w:rsid w:val="00005BE8"/>
    <w:rsid w:val="00005FE8"/>
    <w:rsid w:val="000060B3"/>
    <w:rsid w:val="00006420"/>
    <w:rsid w:val="000066E6"/>
    <w:rsid w:val="0000697D"/>
    <w:rsid w:val="00006B58"/>
    <w:rsid w:val="00006F1C"/>
    <w:rsid w:val="00007162"/>
    <w:rsid w:val="000077E9"/>
    <w:rsid w:val="00007B9D"/>
    <w:rsid w:val="00007C02"/>
    <w:rsid w:val="00007EEA"/>
    <w:rsid w:val="000103ED"/>
    <w:rsid w:val="000109B7"/>
    <w:rsid w:val="00010A12"/>
    <w:rsid w:val="00010C7A"/>
    <w:rsid w:val="0001158D"/>
    <w:rsid w:val="00011ED5"/>
    <w:rsid w:val="00011F45"/>
    <w:rsid w:val="000120A2"/>
    <w:rsid w:val="00012200"/>
    <w:rsid w:val="00012203"/>
    <w:rsid w:val="000124A9"/>
    <w:rsid w:val="00012522"/>
    <w:rsid w:val="00012748"/>
    <w:rsid w:val="0001295E"/>
    <w:rsid w:val="00012B31"/>
    <w:rsid w:val="00012BB4"/>
    <w:rsid w:val="00012C90"/>
    <w:rsid w:val="00013D1F"/>
    <w:rsid w:val="00014440"/>
    <w:rsid w:val="0001447B"/>
    <w:rsid w:val="00014694"/>
    <w:rsid w:val="000147FA"/>
    <w:rsid w:val="00014954"/>
    <w:rsid w:val="00014E5C"/>
    <w:rsid w:val="000153BE"/>
    <w:rsid w:val="000153FB"/>
    <w:rsid w:val="000167C4"/>
    <w:rsid w:val="00017094"/>
    <w:rsid w:val="00017189"/>
    <w:rsid w:val="0001758F"/>
    <w:rsid w:val="00017943"/>
    <w:rsid w:val="00017D89"/>
    <w:rsid w:val="00017FAC"/>
    <w:rsid w:val="000200FB"/>
    <w:rsid w:val="00020581"/>
    <w:rsid w:val="000211CE"/>
    <w:rsid w:val="00021263"/>
    <w:rsid w:val="00021862"/>
    <w:rsid w:val="000219F5"/>
    <w:rsid w:val="00021D68"/>
    <w:rsid w:val="00022062"/>
    <w:rsid w:val="0002215D"/>
    <w:rsid w:val="00022989"/>
    <w:rsid w:val="00022D6B"/>
    <w:rsid w:val="000232E8"/>
    <w:rsid w:val="00023FCD"/>
    <w:rsid w:val="00024049"/>
    <w:rsid w:val="000241CB"/>
    <w:rsid w:val="00024417"/>
    <w:rsid w:val="000245A9"/>
    <w:rsid w:val="000247C5"/>
    <w:rsid w:val="00024AA8"/>
    <w:rsid w:val="00024B2C"/>
    <w:rsid w:val="00024CDC"/>
    <w:rsid w:val="00025495"/>
    <w:rsid w:val="00025665"/>
    <w:rsid w:val="00025AF0"/>
    <w:rsid w:val="00025B10"/>
    <w:rsid w:val="0002704F"/>
    <w:rsid w:val="000273BA"/>
    <w:rsid w:val="000276FB"/>
    <w:rsid w:val="00027849"/>
    <w:rsid w:val="00027C57"/>
    <w:rsid w:val="00027C70"/>
    <w:rsid w:val="0003016B"/>
    <w:rsid w:val="00030172"/>
    <w:rsid w:val="0003081E"/>
    <w:rsid w:val="00030876"/>
    <w:rsid w:val="00030D4C"/>
    <w:rsid w:val="000311C5"/>
    <w:rsid w:val="00031F42"/>
    <w:rsid w:val="00032096"/>
    <w:rsid w:val="00032363"/>
    <w:rsid w:val="00032618"/>
    <w:rsid w:val="0003275C"/>
    <w:rsid w:val="00032852"/>
    <w:rsid w:val="000329CE"/>
    <w:rsid w:val="00032B19"/>
    <w:rsid w:val="00032C27"/>
    <w:rsid w:val="00032C7A"/>
    <w:rsid w:val="00032D66"/>
    <w:rsid w:val="0003318C"/>
    <w:rsid w:val="000332BC"/>
    <w:rsid w:val="00033C14"/>
    <w:rsid w:val="0003439D"/>
    <w:rsid w:val="00034650"/>
    <w:rsid w:val="000346EF"/>
    <w:rsid w:val="000347B2"/>
    <w:rsid w:val="0003482B"/>
    <w:rsid w:val="00034A64"/>
    <w:rsid w:val="00034F67"/>
    <w:rsid w:val="0003529E"/>
    <w:rsid w:val="00035762"/>
    <w:rsid w:val="000358D0"/>
    <w:rsid w:val="000360CD"/>
    <w:rsid w:val="0003639A"/>
    <w:rsid w:val="0003717C"/>
    <w:rsid w:val="00037957"/>
    <w:rsid w:val="00037C8C"/>
    <w:rsid w:val="00037F8F"/>
    <w:rsid w:val="000403DD"/>
    <w:rsid w:val="00040B48"/>
    <w:rsid w:val="00040F12"/>
    <w:rsid w:val="00041333"/>
    <w:rsid w:val="000414D0"/>
    <w:rsid w:val="0004259E"/>
    <w:rsid w:val="0004263C"/>
    <w:rsid w:val="000426D1"/>
    <w:rsid w:val="000427C2"/>
    <w:rsid w:val="0004285A"/>
    <w:rsid w:val="00042887"/>
    <w:rsid w:val="00042F09"/>
    <w:rsid w:val="00043614"/>
    <w:rsid w:val="0004364B"/>
    <w:rsid w:val="000438AE"/>
    <w:rsid w:val="00043E5C"/>
    <w:rsid w:val="00043E69"/>
    <w:rsid w:val="00044A9D"/>
    <w:rsid w:val="00044B91"/>
    <w:rsid w:val="00045190"/>
    <w:rsid w:val="0004520C"/>
    <w:rsid w:val="000453DC"/>
    <w:rsid w:val="00045851"/>
    <w:rsid w:val="00045D22"/>
    <w:rsid w:val="000463F1"/>
    <w:rsid w:val="0004648A"/>
    <w:rsid w:val="0004669A"/>
    <w:rsid w:val="00046A3A"/>
    <w:rsid w:val="00046E33"/>
    <w:rsid w:val="00046FB4"/>
    <w:rsid w:val="0004746B"/>
    <w:rsid w:val="000474A3"/>
    <w:rsid w:val="0004786A"/>
    <w:rsid w:val="00047BE5"/>
    <w:rsid w:val="00047FBD"/>
    <w:rsid w:val="000500A7"/>
    <w:rsid w:val="000500D3"/>
    <w:rsid w:val="00050D35"/>
    <w:rsid w:val="00050D9D"/>
    <w:rsid w:val="00050DE2"/>
    <w:rsid w:val="00050E16"/>
    <w:rsid w:val="00051654"/>
    <w:rsid w:val="000516A1"/>
    <w:rsid w:val="00051AD8"/>
    <w:rsid w:val="00051D9C"/>
    <w:rsid w:val="00051DD8"/>
    <w:rsid w:val="00051ED4"/>
    <w:rsid w:val="00052275"/>
    <w:rsid w:val="00052453"/>
    <w:rsid w:val="000525CF"/>
    <w:rsid w:val="00052951"/>
    <w:rsid w:val="00052AD4"/>
    <w:rsid w:val="00052C14"/>
    <w:rsid w:val="000530BF"/>
    <w:rsid w:val="0005314C"/>
    <w:rsid w:val="00053746"/>
    <w:rsid w:val="00053B70"/>
    <w:rsid w:val="00053CBD"/>
    <w:rsid w:val="000543BD"/>
    <w:rsid w:val="000547A0"/>
    <w:rsid w:val="00054B05"/>
    <w:rsid w:val="00054C1E"/>
    <w:rsid w:val="0005526E"/>
    <w:rsid w:val="000552D8"/>
    <w:rsid w:val="00055598"/>
    <w:rsid w:val="000557D9"/>
    <w:rsid w:val="0005580A"/>
    <w:rsid w:val="0005589B"/>
    <w:rsid w:val="00055A00"/>
    <w:rsid w:val="00055D20"/>
    <w:rsid w:val="00055FB1"/>
    <w:rsid w:val="00056BF4"/>
    <w:rsid w:val="00056EB4"/>
    <w:rsid w:val="0005714B"/>
    <w:rsid w:val="000571C6"/>
    <w:rsid w:val="00057285"/>
    <w:rsid w:val="000578AD"/>
    <w:rsid w:val="00057F5B"/>
    <w:rsid w:val="000605AA"/>
    <w:rsid w:val="0006084C"/>
    <w:rsid w:val="000608FD"/>
    <w:rsid w:val="00060F23"/>
    <w:rsid w:val="0006129F"/>
    <w:rsid w:val="000615D6"/>
    <w:rsid w:val="00061B1F"/>
    <w:rsid w:val="000622E6"/>
    <w:rsid w:val="000629BE"/>
    <w:rsid w:val="00062BCC"/>
    <w:rsid w:val="00063228"/>
    <w:rsid w:val="0006353E"/>
    <w:rsid w:val="0006379E"/>
    <w:rsid w:val="000640E2"/>
    <w:rsid w:val="00064273"/>
    <w:rsid w:val="0006526B"/>
    <w:rsid w:val="000652B0"/>
    <w:rsid w:val="000652FE"/>
    <w:rsid w:val="0006557B"/>
    <w:rsid w:val="00065623"/>
    <w:rsid w:val="00065770"/>
    <w:rsid w:val="0006577F"/>
    <w:rsid w:val="00065853"/>
    <w:rsid w:val="000658FF"/>
    <w:rsid w:val="00066153"/>
    <w:rsid w:val="000661D5"/>
    <w:rsid w:val="000662B2"/>
    <w:rsid w:val="0006651C"/>
    <w:rsid w:val="00066CC9"/>
    <w:rsid w:val="00066EC5"/>
    <w:rsid w:val="000670EA"/>
    <w:rsid w:val="00067983"/>
    <w:rsid w:val="00070347"/>
    <w:rsid w:val="00070751"/>
    <w:rsid w:val="000707A2"/>
    <w:rsid w:val="00070A57"/>
    <w:rsid w:val="000712E9"/>
    <w:rsid w:val="000715B6"/>
    <w:rsid w:val="0007168D"/>
    <w:rsid w:val="000717B9"/>
    <w:rsid w:val="00071B3A"/>
    <w:rsid w:val="00071CEE"/>
    <w:rsid w:val="00071DAE"/>
    <w:rsid w:val="00071E47"/>
    <w:rsid w:val="000720DD"/>
    <w:rsid w:val="000726D5"/>
    <w:rsid w:val="00072889"/>
    <w:rsid w:val="00072D1E"/>
    <w:rsid w:val="0007316B"/>
    <w:rsid w:val="000732DB"/>
    <w:rsid w:val="000733C4"/>
    <w:rsid w:val="00073749"/>
    <w:rsid w:val="00074033"/>
    <w:rsid w:val="00074288"/>
    <w:rsid w:val="00074305"/>
    <w:rsid w:val="000743F7"/>
    <w:rsid w:val="00074444"/>
    <w:rsid w:val="00074582"/>
    <w:rsid w:val="0007460F"/>
    <w:rsid w:val="00074783"/>
    <w:rsid w:val="00074B8D"/>
    <w:rsid w:val="00074BDB"/>
    <w:rsid w:val="00074F23"/>
    <w:rsid w:val="00074FDD"/>
    <w:rsid w:val="0007559C"/>
    <w:rsid w:val="00075EBD"/>
    <w:rsid w:val="000766CF"/>
    <w:rsid w:val="00076C6D"/>
    <w:rsid w:val="00077032"/>
    <w:rsid w:val="000772C0"/>
    <w:rsid w:val="00077533"/>
    <w:rsid w:val="000775DA"/>
    <w:rsid w:val="00077940"/>
    <w:rsid w:val="000779CC"/>
    <w:rsid w:val="00077ED7"/>
    <w:rsid w:val="0008019D"/>
    <w:rsid w:val="00080267"/>
    <w:rsid w:val="00080494"/>
    <w:rsid w:val="0008070B"/>
    <w:rsid w:val="0008073A"/>
    <w:rsid w:val="00080947"/>
    <w:rsid w:val="000809BE"/>
    <w:rsid w:val="00080CFE"/>
    <w:rsid w:val="00080D51"/>
    <w:rsid w:val="00080F21"/>
    <w:rsid w:val="000810AC"/>
    <w:rsid w:val="0008117B"/>
    <w:rsid w:val="00081189"/>
    <w:rsid w:val="000815AD"/>
    <w:rsid w:val="0008171D"/>
    <w:rsid w:val="000817C9"/>
    <w:rsid w:val="00081996"/>
    <w:rsid w:val="00081A02"/>
    <w:rsid w:val="00081F77"/>
    <w:rsid w:val="0008202D"/>
    <w:rsid w:val="00082231"/>
    <w:rsid w:val="00082616"/>
    <w:rsid w:val="000829BA"/>
    <w:rsid w:val="00082D0B"/>
    <w:rsid w:val="00082FDB"/>
    <w:rsid w:val="00083225"/>
    <w:rsid w:val="00083954"/>
    <w:rsid w:val="00083D70"/>
    <w:rsid w:val="00083E00"/>
    <w:rsid w:val="000843B1"/>
    <w:rsid w:val="000848C9"/>
    <w:rsid w:val="000849BD"/>
    <w:rsid w:val="00084BC6"/>
    <w:rsid w:val="00084C06"/>
    <w:rsid w:val="00084E3B"/>
    <w:rsid w:val="00084F7E"/>
    <w:rsid w:val="00085055"/>
    <w:rsid w:val="00085071"/>
    <w:rsid w:val="00085199"/>
    <w:rsid w:val="000861F6"/>
    <w:rsid w:val="00086283"/>
    <w:rsid w:val="00086A1D"/>
    <w:rsid w:val="00086D5B"/>
    <w:rsid w:val="00087046"/>
    <w:rsid w:val="000877CF"/>
    <w:rsid w:val="000900A0"/>
    <w:rsid w:val="000901BF"/>
    <w:rsid w:val="00090352"/>
    <w:rsid w:val="00090426"/>
    <w:rsid w:val="00090727"/>
    <w:rsid w:val="000907F6"/>
    <w:rsid w:val="00090B52"/>
    <w:rsid w:val="00091061"/>
    <w:rsid w:val="000910EF"/>
    <w:rsid w:val="0009180A"/>
    <w:rsid w:val="00091D25"/>
    <w:rsid w:val="00091F88"/>
    <w:rsid w:val="0009221F"/>
    <w:rsid w:val="000922BA"/>
    <w:rsid w:val="000928C4"/>
    <w:rsid w:val="00092A79"/>
    <w:rsid w:val="00092C66"/>
    <w:rsid w:val="00092D38"/>
    <w:rsid w:val="00092F34"/>
    <w:rsid w:val="0009350E"/>
    <w:rsid w:val="0009377B"/>
    <w:rsid w:val="000937DB"/>
    <w:rsid w:val="00093889"/>
    <w:rsid w:val="000939B0"/>
    <w:rsid w:val="00093AA8"/>
    <w:rsid w:val="00093B38"/>
    <w:rsid w:val="00093FA2"/>
    <w:rsid w:val="00093FBB"/>
    <w:rsid w:val="000940E3"/>
    <w:rsid w:val="0009427D"/>
    <w:rsid w:val="00094714"/>
    <w:rsid w:val="0009498F"/>
    <w:rsid w:val="00094B70"/>
    <w:rsid w:val="00095153"/>
    <w:rsid w:val="000951E2"/>
    <w:rsid w:val="0009596A"/>
    <w:rsid w:val="00095A9E"/>
    <w:rsid w:val="00095E1A"/>
    <w:rsid w:val="0009652F"/>
    <w:rsid w:val="000967B7"/>
    <w:rsid w:val="00096AF7"/>
    <w:rsid w:val="00096BC0"/>
    <w:rsid w:val="00097250"/>
    <w:rsid w:val="0009735A"/>
    <w:rsid w:val="000974FC"/>
    <w:rsid w:val="00097659"/>
    <w:rsid w:val="000976D4"/>
    <w:rsid w:val="00097AD3"/>
    <w:rsid w:val="00097C22"/>
    <w:rsid w:val="00097EA9"/>
    <w:rsid w:val="000A036C"/>
    <w:rsid w:val="000A095F"/>
    <w:rsid w:val="000A0A55"/>
    <w:rsid w:val="000A109C"/>
    <w:rsid w:val="000A1286"/>
    <w:rsid w:val="000A12DE"/>
    <w:rsid w:val="000A13F2"/>
    <w:rsid w:val="000A1B46"/>
    <w:rsid w:val="000A209F"/>
    <w:rsid w:val="000A20C9"/>
    <w:rsid w:val="000A2517"/>
    <w:rsid w:val="000A254B"/>
    <w:rsid w:val="000A267B"/>
    <w:rsid w:val="000A2D27"/>
    <w:rsid w:val="000A2D57"/>
    <w:rsid w:val="000A2E3F"/>
    <w:rsid w:val="000A2FD9"/>
    <w:rsid w:val="000A3231"/>
    <w:rsid w:val="000A32EF"/>
    <w:rsid w:val="000A3433"/>
    <w:rsid w:val="000A3471"/>
    <w:rsid w:val="000A398A"/>
    <w:rsid w:val="000A3F1C"/>
    <w:rsid w:val="000A447D"/>
    <w:rsid w:val="000A46F3"/>
    <w:rsid w:val="000A47B1"/>
    <w:rsid w:val="000A4938"/>
    <w:rsid w:val="000A513C"/>
    <w:rsid w:val="000A5170"/>
    <w:rsid w:val="000A52E1"/>
    <w:rsid w:val="000A542F"/>
    <w:rsid w:val="000A5522"/>
    <w:rsid w:val="000A562A"/>
    <w:rsid w:val="000A6427"/>
    <w:rsid w:val="000A6778"/>
    <w:rsid w:val="000A69AB"/>
    <w:rsid w:val="000A6BB8"/>
    <w:rsid w:val="000A7120"/>
    <w:rsid w:val="000A7558"/>
    <w:rsid w:val="000A7745"/>
    <w:rsid w:val="000A77AF"/>
    <w:rsid w:val="000A7BA1"/>
    <w:rsid w:val="000A7E43"/>
    <w:rsid w:val="000B058F"/>
    <w:rsid w:val="000B07C1"/>
    <w:rsid w:val="000B0BF0"/>
    <w:rsid w:val="000B11FF"/>
    <w:rsid w:val="000B13C2"/>
    <w:rsid w:val="000B15A5"/>
    <w:rsid w:val="000B16B0"/>
    <w:rsid w:val="000B1C69"/>
    <w:rsid w:val="000B1CFC"/>
    <w:rsid w:val="000B25DA"/>
    <w:rsid w:val="000B294E"/>
    <w:rsid w:val="000B2B54"/>
    <w:rsid w:val="000B2E56"/>
    <w:rsid w:val="000B30C7"/>
    <w:rsid w:val="000B330E"/>
    <w:rsid w:val="000B335B"/>
    <w:rsid w:val="000B33CE"/>
    <w:rsid w:val="000B348C"/>
    <w:rsid w:val="000B34FE"/>
    <w:rsid w:val="000B3879"/>
    <w:rsid w:val="000B3A88"/>
    <w:rsid w:val="000B42CB"/>
    <w:rsid w:val="000B4467"/>
    <w:rsid w:val="000B447D"/>
    <w:rsid w:val="000B4D3C"/>
    <w:rsid w:val="000B4DB9"/>
    <w:rsid w:val="000B4E6E"/>
    <w:rsid w:val="000B4F20"/>
    <w:rsid w:val="000B4FF1"/>
    <w:rsid w:val="000B5082"/>
    <w:rsid w:val="000B5167"/>
    <w:rsid w:val="000B550A"/>
    <w:rsid w:val="000B556D"/>
    <w:rsid w:val="000B5582"/>
    <w:rsid w:val="000B5B9B"/>
    <w:rsid w:val="000B5F4E"/>
    <w:rsid w:val="000B6309"/>
    <w:rsid w:val="000B6331"/>
    <w:rsid w:val="000B63D3"/>
    <w:rsid w:val="000B6978"/>
    <w:rsid w:val="000B69DD"/>
    <w:rsid w:val="000B6A13"/>
    <w:rsid w:val="000B6CF5"/>
    <w:rsid w:val="000B6F32"/>
    <w:rsid w:val="000B70FC"/>
    <w:rsid w:val="000B77B9"/>
    <w:rsid w:val="000B792A"/>
    <w:rsid w:val="000B7A60"/>
    <w:rsid w:val="000B7ACE"/>
    <w:rsid w:val="000B7E31"/>
    <w:rsid w:val="000B7F8D"/>
    <w:rsid w:val="000C017F"/>
    <w:rsid w:val="000C06F4"/>
    <w:rsid w:val="000C09AC"/>
    <w:rsid w:val="000C0B85"/>
    <w:rsid w:val="000C1082"/>
    <w:rsid w:val="000C1211"/>
    <w:rsid w:val="000C138E"/>
    <w:rsid w:val="000C1AFA"/>
    <w:rsid w:val="000C1BCC"/>
    <w:rsid w:val="000C1BDC"/>
    <w:rsid w:val="000C1CDC"/>
    <w:rsid w:val="000C1DC7"/>
    <w:rsid w:val="000C1F1D"/>
    <w:rsid w:val="000C205A"/>
    <w:rsid w:val="000C2337"/>
    <w:rsid w:val="000C2355"/>
    <w:rsid w:val="000C23BD"/>
    <w:rsid w:val="000C2777"/>
    <w:rsid w:val="000C2F8D"/>
    <w:rsid w:val="000C369A"/>
    <w:rsid w:val="000C36EE"/>
    <w:rsid w:val="000C3D1F"/>
    <w:rsid w:val="000C40D6"/>
    <w:rsid w:val="000C4114"/>
    <w:rsid w:val="000C426D"/>
    <w:rsid w:val="000C4375"/>
    <w:rsid w:val="000C4618"/>
    <w:rsid w:val="000C48BB"/>
    <w:rsid w:val="000C4CE6"/>
    <w:rsid w:val="000C4F37"/>
    <w:rsid w:val="000C5014"/>
    <w:rsid w:val="000C5173"/>
    <w:rsid w:val="000C52D6"/>
    <w:rsid w:val="000C5567"/>
    <w:rsid w:val="000C5576"/>
    <w:rsid w:val="000C5A1C"/>
    <w:rsid w:val="000C5C25"/>
    <w:rsid w:val="000C5E76"/>
    <w:rsid w:val="000C5F2F"/>
    <w:rsid w:val="000C62A6"/>
    <w:rsid w:val="000C672A"/>
    <w:rsid w:val="000C6849"/>
    <w:rsid w:val="000C692D"/>
    <w:rsid w:val="000C6FB3"/>
    <w:rsid w:val="000C7225"/>
    <w:rsid w:val="000C767F"/>
    <w:rsid w:val="000C7885"/>
    <w:rsid w:val="000C7AD3"/>
    <w:rsid w:val="000C7CC8"/>
    <w:rsid w:val="000D02A0"/>
    <w:rsid w:val="000D032D"/>
    <w:rsid w:val="000D07AE"/>
    <w:rsid w:val="000D0918"/>
    <w:rsid w:val="000D0C22"/>
    <w:rsid w:val="000D0C24"/>
    <w:rsid w:val="000D0C38"/>
    <w:rsid w:val="000D0CC2"/>
    <w:rsid w:val="000D0E77"/>
    <w:rsid w:val="000D0F13"/>
    <w:rsid w:val="000D1359"/>
    <w:rsid w:val="000D1E4A"/>
    <w:rsid w:val="000D243E"/>
    <w:rsid w:val="000D3202"/>
    <w:rsid w:val="000D39AC"/>
    <w:rsid w:val="000D3B13"/>
    <w:rsid w:val="000D3EB3"/>
    <w:rsid w:val="000D4040"/>
    <w:rsid w:val="000D4258"/>
    <w:rsid w:val="000D42C4"/>
    <w:rsid w:val="000D44EA"/>
    <w:rsid w:val="000D46CF"/>
    <w:rsid w:val="000D4CA1"/>
    <w:rsid w:val="000D570D"/>
    <w:rsid w:val="000D5766"/>
    <w:rsid w:val="000D5990"/>
    <w:rsid w:val="000D5A44"/>
    <w:rsid w:val="000D5A49"/>
    <w:rsid w:val="000D5D57"/>
    <w:rsid w:val="000D5E84"/>
    <w:rsid w:val="000D5F3D"/>
    <w:rsid w:val="000D6179"/>
    <w:rsid w:val="000D61AD"/>
    <w:rsid w:val="000D623E"/>
    <w:rsid w:val="000D6411"/>
    <w:rsid w:val="000D64B6"/>
    <w:rsid w:val="000D6BC3"/>
    <w:rsid w:val="000D6C98"/>
    <w:rsid w:val="000D71B1"/>
    <w:rsid w:val="000D77F7"/>
    <w:rsid w:val="000D7812"/>
    <w:rsid w:val="000D7E28"/>
    <w:rsid w:val="000D7FD8"/>
    <w:rsid w:val="000E00DA"/>
    <w:rsid w:val="000E05ED"/>
    <w:rsid w:val="000E09F4"/>
    <w:rsid w:val="000E0E76"/>
    <w:rsid w:val="000E1351"/>
    <w:rsid w:val="000E18CB"/>
    <w:rsid w:val="000E1A50"/>
    <w:rsid w:val="000E1E79"/>
    <w:rsid w:val="000E2175"/>
    <w:rsid w:val="000E2264"/>
    <w:rsid w:val="000E244B"/>
    <w:rsid w:val="000E2592"/>
    <w:rsid w:val="000E2D62"/>
    <w:rsid w:val="000E340F"/>
    <w:rsid w:val="000E3529"/>
    <w:rsid w:val="000E3ED2"/>
    <w:rsid w:val="000E4066"/>
    <w:rsid w:val="000E4C5E"/>
    <w:rsid w:val="000E4DC2"/>
    <w:rsid w:val="000E5181"/>
    <w:rsid w:val="000E5B45"/>
    <w:rsid w:val="000E5D09"/>
    <w:rsid w:val="000E5F01"/>
    <w:rsid w:val="000E631D"/>
    <w:rsid w:val="000E65F3"/>
    <w:rsid w:val="000E69B4"/>
    <w:rsid w:val="000E69C4"/>
    <w:rsid w:val="000E6F92"/>
    <w:rsid w:val="000E716D"/>
    <w:rsid w:val="000E745F"/>
    <w:rsid w:val="000E78E5"/>
    <w:rsid w:val="000E79DD"/>
    <w:rsid w:val="000E7FBA"/>
    <w:rsid w:val="000F0021"/>
    <w:rsid w:val="000F023B"/>
    <w:rsid w:val="000F0278"/>
    <w:rsid w:val="000F0464"/>
    <w:rsid w:val="000F04F6"/>
    <w:rsid w:val="000F0623"/>
    <w:rsid w:val="000F0666"/>
    <w:rsid w:val="000F0DAB"/>
    <w:rsid w:val="000F1545"/>
    <w:rsid w:val="000F1993"/>
    <w:rsid w:val="000F19A8"/>
    <w:rsid w:val="000F1A4A"/>
    <w:rsid w:val="000F2080"/>
    <w:rsid w:val="000F2495"/>
    <w:rsid w:val="000F24E4"/>
    <w:rsid w:val="000F2864"/>
    <w:rsid w:val="000F28A2"/>
    <w:rsid w:val="000F2A7E"/>
    <w:rsid w:val="000F2B0C"/>
    <w:rsid w:val="000F2E8E"/>
    <w:rsid w:val="000F34F2"/>
    <w:rsid w:val="000F3874"/>
    <w:rsid w:val="000F3CB2"/>
    <w:rsid w:val="000F3E2E"/>
    <w:rsid w:val="000F4310"/>
    <w:rsid w:val="000F4552"/>
    <w:rsid w:val="000F4748"/>
    <w:rsid w:val="000F4754"/>
    <w:rsid w:val="000F4BA3"/>
    <w:rsid w:val="000F4C86"/>
    <w:rsid w:val="000F4C8D"/>
    <w:rsid w:val="000F51C8"/>
    <w:rsid w:val="000F5730"/>
    <w:rsid w:val="000F5B7E"/>
    <w:rsid w:val="000F5DA4"/>
    <w:rsid w:val="000F5DCF"/>
    <w:rsid w:val="000F6193"/>
    <w:rsid w:val="000F6580"/>
    <w:rsid w:val="000F668B"/>
    <w:rsid w:val="000F6AE6"/>
    <w:rsid w:val="000F6B88"/>
    <w:rsid w:val="000F6D0C"/>
    <w:rsid w:val="000F71CA"/>
    <w:rsid w:val="000F79A4"/>
    <w:rsid w:val="000F7AD3"/>
    <w:rsid w:val="000F7B22"/>
    <w:rsid w:val="000F7B51"/>
    <w:rsid w:val="000F7F63"/>
    <w:rsid w:val="0010025F"/>
    <w:rsid w:val="0010030E"/>
    <w:rsid w:val="00100819"/>
    <w:rsid w:val="00100827"/>
    <w:rsid w:val="00100BCF"/>
    <w:rsid w:val="00100DCB"/>
    <w:rsid w:val="00101029"/>
    <w:rsid w:val="001011A3"/>
    <w:rsid w:val="001018E9"/>
    <w:rsid w:val="001019EF"/>
    <w:rsid w:val="00101E16"/>
    <w:rsid w:val="001022BF"/>
    <w:rsid w:val="00102317"/>
    <w:rsid w:val="00102477"/>
    <w:rsid w:val="001026B9"/>
    <w:rsid w:val="0010284D"/>
    <w:rsid w:val="0010319E"/>
    <w:rsid w:val="001033BB"/>
    <w:rsid w:val="0010352B"/>
    <w:rsid w:val="00103AC2"/>
    <w:rsid w:val="00103BA0"/>
    <w:rsid w:val="001043E9"/>
    <w:rsid w:val="0010441F"/>
    <w:rsid w:val="001047F9"/>
    <w:rsid w:val="0010480C"/>
    <w:rsid w:val="00104871"/>
    <w:rsid w:val="00104BC2"/>
    <w:rsid w:val="00104D80"/>
    <w:rsid w:val="001050A9"/>
    <w:rsid w:val="00105251"/>
    <w:rsid w:val="001058D0"/>
    <w:rsid w:val="00105909"/>
    <w:rsid w:val="001063D0"/>
    <w:rsid w:val="001066B8"/>
    <w:rsid w:val="001069BE"/>
    <w:rsid w:val="00106A0F"/>
    <w:rsid w:val="00106AC5"/>
    <w:rsid w:val="0010769F"/>
    <w:rsid w:val="00110316"/>
    <w:rsid w:val="001104C2"/>
    <w:rsid w:val="00110805"/>
    <w:rsid w:val="0011096E"/>
    <w:rsid w:val="00110A42"/>
    <w:rsid w:val="00111B0F"/>
    <w:rsid w:val="00111EAD"/>
    <w:rsid w:val="00112447"/>
    <w:rsid w:val="00112789"/>
    <w:rsid w:val="001127E7"/>
    <w:rsid w:val="00112924"/>
    <w:rsid w:val="00112A48"/>
    <w:rsid w:val="00112D77"/>
    <w:rsid w:val="00112FE4"/>
    <w:rsid w:val="001133FB"/>
    <w:rsid w:val="00113417"/>
    <w:rsid w:val="00113420"/>
    <w:rsid w:val="0011346F"/>
    <w:rsid w:val="00113600"/>
    <w:rsid w:val="001139AD"/>
    <w:rsid w:val="00113CFC"/>
    <w:rsid w:val="001142FE"/>
    <w:rsid w:val="00114303"/>
    <w:rsid w:val="00114965"/>
    <w:rsid w:val="00114C36"/>
    <w:rsid w:val="00114F1C"/>
    <w:rsid w:val="00115424"/>
    <w:rsid w:val="001155D4"/>
    <w:rsid w:val="00115602"/>
    <w:rsid w:val="001156F6"/>
    <w:rsid w:val="00115D7E"/>
    <w:rsid w:val="0011626E"/>
    <w:rsid w:val="00116777"/>
    <w:rsid w:val="0011686F"/>
    <w:rsid w:val="00116EB6"/>
    <w:rsid w:val="00116EC6"/>
    <w:rsid w:val="0011738B"/>
    <w:rsid w:val="00117502"/>
    <w:rsid w:val="001177F3"/>
    <w:rsid w:val="00117C82"/>
    <w:rsid w:val="00117FCF"/>
    <w:rsid w:val="0012046B"/>
    <w:rsid w:val="001206AB"/>
    <w:rsid w:val="00120822"/>
    <w:rsid w:val="00120AD0"/>
    <w:rsid w:val="00120C2D"/>
    <w:rsid w:val="00120D23"/>
    <w:rsid w:val="00120E2C"/>
    <w:rsid w:val="0012113E"/>
    <w:rsid w:val="0012136F"/>
    <w:rsid w:val="0012171F"/>
    <w:rsid w:val="00121B01"/>
    <w:rsid w:val="00121B94"/>
    <w:rsid w:val="00121D05"/>
    <w:rsid w:val="00121F43"/>
    <w:rsid w:val="00122A33"/>
    <w:rsid w:val="0012314F"/>
    <w:rsid w:val="001236E7"/>
    <w:rsid w:val="00123741"/>
    <w:rsid w:val="00123A3A"/>
    <w:rsid w:val="00123EE2"/>
    <w:rsid w:val="00124250"/>
    <w:rsid w:val="0012430C"/>
    <w:rsid w:val="00124425"/>
    <w:rsid w:val="00124622"/>
    <w:rsid w:val="00124746"/>
    <w:rsid w:val="00124A1B"/>
    <w:rsid w:val="00124AFC"/>
    <w:rsid w:val="00124FD1"/>
    <w:rsid w:val="00125A99"/>
    <w:rsid w:val="00125D8E"/>
    <w:rsid w:val="00125ECA"/>
    <w:rsid w:val="00126393"/>
    <w:rsid w:val="00126815"/>
    <w:rsid w:val="00126A34"/>
    <w:rsid w:val="00126EB8"/>
    <w:rsid w:val="00126EBB"/>
    <w:rsid w:val="001272D8"/>
    <w:rsid w:val="001273FC"/>
    <w:rsid w:val="00127B1B"/>
    <w:rsid w:val="00127E68"/>
    <w:rsid w:val="00127E95"/>
    <w:rsid w:val="0013028A"/>
    <w:rsid w:val="001302D6"/>
    <w:rsid w:val="00130396"/>
    <w:rsid w:val="00131203"/>
    <w:rsid w:val="0013125E"/>
    <w:rsid w:val="001314ED"/>
    <w:rsid w:val="00131677"/>
    <w:rsid w:val="00131A72"/>
    <w:rsid w:val="00131F42"/>
    <w:rsid w:val="00131F70"/>
    <w:rsid w:val="001326CD"/>
    <w:rsid w:val="0013284D"/>
    <w:rsid w:val="001328CB"/>
    <w:rsid w:val="00132913"/>
    <w:rsid w:val="001329FE"/>
    <w:rsid w:val="001330A9"/>
    <w:rsid w:val="00133179"/>
    <w:rsid w:val="001331DF"/>
    <w:rsid w:val="001337BA"/>
    <w:rsid w:val="001339EC"/>
    <w:rsid w:val="00133DA5"/>
    <w:rsid w:val="00134461"/>
    <w:rsid w:val="00134D62"/>
    <w:rsid w:val="001357F1"/>
    <w:rsid w:val="00135ACB"/>
    <w:rsid w:val="00135FC1"/>
    <w:rsid w:val="001366E8"/>
    <w:rsid w:val="001368F6"/>
    <w:rsid w:val="00136DF5"/>
    <w:rsid w:val="001370AB"/>
    <w:rsid w:val="00137834"/>
    <w:rsid w:val="0014001C"/>
    <w:rsid w:val="0014005C"/>
    <w:rsid w:val="00140666"/>
    <w:rsid w:val="001409C8"/>
    <w:rsid w:val="00140FA8"/>
    <w:rsid w:val="00141274"/>
    <w:rsid w:val="00141755"/>
    <w:rsid w:val="00141B8B"/>
    <w:rsid w:val="0014244B"/>
    <w:rsid w:val="001424D0"/>
    <w:rsid w:val="001426C6"/>
    <w:rsid w:val="0014274A"/>
    <w:rsid w:val="001428C6"/>
    <w:rsid w:val="00142E87"/>
    <w:rsid w:val="00142FEB"/>
    <w:rsid w:val="001430D5"/>
    <w:rsid w:val="001430EE"/>
    <w:rsid w:val="00143647"/>
    <w:rsid w:val="0014372B"/>
    <w:rsid w:val="0014392E"/>
    <w:rsid w:val="00143A2D"/>
    <w:rsid w:val="00144384"/>
    <w:rsid w:val="00144586"/>
    <w:rsid w:val="00144766"/>
    <w:rsid w:val="00144895"/>
    <w:rsid w:val="00144C0B"/>
    <w:rsid w:val="00144D88"/>
    <w:rsid w:val="0014509C"/>
    <w:rsid w:val="001456CF"/>
    <w:rsid w:val="00145A41"/>
    <w:rsid w:val="001462B2"/>
    <w:rsid w:val="00146C05"/>
    <w:rsid w:val="001471CF"/>
    <w:rsid w:val="00147275"/>
    <w:rsid w:val="001472AE"/>
    <w:rsid w:val="00147339"/>
    <w:rsid w:val="0014762A"/>
    <w:rsid w:val="001478ED"/>
    <w:rsid w:val="00147A94"/>
    <w:rsid w:val="001502A9"/>
    <w:rsid w:val="00150308"/>
    <w:rsid w:val="0015051A"/>
    <w:rsid w:val="001508EE"/>
    <w:rsid w:val="00150B9E"/>
    <w:rsid w:val="00150C5A"/>
    <w:rsid w:val="00151199"/>
    <w:rsid w:val="00151413"/>
    <w:rsid w:val="00151675"/>
    <w:rsid w:val="00151BDB"/>
    <w:rsid w:val="00151CA3"/>
    <w:rsid w:val="00151D5F"/>
    <w:rsid w:val="00151F78"/>
    <w:rsid w:val="00152050"/>
    <w:rsid w:val="0015208C"/>
    <w:rsid w:val="00152696"/>
    <w:rsid w:val="001529AD"/>
    <w:rsid w:val="00153E2E"/>
    <w:rsid w:val="00153EB4"/>
    <w:rsid w:val="001544FD"/>
    <w:rsid w:val="00154557"/>
    <w:rsid w:val="00154575"/>
    <w:rsid w:val="00154688"/>
    <w:rsid w:val="0015495B"/>
    <w:rsid w:val="00154ADE"/>
    <w:rsid w:val="00154C4D"/>
    <w:rsid w:val="001553DF"/>
    <w:rsid w:val="0015573F"/>
    <w:rsid w:val="001558B3"/>
    <w:rsid w:val="001560E8"/>
    <w:rsid w:val="00156293"/>
    <w:rsid w:val="001562FB"/>
    <w:rsid w:val="0015670D"/>
    <w:rsid w:val="00156AB6"/>
    <w:rsid w:val="00157181"/>
    <w:rsid w:val="0015742A"/>
    <w:rsid w:val="00157435"/>
    <w:rsid w:val="0015743D"/>
    <w:rsid w:val="001575C2"/>
    <w:rsid w:val="001577FB"/>
    <w:rsid w:val="00157894"/>
    <w:rsid w:val="00157B15"/>
    <w:rsid w:val="00157B56"/>
    <w:rsid w:val="00157BA7"/>
    <w:rsid w:val="001606EC"/>
    <w:rsid w:val="00160805"/>
    <w:rsid w:val="0016081A"/>
    <w:rsid w:val="00160CE5"/>
    <w:rsid w:val="0016157D"/>
    <w:rsid w:val="00161638"/>
    <w:rsid w:val="00161702"/>
    <w:rsid w:val="001623CF"/>
    <w:rsid w:val="00162656"/>
    <w:rsid w:val="001627A7"/>
    <w:rsid w:val="001628A7"/>
    <w:rsid w:val="0016292D"/>
    <w:rsid w:val="001629AB"/>
    <w:rsid w:val="00162A32"/>
    <w:rsid w:val="00163346"/>
    <w:rsid w:val="0016398B"/>
    <w:rsid w:val="001639B7"/>
    <w:rsid w:val="00163D61"/>
    <w:rsid w:val="00163E78"/>
    <w:rsid w:val="0016426A"/>
    <w:rsid w:val="001643E8"/>
    <w:rsid w:val="00164471"/>
    <w:rsid w:val="0016481A"/>
    <w:rsid w:val="00164830"/>
    <w:rsid w:val="00164DF0"/>
    <w:rsid w:val="00164E86"/>
    <w:rsid w:val="00164E8F"/>
    <w:rsid w:val="00165026"/>
    <w:rsid w:val="0016502C"/>
    <w:rsid w:val="001652D2"/>
    <w:rsid w:val="00165736"/>
    <w:rsid w:val="00167143"/>
    <w:rsid w:val="0016740E"/>
    <w:rsid w:val="0016799A"/>
    <w:rsid w:val="00167D7F"/>
    <w:rsid w:val="001701CE"/>
    <w:rsid w:val="00170989"/>
    <w:rsid w:val="00170E5D"/>
    <w:rsid w:val="0017129F"/>
    <w:rsid w:val="00171556"/>
    <w:rsid w:val="00171D6F"/>
    <w:rsid w:val="00171E0E"/>
    <w:rsid w:val="00172190"/>
    <w:rsid w:val="00172508"/>
    <w:rsid w:val="00172A99"/>
    <w:rsid w:val="00172B7C"/>
    <w:rsid w:val="00172CD4"/>
    <w:rsid w:val="00172CF6"/>
    <w:rsid w:val="0017313C"/>
    <w:rsid w:val="00173389"/>
    <w:rsid w:val="00173396"/>
    <w:rsid w:val="00173406"/>
    <w:rsid w:val="00173488"/>
    <w:rsid w:val="00173AE9"/>
    <w:rsid w:val="00173BD9"/>
    <w:rsid w:val="0017407F"/>
    <w:rsid w:val="001740DF"/>
    <w:rsid w:val="00174167"/>
    <w:rsid w:val="0017419B"/>
    <w:rsid w:val="001745D4"/>
    <w:rsid w:val="001748B9"/>
    <w:rsid w:val="001749F6"/>
    <w:rsid w:val="00174BE3"/>
    <w:rsid w:val="00174E46"/>
    <w:rsid w:val="0017504D"/>
    <w:rsid w:val="001753C0"/>
    <w:rsid w:val="00175563"/>
    <w:rsid w:val="0017581E"/>
    <w:rsid w:val="00175D41"/>
    <w:rsid w:val="0017671A"/>
    <w:rsid w:val="00176732"/>
    <w:rsid w:val="0017693A"/>
    <w:rsid w:val="00176F20"/>
    <w:rsid w:val="001770E2"/>
    <w:rsid w:val="001772AF"/>
    <w:rsid w:val="00177422"/>
    <w:rsid w:val="00177908"/>
    <w:rsid w:val="00177A70"/>
    <w:rsid w:val="00177EF7"/>
    <w:rsid w:val="0018007A"/>
    <w:rsid w:val="00180AD7"/>
    <w:rsid w:val="0018128E"/>
    <w:rsid w:val="00181853"/>
    <w:rsid w:val="00181A05"/>
    <w:rsid w:val="00181A0E"/>
    <w:rsid w:val="00181CC7"/>
    <w:rsid w:val="00182004"/>
    <w:rsid w:val="00182065"/>
    <w:rsid w:val="00182410"/>
    <w:rsid w:val="001824DC"/>
    <w:rsid w:val="001824FF"/>
    <w:rsid w:val="001825B5"/>
    <w:rsid w:val="00182632"/>
    <w:rsid w:val="001828F2"/>
    <w:rsid w:val="00182BEA"/>
    <w:rsid w:val="001830AA"/>
    <w:rsid w:val="001833F2"/>
    <w:rsid w:val="001834E6"/>
    <w:rsid w:val="0018377D"/>
    <w:rsid w:val="00183E25"/>
    <w:rsid w:val="00183E51"/>
    <w:rsid w:val="001844E9"/>
    <w:rsid w:val="0018452A"/>
    <w:rsid w:val="00184590"/>
    <w:rsid w:val="0018461E"/>
    <w:rsid w:val="0018478F"/>
    <w:rsid w:val="001849CF"/>
    <w:rsid w:val="0018522D"/>
    <w:rsid w:val="001852D9"/>
    <w:rsid w:val="0018535F"/>
    <w:rsid w:val="001857C9"/>
    <w:rsid w:val="00185A57"/>
    <w:rsid w:val="00185B36"/>
    <w:rsid w:val="00185F63"/>
    <w:rsid w:val="00186F45"/>
    <w:rsid w:val="00186FEA"/>
    <w:rsid w:val="001870D1"/>
    <w:rsid w:val="0018723D"/>
    <w:rsid w:val="0018728A"/>
    <w:rsid w:val="00187340"/>
    <w:rsid w:val="00187649"/>
    <w:rsid w:val="00187675"/>
    <w:rsid w:val="0018781E"/>
    <w:rsid w:val="0018787F"/>
    <w:rsid w:val="00190916"/>
    <w:rsid w:val="0019095C"/>
    <w:rsid w:val="00190DD4"/>
    <w:rsid w:val="00190DE8"/>
    <w:rsid w:val="00190E1C"/>
    <w:rsid w:val="00190F30"/>
    <w:rsid w:val="00191893"/>
    <w:rsid w:val="001918BC"/>
    <w:rsid w:val="001918C4"/>
    <w:rsid w:val="00191CF7"/>
    <w:rsid w:val="00192173"/>
    <w:rsid w:val="0019255A"/>
    <w:rsid w:val="0019262D"/>
    <w:rsid w:val="00192732"/>
    <w:rsid w:val="00192A3D"/>
    <w:rsid w:val="00193643"/>
    <w:rsid w:val="00193E37"/>
    <w:rsid w:val="0019401D"/>
    <w:rsid w:val="001940C0"/>
    <w:rsid w:val="00194A79"/>
    <w:rsid w:val="0019504A"/>
    <w:rsid w:val="00195A89"/>
    <w:rsid w:val="00195A8B"/>
    <w:rsid w:val="00195AF0"/>
    <w:rsid w:val="00195D0E"/>
    <w:rsid w:val="00196035"/>
    <w:rsid w:val="001961E6"/>
    <w:rsid w:val="00196431"/>
    <w:rsid w:val="001965F9"/>
    <w:rsid w:val="0019690B"/>
    <w:rsid w:val="0019690D"/>
    <w:rsid w:val="00196CD0"/>
    <w:rsid w:val="00196CD2"/>
    <w:rsid w:val="00196FBD"/>
    <w:rsid w:val="00197B54"/>
    <w:rsid w:val="00197EC3"/>
    <w:rsid w:val="00197FBC"/>
    <w:rsid w:val="001A02CC"/>
    <w:rsid w:val="001A03CD"/>
    <w:rsid w:val="001A043A"/>
    <w:rsid w:val="001A0780"/>
    <w:rsid w:val="001A0DA6"/>
    <w:rsid w:val="001A0DD2"/>
    <w:rsid w:val="001A0E91"/>
    <w:rsid w:val="001A1331"/>
    <w:rsid w:val="001A141D"/>
    <w:rsid w:val="001A1757"/>
    <w:rsid w:val="001A196D"/>
    <w:rsid w:val="001A198D"/>
    <w:rsid w:val="001A1A92"/>
    <w:rsid w:val="001A1B35"/>
    <w:rsid w:val="001A1BC8"/>
    <w:rsid w:val="001A1E74"/>
    <w:rsid w:val="001A213F"/>
    <w:rsid w:val="001A2339"/>
    <w:rsid w:val="001A2911"/>
    <w:rsid w:val="001A2972"/>
    <w:rsid w:val="001A2FC1"/>
    <w:rsid w:val="001A2FC3"/>
    <w:rsid w:val="001A3202"/>
    <w:rsid w:val="001A329B"/>
    <w:rsid w:val="001A32C5"/>
    <w:rsid w:val="001A3536"/>
    <w:rsid w:val="001A3B18"/>
    <w:rsid w:val="001A3C8D"/>
    <w:rsid w:val="001A47AD"/>
    <w:rsid w:val="001A48A2"/>
    <w:rsid w:val="001A4B42"/>
    <w:rsid w:val="001A4BDF"/>
    <w:rsid w:val="001A5773"/>
    <w:rsid w:val="001A5E19"/>
    <w:rsid w:val="001A5F04"/>
    <w:rsid w:val="001A61AB"/>
    <w:rsid w:val="001A6241"/>
    <w:rsid w:val="001A68BB"/>
    <w:rsid w:val="001A6B3B"/>
    <w:rsid w:val="001A6F51"/>
    <w:rsid w:val="001A6F61"/>
    <w:rsid w:val="001A7557"/>
    <w:rsid w:val="001A773F"/>
    <w:rsid w:val="001A778D"/>
    <w:rsid w:val="001A7A20"/>
    <w:rsid w:val="001A7B54"/>
    <w:rsid w:val="001A7B5D"/>
    <w:rsid w:val="001A7B6D"/>
    <w:rsid w:val="001A7D10"/>
    <w:rsid w:val="001B0109"/>
    <w:rsid w:val="001B0435"/>
    <w:rsid w:val="001B04D1"/>
    <w:rsid w:val="001B0565"/>
    <w:rsid w:val="001B09E4"/>
    <w:rsid w:val="001B0C6C"/>
    <w:rsid w:val="001B0E16"/>
    <w:rsid w:val="001B120E"/>
    <w:rsid w:val="001B14CF"/>
    <w:rsid w:val="001B153E"/>
    <w:rsid w:val="001B1659"/>
    <w:rsid w:val="001B1C10"/>
    <w:rsid w:val="001B2241"/>
    <w:rsid w:val="001B23D6"/>
    <w:rsid w:val="001B2572"/>
    <w:rsid w:val="001B2AD3"/>
    <w:rsid w:val="001B2E4A"/>
    <w:rsid w:val="001B301F"/>
    <w:rsid w:val="001B3773"/>
    <w:rsid w:val="001B3944"/>
    <w:rsid w:val="001B3BA5"/>
    <w:rsid w:val="001B410D"/>
    <w:rsid w:val="001B4285"/>
    <w:rsid w:val="001B440E"/>
    <w:rsid w:val="001B446D"/>
    <w:rsid w:val="001B4869"/>
    <w:rsid w:val="001B4C9C"/>
    <w:rsid w:val="001B5044"/>
    <w:rsid w:val="001B553F"/>
    <w:rsid w:val="001B5D95"/>
    <w:rsid w:val="001B61BF"/>
    <w:rsid w:val="001B65ED"/>
    <w:rsid w:val="001B6634"/>
    <w:rsid w:val="001B6B3F"/>
    <w:rsid w:val="001B6D13"/>
    <w:rsid w:val="001B6D15"/>
    <w:rsid w:val="001B6D70"/>
    <w:rsid w:val="001B6F9C"/>
    <w:rsid w:val="001B72B8"/>
    <w:rsid w:val="001B73A4"/>
    <w:rsid w:val="001B791F"/>
    <w:rsid w:val="001B7A74"/>
    <w:rsid w:val="001B7C25"/>
    <w:rsid w:val="001B7DEA"/>
    <w:rsid w:val="001B7EC1"/>
    <w:rsid w:val="001C0044"/>
    <w:rsid w:val="001C03D8"/>
    <w:rsid w:val="001C0879"/>
    <w:rsid w:val="001C0A5B"/>
    <w:rsid w:val="001C1137"/>
    <w:rsid w:val="001C11F0"/>
    <w:rsid w:val="001C1368"/>
    <w:rsid w:val="001C14B1"/>
    <w:rsid w:val="001C1930"/>
    <w:rsid w:val="001C1A2D"/>
    <w:rsid w:val="001C1BB2"/>
    <w:rsid w:val="001C1BEC"/>
    <w:rsid w:val="001C1D6F"/>
    <w:rsid w:val="001C1F21"/>
    <w:rsid w:val="001C227A"/>
    <w:rsid w:val="001C25C2"/>
    <w:rsid w:val="001C2B03"/>
    <w:rsid w:val="001C2CAC"/>
    <w:rsid w:val="001C2F6D"/>
    <w:rsid w:val="001C3229"/>
    <w:rsid w:val="001C3752"/>
    <w:rsid w:val="001C38BD"/>
    <w:rsid w:val="001C3EFF"/>
    <w:rsid w:val="001C4075"/>
    <w:rsid w:val="001C4AE9"/>
    <w:rsid w:val="001C4D8A"/>
    <w:rsid w:val="001C50B3"/>
    <w:rsid w:val="001C511B"/>
    <w:rsid w:val="001C5CF8"/>
    <w:rsid w:val="001C6848"/>
    <w:rsid w:val="001C69B3"/>
    <w:rsid w:val="001C6F32"/>
    <w:rsid w:val="001C732A"/>
    <w:rsid w:val="001C74A8"/>
    <w:rsid w:val="001C7663"/>
    <w:rsid w:val="001C7715"/>
    <w:rsid w:val="001C78E3"/>
    <w:rsid w:val="001C7940"/>
    <w:rsid w:val="001C7B29"/>
    <w:rsid w:val="001C7BC9"/>
    <w:rsid w:val="001C7C0A"/>
    <w:rsid w:val="001C7C12"/>
    <w:rsid w:val="001D01E3"/>
    <w:rsid w:val="001D09D7"/>
    <w:rsid w:val="001D09D8"/>
    <w:rsid w:val="001D0BF9"/>
    <w:rsid w:val="001D0CE3"/>
    <w:rsid w:val="001D1B3A"/>
    <w:rsid w:val="001D1FE9"/>
    <w:rsid w:val="001D2005"/>
    <w:rsid w:val="001D2E58"/>
    <w:rsid w:val="001D3581"/>
    <w:rsid w:val="001D359B"/>
    <w:rsid w:val="001D35D4"/>
    <w:rsid w:val="001D3740"/>
    <w:rsid w:val="001D38BB"/>
    <w:rsid w:val="001D39F8"/>
    <w:rsid w:val="001D3B5B"/>
    <w:rsid w:val="001D3D8C"/>
    <w:rsid w:val="001D41DF"/>
    <w:rsid w:val="001D4214"/>
    <w:rsid w:val="001D4D78"/>
    <w:rsid w:val="001D53DD"/>
    <w:rsid w:val="001D5595"/>
    <w:rsid w:val="001D5C3E"/>
    <w:rsid w:val="001D5D1E"/>
    <w:rsid w:val="001D61F9"/>
    <w:rsid w:val="001D6286"/>
    <w:rsid w:val="001D6791"/>
    <w:rsid w:val="001D68C9"/>
    <w:rsid w:val="001D705A"/>
    <w:rsid w:val="001D7344"/>
    <w:rsid w:val="001D739B"/>
    <w:rsid w:val="001D776E"/>
    <w:rsid w:val="001D7874"/>
    <w:rsid w:val="001D79D8"/>
    <w:rsid w:val="001D7F22"/>
    <w:rsid w:val="001E06E1"/>
    <w:rsid w:val="001E082D"/>
    <w:rsid w:val="001E0B00"/>
    <w:rsid w:val="001E0E6E"/>
    <w:rsid w:val="001E0FA0"/>
    <w:rsid w:val="001E10CB"/>
    <w:rsid w:val="001E1534"/>
    <w:rsid w:val="001E19F7"/>
    <w:rsid w:val="001E1CDB"/>
    <w:rsid w:val="001E1FA5"/>
    <w:rsid w:val="001E22AC"/>
    <w:rsid w:val="001E257D"/>
    <w:rsid w:val="001E2D00"/>
    <w:rsid w:val="001E303D"/>
    <w:rsid w:val="001E309C"/>
    <w:rsid w:val="001E3681"/>
    <w:rsid w:val="001E3E40"/>
    <w:rsid w:val="001E3F42"/>
    <w:rsid w:val="001E42AB"/>
    <w:rsid w:val="001E42DD"/>
    <w:rsid w:val="001E43D6"/>
    <w:rsid w:val="001E4669"/>
    <w:rsid w:val="001E46A7"/>
    <w:rsid w:val="001E4A4D"/>
    <w:rsid w:val="001E4AAB"/>
    <w:rsid w:val="001E501E"/>
    <w:rsid w:val="001E50E1"/>
    <w:rsid w:val="001E5632"/>
    <w:rsid w:val="001E57A9"/>
    <w:rsid w:val="001E597D"/>
    <w:rsid w:val="001E5A98"/>
    <w:rsid w:val="001E5BA2"/>
    <w:rsid w:val="001E5D4C"/>
    <w:rsid w:val="001E5F09"/>
    <w:rsid w:val="001E616B"/>
    <w:rsid w:val="001E627B"/>
    <w:rsid w:val="001E6558"/>
    <w:rsid w:val="001E68BD"/>
    <w:rsid w:val="001E69C9"/>
    <w:rsid w:val="001E6E7F"/>
    <w:rsid w:val="001F01BE"/>
    <w:rsid w:val="001F02B6"/>
    <w:rsid w:val="001F06D4"/>
    <w:rsid w:val="001F09F4"/>
    <w:rsid w:val="001F0B08"/>
    <w:rsid w:val="001F0D36"/>
    <w:rsid w:val="001F0F17"/>
    <w:rsid w:val="001F126F"/>
    <w:rsid w:val="001F183F"/>
    <w:rsid w:val="001F1848"/>
    <w:rsid w:val="001F19F1"/>
    <w:rsid w:val="001F21D0"/>
    <w:rsid w:val="001F232F"/>
    <w:rsid w:val="001F2450"/>
    <w:rsid w:val="001F2465"/>
    <w:rsid w:val="001F24C6"/>
    <w:rsid w:val="001F279E"/>
    <w:rsid w:val="001F2BCE"/>
    <w:rsid w:val="001F2DB3"/>
    <w:rsid w:val="001F2DD0"/>
    <w:rsid w:val="001F3030"/>
    <w:rsid w:val="001F3347"/>
    <w:rsid w:val="001F33A4"/>
    <w:rsid w:val="001F39FF"/>
    <w:rsid w:val="001F3B21"/>
    <w:rsid w:val="001F406E"/>
    <w:rsid w:val="001F43D7"/>
    <w:rsid w:val="001F4492"/>
    <w:rsid w:val="001F451A"/>
    <w:rsid w:val="001F4999"/>
    <w:rsid w:val="001F49A7"/>
    <w:rsid w:val="001F4A50"/>
    <w:rsid w:val="001F4A8E"/>
    <w:rsid w:val="001F4AAC"/>
    <w:rsid w:val="001F4EE2"/>
    <w:rsid w:val="001F55E7"/>
    <w:rsid w:val="001F56B5"/>
    <w:rsid w:val="001F57FD"/>
    <w:rsid w:val="001F5A12"/>
    <w:rsid w:val="001F5DC2"/>
    <w:rsid w:val="001F664A"/>
    <w:rsid w:val="001F69E4"/>
    <w:rsid w:val="001F70D9"/>
    <w:rsid w:val="001F7662"/>
    <w:rsid w:val="001F7939"/>
    <w:rsid w:val="001F7A08"/>
    <w:rsid w:val="0020007C"/>
    <w:rsid w:val="00200215"/>
    <w:rsid w:val="002002BD"/>
    <w:rsid w:val="002007F6"/>
    <w:rsid w:val="00200FC8"/>
    <w:rsid w:val="00201165"/>
    <w:rsid w:val="002015E3"/>
    <w:rsid w:val="0020175C"/>
    <w:rsid w:val="002024FC"/>
    <w:rsid w:val="002027F6"/>
    <w:rsid w:val="00202AB1"/>
    <w:rsid w:val="00202D65"/>
    <w:rsid w:val="00202D74"/>
    <w:rsid w:val="002034DF"/>
    <w:rsid w:val="00203BDB"/>
    <w:rsid w:val="00203C62"/>
    <w:rsid w:val="00203EE7"/>
    <w:rsid w:val="00203FB9"/>
    <w:rsid w:val="00203FC9"/>
    <w:rsid w:val="00204221"/>
    <w:rsid w:val="0020557E"/>
    <w:rsid w:val="00205F86"/>
    <w:rsid w:val="002060B2"/>
    <w:rsid w:val="002061BE"/>
    <w:rsid w:val="0020625E"/>
    <w:rsid w:val="002062DD"/>
    <w:rsid w:val="002063C6"/>
    <w:rsid w:val="00206ABD"/>
    <w:rsid w:val="0020715B"/>
    <w:rsid w:val="0020725B"/>
    <w:rsid w:val="002074A6"/>
    <w:rsid w:val="00207619"/>
    <w:rsid w:val="00207F13"/>
    <w:rsid w:val="00207FCA"/>
    <w:rsid w:val="00207FF7"/>
    <w:rsid w:val="002107AF"/>
    <w:rsid w:val="00210C44"/>
    <w:rsid w:val="00210CCB"/>
    <w:rsid w:val="00210CD5"/>
    <w:rsid w:val="00210D8E"/>
    <w:rsid w:val="00210F92"/>
    <w:rsid w:val="002112A5"/>
    <w:rsid w:val="0021131B"/>
    <w:rsid w:val="00211823"/>
    <w:rsid w:val="00211909"/>
    <w:rsid w:val="00211C18"/>
    <w:rsid w:val="002124DA"/>
    <w:rsid w:val="002125B4"/>
    <w:rsid w:val="002126CC"/>
    <w:rsid w:val="00212CBB"/>
    <w:rsid w:val="00212D2F"/>
    <w:rsid w:val="00212EF4"/>
    <w:rsid w:val="00212F65"/>
    <w:rsid w:val="002130F6"/>
    <w:rsid w:val="002131CD"/>
    <w:rsid w:val="0021339D"/>
    <w:rsid w:val="002136DE"/>
    <w:rsid w:val="002138DB"/>
    <w:rsid w:val="00213B4D"/>
    <w:rsid w:val="00213C2A"/>
    <w:rsid w:val="002145AC"/>
    <w:rsid w:val="00215112"/>
    <w:rsid w:val="002155B8"/>
    <w:rsid w:val="0021598D"/>
    <w:rsid w:val="00215A81"/>
    <w:rsid w:val="00215CE8"/>
    <w:rsid w:val="00216068"/>
    <w:rsid w:val="0021616E"/>
    <w:rsid w:val="002161AD"/>
    <w:rsid w:val="002165DF"/>
    <w:rsid w:val="00216C87"/>
    <w:rsid w:val="00216ED9"/>
    <w:rsid w:val="0021715A"/>
    <w:rsid w:val="00217300"/>
    <w:rsid w:val="0021753E"/>
    <w:rsid w:val="00217A0E"/>
    <w:rsid w:val="00217B2E"/>
    <w:rsid w:val="00217E06"/>
    <w:rsid w:val="00220068"/>
    <w:rsid w:val="0022045A"/>
    <w:rsid w:val="00220727"/>
    <w:rsid w:val="002208F0"/>
    <w:rsid w:val="0022093A"/>
    <w:rsid w:val="0022094A"/>
    <w:rsid w:val="00220B98"/>
    <w:rsid w:val="00220F20"/>
    <w:rsid w:val="002210DF"/>
    <w:rsid w:val="00221AAD"/>
    <w:rsid w:val="00221BF4"/>
    <w:rsid w:val="00221E4E"/>
    <w:rsid w:val="0022205A"/>
    <w:rsid w:val="0022215F"/>
    <w:rsid w:val="002228F4"/>
    <w:rsid w:val="002229C2"/>
    <w:rsid w:val="00222DF6"/>
    <w:rsid w:val="00223059"/>
    <w:rsid w:val="0022375B"/>
    <w:rsid w:val="00223964"/>
    <w:rsid w:val="00224251"/>
    <w:rsid w:val="0022449C"/>
    <w:rsid w:val="00224564"/>
    <w:rsid w:val="002246A4"/>
    <w:rsid w:val="00224839"/>
    <w:rsid w:val="002249B2"/>
    <w:rsid w:val="00224D49"/>
    <w:rsid w:val="00224DC2"/>
    <w:rsid w:val="002251A8"/>
    <w:rsid w:val="002257D2"/>
    <w:rsid w:val="002258EE"/>
    <w:rsid w:val="00225C3B"/>
    <w:rsid w:val="00226574"/>
    <w:rsid w:val="002269D1"/>
    <w:rsid w:val="00226ADB"/>
    <w:rsid w:val="00226CFA"/>
    <w:rsid w:val="00226DDD"/>
    <w:rsid w:val="00226F55"/>
    <w:rsid w:val="002273F9"/>
    <w:rsid w:val="002275FC"/>
    <w:rsid w:val="002278EC"/>
    <w:rsid w:val="00227CE6"/>
    <w:rsid w:val="00230D2D"/>
    <w:rsid w:val="00230D36"/>
    <w:rsid w:val="00230FD9"/>
    <w:rsid w:val="00230FF0"/>
    <w:rsid w:val="00231063"/>
    <w:rsid w:val="00231169"/>
    <w:rsid w:val="002314B1"/>
    <w:rsid w:val="0023178E"/>
    <w:rsid w:val="00231B09"/>
    <w:rsid w:val="00231D1B"/>
    <w:rsid w:val="0023213A"/>
    <w:rsid w:val="00232267"/>
    <w:rsid w:val="002323EF"/>
    <w:rsid w:val="002326A8"/>
    <w:rsid w:val="0023280E"/>
    <w:rsid w:val="00232C95"/>
    <w:rsid w:val="002331AF"/>
    <w:rsid w:val="00233351"/>
    <w:rsid w:val="00233687"/>
    <w:rsid w:val="002338B5"/>
    <w:rsid w:val="00233BAD"/>
    <w:rsid w:val="00233D0A"/>
    <w:rsid w:val="00233F07"/>
    <w:rsid w:val="002342ED"/>
    <w:rsid w:val="0023451F"/>
    <w:rsid w:val="002345F2"/>
    <w:rsid w:val="002347DF"/>
    <w:rsid w:val="00234C07"/>
    <w:rsid w:val="00234DAB"/>
    <w:rsid w:val="00234E5E"/>
    <w:rsid w:val="002356AB"/>
    <w:rsid w:val="002357E0"/>
    <w:rsid w:val="00235CF3"/>
    <w:rsid w:val="00235FB2"/>
    <w:rsid w:val="002360F6"/>
    <w:rsid w:val="00236199"/>
    <w:rsid w:val="00236614"/>
    <w:rsid w:val="00236C38"/>
    <w:rsid w:val="002371FF"/>
    <w:rsid w:val="0023764E"/>
    <w:rsid w:val="002377D1"/>
    <w:rsid w:val="002378ED"/>
    <w:rsid w:val="0023791C"/>
    <w:rsid w:val="00237DE5"/>
    <w:rsid w:val="0024009A"/>
    <w:rsid w:val="002402DF"/>
    <w:rsid w:val="0024040A"/>
    <w:rsid w:val="002409EF"/>
    <w:rsid w:val="00240A70"/>
    <w:rsid w:val="00240A8C"/>
    <w:rsid w:val="0024126E"/>
    <w:rsid w:val="002412D0"/>
    <w:rsid w:val="00241347"/>
    <w:rsid w:val="0024177F"/>
    <w:rsid w:val="002417CE"/>
    <w:rsid w:val="00241921"/>
    <w:rsid w:val="00241C9E"/>
    <w:rsid w:val="00241D6A"/>
    <w:rsid w:val="00241F9A"/>
    <w:rsid w:val="00242246"/>
    <w:rsid w:val="00242301"/>
    <w:rsid w:val="00242ABF"/>
    <w:rsid w:val="00242BA8"/>
    <w:rsid w:val="002430BA"/>
    <w:rsid w:val="002436BA"/>
    <w:rsid w:val="002439AB"/>
    <w:rsid w:val="00243B4F"/>
    <w:rsid w:val="00243CDF"/>
    <w:rsid w:val="00243D74"/>
    <w:rsid w:val="0024431F"/>
    <w:rsid w:val="0024441B"/>
    <w:rsid w:val="00245358"/>
    <w:rsid w:val="00245654"/>
    <w:rsid w:val="00245A4C"/>
    <w:rsid w:val="00245B29"/>
    <w:rsid w:val="00245C99"/>
    <w:rsid w:val="00246291"/>
    <w:rsid w:val="002465C6"/>
    <w:rsid w:val="00246629"/>
    <w:rsid w:val="00246659"/>
    <w:rsid w:val="002466A7"/>
    <w:rsid w:val="00246AF4"/>
    <w:rsid w:val="00246CE3"/>
    <w:rsid w:val="0024726E"/>
    <w:rsid w:val="00247342"/>
    <w:rsid w:val="002474BD"/>
    <w:rsid w:val="00247615"/>
    <w:rsid w:val="00247A3C"/>
    <w:rsid w:val="00247E38"/>
    <w:rsid w:val="00247EC0"/>
    <w:rsid w:val="0025004C"/>
    <w:rsid w:val="002500DE"/>
    <w:rsid w:val="00250100"/>
    <w:rsid w:val="00250179"/>
    <w:rsid w:val="002502B1"/>
    <w:rsid w:val="002506BC"/>
    <w:rsid w:val="002509AF"/>
    <w:rsid w:val="00250AEB"/>
    <w:rsid w:val="00250C43"/>
    <w:rsid w:val="002510D9"/>
    <w:rsid w:val="002515F4"/>
    <w:rsid w:val="0025178E"/>
    <w:rsid w:val="00251821"/>
    <w:rsid w:val="002518ED"/>
    <w:rsid w:val="0025190B"/>
    <w:rsid w:val="00251AA6"/>
    <w:rsid w:val="00251B42"/>
    <w:rsid w:val="00251DD1"/>
    <w:rsid w:val="0025219E"/>
    <w:rsid w:val="00252581"/>
    <w:rsid w:val="0025260F"/>
    <w:rsid w:val="00252849"/>
    <w:rsid w:val="00252C08"/>
    <w:rsid w:val="00252C8B"/>
    <w:rsid w:val="00252DC4"/>
    <w:rsid w:val="00252EDF"/>
    <w:rsid w:val="0025371E"/>
    <w:rsid w:val="002539C6"/>
    <w:rsid w:val="00254063"/>
    <w:rsid w:val="00254120"/>
    <w:rsid w:val="002542D0"/>
    <w:rsid w:val="00254345"/>
    <w:rsid w:val="002546A4"/>
    <w:rsid w:val="002546AB"/>
    <w:rsid w:val="00254713"/>
    <w:rsid w:val="00254E75"/>
    <w:rsid w:val="00255468"/>
    <w:rsid w:val="00255FC4"/>
    <w:rsid w:val="00256317"/>
    <w:rsid w:val="0025637C"/>
    <w:rsid w:val="002565C4"/>
    <w:rsid w:val="0025669B"/>
    <w:rsid w:val="00256706"/>
    <w:rsid w:val="002570E0"/>
    <w:rsid w:val="002570EB"/>
    <w:rsid w:val="00257128"/>
    <w:rsid w:val="002572D1"/>
    <w:rsid w:val="00257377"/>
    <w:rsid w:val="00257BBB"/>
    <w:rsid w:val="00257DF9"/>
    <w:rsid w:val="002602B8"/>
    <w:rsid w:val="002602EE"/>
    <w:rsid w:val="00260544"/>
    <w:rsid w:val="0026077C"/>
    <w:rsid w:val="002608E0"/>
    <w:rsid w:val="00260B2E"/>
    <w:rsid w:val="00260DDB"/>
    <w:rsid w:val="002611E7"/>
    <w:rsid w:val="00261CDE"/>
    <w:rsid w:val="00261DDD"/>
    <w:rsid w:val="00261FA2"/>
    <w:rsid w:val="00261FB0"/>
    <w:rsid w:val="002625AA"/>
    <w:rsid w:val="002626F4"/>
    <w:rsid w:val="00262DC9"/>
    <w:rsid w:val="00262F11"/>
    <w:rsid w:val="00263459"/>
    <w:rsid w:val="00263819"/>
    <w:rsid w:val="0026385D"/>
    <w:rsid w:val="00263C3C"/>
    <w:rsid w:val="002641FE"/>
    <w:rsid w:val="00264371"/>
    <w:rsid w:val="00264557"/>
    <w:rsid w:val="002649E4"/>
    <w:rsid w:val="00264BEA"/>
    <w:rsid w:val="002651D7"/>
    <w:rsid w:val="00265205"/>
    <w:rsid w:val="0026541C"/>
    <w:rsid w:val="00265546"/>
    <w:rsid w:val="00265574"/>
    <w:rsid w:val="00265917"/>
    <w:rsid w:val="0026661A"/>
    <w:rsid w:val="0026674C"/>
    <w:rsid w:val="0026686C"/>
    <w:rsid w:val="00266A08"/>
    <w:rsid w:val="00266E2E"/>
    <w:rsid w:val="00266EED"/>
    <w:rsid w:val="0026711D"/>
    <w:rsid w:val="00267374"/>
    <w:rsid w:val="00267711"/>
    <w:rsid w:val="00267880"/>
    <w:rsid w:val="00267B7F"/>
    <w:rsid w:val="00267DB6"/>
    <w:rsid w:val="00267E73"/>
    <w:rsid w:val="00270049"/>
    <w:rsid w:val="00270240"/>
    <w:rsid w:val="00270451"/>
    <w:rsid w:val="002705B7"/>
    <w:rsid w:val="00270681"/>
    <w:rsid w:val="00270977"/>
    <w:rsid w:val="00270F19"/>
    <w:rsid w:val="00270FD2"/>
    <w:rsid w:val="0027128F"/>
    <w:rsid w:val="00271372"/>
    <w:rsid w:val="00271781"/>
    <w:rsid w:val="002718F2"/>
    <w:rsid w:val="0027198B"/>
    <w:rsid w:val="00271B36"/>
    <w:rsid w:val="00271D92"/>
    <w:rsid w:val="0027230D"/>
    <w:rsid w:val="0027231B"/>
    <w:rsid w:val="002730AB"/>
    <w:rsid w:val="002731CA"/>
    <w:rsid w:val="00273306"/>
    <w:rsid w:val="002734B3"/>
    <w:rsid w:val="002735DA"/>
    <w:rsid w:val="00273747"/>
    <w:rsid w:val="00273AC1"/>
    <w:rsid w:val="00273BD1"/>
    <w:rsid w:val="0027436A"/>
    <w:rsid w:val="002744A9"/>
    <w:rsid w:val="00274504"/>
    <w:rsid w:val="00274835"/>
    <w:rsid w:val="0027492A"/>
    <w:rsid w:val="00274F6C"/>
    <w:rsid w:val="002752CE"/>
    <w:rsid w:val="002753F6"/>
    <w:rsid w:val="0027546B"/>
    <w:rsid w:val="00275DD8"/>
    <w:rsid w:val="00275F71"/>
    <w:rsid w:val="00275F78"/>
    <w:rsid w:val="00276379"/>
    <w:rsid w:val="00276396"/>
    <w:rsid w:val="002763EB"/>
    <w:rsid w:val="00276DDB"/>
    <w:rsid w:val="00277305"/>
    <w:rsid w:val="00277472"/>
    <w:rsid w:val="00277734"/>
    <w:rsid w:val="00277925"/>
    <w:rsid w:val="00277E4E"/>
    <w:rsid w:val="002803A0"/>
    <w:rsid w:val="002803E6"/>
    <w:rsid w:val="002805A1"/>
    <w:rsid w:val="002805AB"/>
    <w:rsid w:val="002809AA"/>
    <w:rsid w:val="00280C05"/>
    <w:rsid w:val="00280E99"/>
    <w:rsid w:val="00281139"/>
    <w:rsid w:val="002814FF"/>
    <w:rsid w:val="002817DB"/>
    <w:rsid w:val="002825D3"/>
    <w:rsid w:val="002825F7"/>
    <w:rsid w:val="002826BC"/>
    <w:rsid w:val="00282B96"/>
    <w:rsid w:val="00282C5C"/>
    <w:rsid w:val="00282E4F"/>
    <w:rsid w:val="00282F22"/>
    <w:rsid w:val="00282F3E"/>
    <w:rsid w:val="00282F56"/>
    <w:rsid w:val="00283132"/>
    <w:rsid w:val="0028326D"/>
    <w:rsid w:val="00283505"/>
    <w:rsid w:val="0028367A"/>
    <w:rsid w:val="002838CD"/>
    <w:rsid w:val="00283B78"/>
    <w:rsid w:val="00283D7C"/>
    <w:rsid w:val="00284204"/>
    <w:rsid w:val="00284398"/>
    <w:rsid w:val="002845A5"/>
    <w:rsid w:val="00284D62"/>
    <w:rsid w:val="0028554C"/>
    <w:rsid w:val="002855B4"/>
    <w:rsid w:val="00285EAF"/>
    <w:rsid w:val="00285FB1"/>
    <w:rsid w:val="00286655"/>
    <w:rsid w:val="00286A59"/>
    <w:rsid w:val="00287127"/>
    <w:rsid w:val="002871E6"/>
    <w:rsid w:val="0028746D"/>
    <w:rsid w:val="00287FDA"/>
    <w:rsid w:val="00290082"/>
    <w:rsid w:val="00290F74"/>
    <w:rsid w:val="00291240"/>
    <w:rsid w:val="0029133E"/>
    <w:rsid w:val="002913CA"/>
    <w:rsid w:val="00291438"/>
    <w:rsid w:val="00291773"/>
    <w:rsid w:val="00291A80"/>
    <w:rsid w:val="00291F77"/>
    <w:rsid w:val="00291F7C"/>
    <w:rsid w:val="0029205A"/>
    <w:rsid w:val="0029224E"/>
    <w:rsid w:val="002928E6"/>
    <w:rsid w:val="00292D37"/>
    <w:rsid w:val="00292E43"/>
    <w:rsid w:val="0029347A"/>
    <w:rsid w:val="00293D7E"/>
    <w:rsid w:val="00293DC3"/>
    <w:rsid w:val="00293E6F"/>
    <w:rsid w:val="002943AE"/>
    <w:rsid w:val="002944D9"/>
    <w:rsid w:val="0029485A"/>
    <w:rsid w:val="002948CC"/>
    <w:rsid w:val="0029526D"/>
    <w:rsid w:val="002953BF"/>
    <w:rsid w:val="00295680"/>
    <w:rsid w:val="00295757"/>
    <w:rsid w:val="0029587B"/>
    <w:rsid w:val="00295975"/>
    <w:rsid w:val="00295AFD"/>
    <w:rsid w:val="00295C10"/>
    <w:rsid w:val="0029601D"/>
    <w:rsid w:val="0029653D"/>
    <w:rsid w:val="002966DC"/>
    <w:rsid w:val="0029693A"/>
    <w:rsid w:val="0029696C"/>
    <w:rsid w:val="00297041"/>
    <w:rsid w:val="0029737D"/>
    <w:rsid w:val="00297427"/>
    <w:rsid w:val="002975C6"/>
    <w:rsid w:val="00297750"/>
    <w:rsid w:val="00297857"/>
    <w:rsid w:val="00297B3D"/>
    <w:rsid w:val="00297BA2"/>
    <w:rsid w:val="00297CF8"/>
    <w:rsid w:val="002A0651"/>
    <w:rsid w:val="002A0725"/>
    <w:rsid w:val="002A07B2"/>
    <w:rsid w:val="002A08CF"/>
    <w:rsid w:val="002A1437"/>
    <w:rsid w:val="002A158B"/>
    <w:rsid w:val="002A1596"/>
    <w:rsid w:val="002A168C"/>
    <w:rsid w:val="002A1BD2"/>
    <w:rsid w:val="002A2C3A"/>
    <w:rsid w:val="002A2CED"/>
    <w:rsid w:val="002A327B"/>
    <w:rsid w:val="002A363E"/>
    <w:rsid w:val="002A383A"/>
    <w:rsid w:val="002A387D"/>
    <w:rsid w:val="002A3DC7"/>
    <w:rsid w:val="002A3E67"/>
    <w:rsid w:val="002A4583"/>
    <w:rsid w:val="002A48B2"/>
    <w:rsid w:val="002A4D53"/>
    <w:rsid w:val="002A55CF"/>
    <w:rsid w:val="002A56C3"/>
    <w:rsid w:val="002A5C07"/>
    <w:rsid w:val="002A5F6D"/>
    <w:rsid w:val="002A61D2"/>
    <w:rsid w:val="002A6A3F"/>
    <w:rsid w:val="002A6B4F"/>
    <w:rsid w:val="002A6DF7"/>
    <w:rsid w:val="002A7ADA"/>
    <w:rsid w:val="002A7B6E"/>
    <w:rsid w:val="002A7B95"/>
    <w:rsid w:val="002A7DAF"/>
    <w:rsid w:val="002A7F47"/>
    <w:rsid w:val="002B005B"/>
    <w:rsid w:val="002B02EB"/>
    <w:rsid w:val="002B05D4"/>
    <w:rsid w:val="002B090F"/>
    <w:rsid w:val="002B0BCA"/>
    <w:rsid w:val="002B0DE4"/>
    <w:rsid w:val="002B0E96"/>
    <w:rsid w:val="002B10FB"/>
    <w:rsid w:val="002B1791"/>
    <w:rsid w:val="002B1C43"/>
    <w:rsid w:val="002B2014"/>
    <w:rsid w:val="002B2285"/>
    <w:rsid w:val="002B2E7B"/>
    <w:rsid w:val="002B3203"/>
    <w:rsid w:val="002B336B"/>
    <w:rsid w:val="002B34AF"/>
    <w:rsid w:val="002B34C2"/>
    <w:rsid w:val="002B3707"/>
    <w:rsid w:val="002B3F00"/>
    <w:rsid w:val="002B4025"/>
    <w:rsid w:val="002B422C"/>
    <w:rsid w:val="002B49E2"/>
    <w:rsid w:val="002B4A7F"/>
    <w:rsid w:val="002B4B79"/>
    <w:rsid w:val="002B4D5E"/>
    <w:rsid w:val="002B4EE6"/>
    <w:rsid w:val="002B5085"/>
    <w:rsid w:val="002B5620"/>
    <w:rsid w:val="002B564D"/>
    <w:rsid w:val="002B5B3E"/>
    <w:rsid w:val="002B5D42"/>
    <w:rsid w:val="002B5F57"/>
    <w:rsid w:val="002B6380"/>
    <w:rsid w:val="002B683A"/>
    <w:rsid w:val="002B6F8E"/>
    <w:rsid w:val="002B74C3"/>
    <w:rsid w:val="002B7B00"/>
    <w:rsid w:val="002B7BCD"/>
    <w:rsid w:val="002B7C44"/>
    <w:rsid w:val="002B7D9B"/>
    <w:rsid w:val="002C0226"/>
    <w:rsid w:val="002C032B"/>
    <w:rsid w:val="002C09FC"/>
    <w:rsid w:val="002C0B17"/>
    <w:rsid w:val="002C0B94"/>
    <w:rsid w:val="002C0E07"/>
    <w:rsid w:val="002C0E20"/>
    <w:rsid w:val="002C1053"/>
    <w:rsid w:val="002C12D7"/>
    <w:rsid w:val="002C1B8A"/>
    <w:rsid w:val="002C2201"/>
    <w:rsid w:val="002C2AC5"/>
    <w:rsid w:val="002C2B17"/>
    <w:rsid w:val="002C2B48"/>
    <w:rsid w:val="002C2DEC"/>
    <w:rsid w:val="002C3332"/>
    <w:rsid w:val="002C33A7"/>
    <w:rsid w:val="002C34E2"/>
    <w:rsid w:val="002C4120"/>
    <w:rsid w:val="002C4142"/>
    <w:rsid w:val="002C4401"/>
    <w:rsid w:val="002C443C"/>
    <w:rsid w:val="002C4AFE"/>
    <w:rsid w:val="002C5397"/>
    <w:rsid w:val="002C5D28"/>
    <w:rsid w:val="002C5DEE"/>
    <w:rsid w:val="002C61E2"/>
    <w:rsid w:val="002C6307"/>
    <w:rsid w:val="002C6527"/>
    <w:rsid w:val="002C6549"/>
    <w:rsid w:val="002C66C6"/>
    <w:rsid w:val="002C688E"/>
    <w:rsid w:val="002C68A8"/>
    <w:rsid w:val="002C6DB9"/>
    <w:rsid w:val="002C73D2"/>
    <w:rsid w:val="002C77EA"/>
    <w:rsid w:val="002C79C3"/>
    <w:rsid w:val="002C79D2"/>
    <w:rsid w:val="002C79E7"/>
    <w:rsid w:val="002C7AD7"/>
    <w:rsid w:val="002C7C28"/>
    <w:rsid w:val="002D0300"/>
    <w:rsid w:val="002D04E4"/>
    <w:rsid w:val="002D0594"/>
    <w:rsid w:val="002D074C"/>
    <w:rsid w:val="002D0A37"/>
    <w:rsid w:val="002D0AB7"/>
    <w:rsid w:val="002D0CA8"/>
    <w:rsid w:val="002D11ED"/>
    <w:rsid w:val="002D128E"/>
    <w:rsid w:val="002D17BA"/>
    <w:rsid w:val="002D1FAA"/>
    <w:rsid w:val="002D217B"/>
    <w:rsid w:val="002D2281"/>
    <w:rsid w:val="002D23C6"/>
    <w:rsid w:val="002D25B0"/>
    <w:rsid w:val="002D29B7"/>
    <w:rsid w:val="002D2E25"/>
    <w:rsid w:val="002D3284"/>
    <w:rsid w:val="002D38CC"/>
    <w:rsid w:val="002D3B4C"/>
    <w:rsid w:val="002D3B67"/>
    <w:rsid w:val="002D3DD0"/>
    <w:rsid w:val="002D4314"/>
    <w:rsid w:val="002D47D4"/>
    <w:rsid w:val="002D4A37"/>
    <w:rsid w:val="002D4E05"/>
    <w:rsid w:val="002D4F97"/>
    <w:rsid w:val="002D5196"/>
    <w:rsid w:val="002D587C"/>
    <w:rsid w:val="002D612C"/>
    <w:rsid w:val="002D6461"/>
    <w:rsid w:val="002D6792"/>
    <w:rsid w:val="002D6A64"/>
    <w:rsid w:val="002D7141"/>
    <w:rsid w:val="002D748A"/>
    <w:rsid w:val="002D757C"/>
    <w:rsid w:val="002D77C1"/>
    <w:rsid w:val="002D7F46"/>
    <w:rsid w:val="002E02D3"/>
    <w:rsid w:val="002E032F"/>
    <w:rsid w:val="002E04CB"/>
    <w:rsid w:val="002E0B02"/>
    <w:rsid w:val="002E0C91"/>
    <w:rsid w:val="002E0DA3"/>
    <w:rsid w:val="002E1025"/>
    <w:rsid w:val="002E127B"/>
    <w:rsid w:val="002E12AF"/>
    <w:rsid w:val="002E159B"/>
    <w:rsid w:val="002E1A07"/>
    <w:rsid w:val="002E1E4F"/>
    <w:rsid w:val="002E1F3A"/>
    <w:rsid w:val="002E2297"/>
    <w:rsid w:val="002E2315"/>
    <w:rsid w:val="002E2563"/>
    <w:rsid w:val="002E26A6"/>
    <w:rsid w:val="002E26B3"/>
    <w:rsid w:val="002E298A"/>
    <w:rsid w:val="002E3190"/>
    <w:rsid w:val="002E344A"/>
    <w:rsid w:val="002E363F"/>
    <w:rsid w:val="002E3686"/>
    <w:rsid w:val="002E3773"/>
    <w:rsid w:val="002E39AE"/>
    <w:rsid w:val="002E3B96"/>
    <w:rsid w:val="002E3D89"/>
    <w:rsid w:val="002E3F09"/>
    <w:rsid w:val="002E42D6"/>
    <w:rsid w:val="002E435F"/>
    <w:rsid w:val="002E46E1"/>
    <w:rsid w:val="002E49C9"/>
    <w:rsid w:val="002E4C18"/>
    <w:rsid w:val="002E5A44"/>
    <w:rsid w:val="002E5CEF"/>
    <w:rsid w:val="002E5F03"/>
    <w:rsid w:val="002E5F8E"/>
    <w:rsid w:val="002E6067"/>
    <w:rsid w:val="002E60D1"/>
    <w:rsid w:val="002E624F"/>
    <w:rsid w:val="002E672F"/>
    <w:rsid w:val="002E68F4"/>
    <w:rsid w:val="002E694A"/>
    <w:rsid w:val="002E6C32"/>
    <w:rsid w:val="002E6CAB"/>
    <w:rsid w:val="002E6DBE"/>
    <w:rsid w:val="002E6FAA"/>
    <w:rsid w:val="002E782A"/>
    <w:rsid w:val="002E7947"/>
    <w:rsid w:val="002E7CC8"/>
    <w:rsid w:val="002E7EA0"/>
    <w:rsid w:val="002F0091"/>
    <w:rsid w:val="002F033E"/>
    <w:rsid w:val="002F033F"/>
    <w:rsid w:val="002F0463"/>
    <w:rsid w:val="002F052A"/>
    <w:rsid w:val="002F06EF"/>
    <w:rsid w:val="002F0738"/>
    <w:rsid w:val="002F0913"/>
    <w:rsid w:val="002F0A2D"/>
    <w:rsid w:val="002F0B69"/>
    <w:rsid w:val="002F122B"/>
    <w:rsid w:val="002F1469"/>
    <w:rsid w:val="002F14C4"/>
    <w:rsid w:val="002F176F"/>
    <w:rsid w:val="002F1E47"/>
    <w:rsid w:val="002F1FED"/>
    <w:rsid w:val="002F2AA6"/>
    <w:rsid w:val="002F35B7"/>
    <w:rsid w:val="002F35C7"/>
    <w:rsid w:val="002F36F4"/>
    <w:rsid w:val="002F3709"/>
    <w:rsid w:val="002F373A"/>
    <w:rsid w:val="002F389E"/>
    <w:rsid w:val="002F396C"/>
    <w:rsid w:val="002F3F69"/>
    <w:rsid w:val="002F3F7E"/>
    <w:rsid w:val="002F401A"/>
    <w:rsid w:val="002F47AD"/>
    <w:rsid w:val="002F490D"/>
    <w:rsid w:val="002F4932"/>
    <w:rsid w:val="002F4CC3"/>
    <w:rsid w:val="002F507E"/>
    <w:rsid w:val="002F51F5"/>
    <w:rsid w:val="002F52FB"/>
    <w:rsid w:val="002F56B7"/>
    <w:rsid w:val="002F571F"/>
    <w:rsid w:val="002F5CD1"/>
    <w:rsid w:val="002F645F"/>
    <w:rsid w:val="002F6B63"/>
    <w:rsid w:val="002F72F4"/>
    <w:rsid w:val="002F7FB7"/>
    <w:rsid w:val="003001A7"/>
    <w:rsid w:val="003002E2"/>
    <w:rsid w:val="003004B3"/>
    <w:rsid w:val="00300822"/>
    <w:rsid w:val="0030130A"/>
    <w:rsid w:val="0030141B"/>
    <w:rsid w:val="00301640"/>
    <w:rsid w:val="003016B7"/>
    <w:rsid w:val="003016BB"/>
    <w:rsid w:val="00301978"/>
    <w:rsid w:val="003019DC"/>
    <w:rsid w:val="00302214"/>
    <w:rsid w:val="00302821"/>
    <w:rsid w:val="00302B10"/>
    <w:rsid w:val="00302C6D"/>
    <w:rsid w:val="00302FFD"/>
    <w:rsid w:val="0030328F"/>
    <w:rsid w:val="0030332C"/>
    <w:rsid w:val="00303AFE"/>
    <w:rsid w:val="00303D28"/>
    <w:rsid w:val="00304065"/>
    <w:rsid w:val="0030407C"/>
    <w:rsid w:val="003041B6"/>
    <w:rsid w:val="003044B3"/>
    <w:rsid w:val="00304741"/>
    <w:rsid w:val="00304743"/>
    <w:rsid w:val="00304860"/>
    <w:rsid w:val="0030491A"/>
    <w:rsid w:val="0030498B"/>
    <w:rsid w:val="00304B3E"/>
    <w:rsid w:val="00304E71"/>
    <w:rsid w:val="003050EC"/>
    <w:rsid w:val="003051C2"/>
    <w:rsid w:val="003054CC"/>
    <w:rsid w:val="003054D6"/>
    <w:rsid w:val="0030566B"/>
    <w:rsid w:val="00305AFB"/>
    <w:rsid w:val="00305B7F"/>
    <w:rsid w:val="00305F83"/>
    <w:rsid w:val="003061E8"/>
    <w:rsid w:val="003063B5"/>
    <w:rsid w:val="00306A42"/>
    <w:rsid w:val="00306B5E"/>
    <w:rsid w:val="00306D86"/>
    <w:rsid w:val="00306DD8"/>
    <w:rsid w:val="00306DDD"/>
    <w:rsid w:val="0030700D"/>
    <w:rsid w:val="0030787C"/>
    <w:rsid w:val="00307B33"/>
    <w:rsid w:val="00310326"/>
    <w:rsid w:val="0031077E"/>
    <w:rsid w:val="003109B8"/>
    <w:rsid w:val="00310C1C"/>
    <w:rsid w:val="0031104D"/>
    <w:rsid w:val="00311065"/>
    <w:rsid w:val="00311B50"/>
    <w:rsid w:val="00311CCA"/>
    <w:rsid w:val="0031207C"/>
    <w:rsid w:val="00312147"/>
    <w:rsid w:val="00312296"/>
    <w:rsid w:val="003124D7"/>
    <w:rsid w:val="003128EC"/>
    <w:rsid w:val="00312D6E"/>
    <w:rsid w:val="00312FA9"/>
    <w:rsid w:val="00312FAF"/>
    <w:rsid w:val="0031318A"/>
    <w:rsid w:val="003131DC"/>
    <w:rsid w:val="0031336F"/>
    <w:rsid w:val="0031337F"/>
    <w:rsid w:val="00313599"/>
    <w:rsid w:val="00313DE4"/>
    <w:rsid w:val="00313E12"/>
    <w:rsid w:val="00314193"/>
    <w:rsid w:val="0031426C"/>
    <w:rsid w:val="00314356"/>
    <w:rsid w:val="00314490"/>
    <w:rsid w:val="0031475D"/>
    <w:rsid w:val="003148E5"/>
    <w:rsid w:val="00314A0B"/>
    <w:rsid w:val="00314F0E"/>
    <w:rsid w:val="003159FA"/>
    <w:rsid w:val="00315CAD"/>
    <w:rsid w:val="003164F9"/>
    <w:rsid w:val="0031663E"/>
    <w:rsid w:val="003166E4"/>
    <w:rsid w:val="00316B13"/>
    <w:rsid w:val="00316C28"/>
    <w:rsid w:val="00316DA6"/>
    <w:rsid w:val="00317609"/>
    <w:rsid w:val="00317A7F"/>
    <w:rsid w:val="0032017E"/>
    <w:rsid w:val="00320424"/>
    <w:rsid w:val="00320E51"/>
    <w:rsid w:val="00320ED6"/>
    <w:rsid w:val="003211EA"/>
    <w:rsid w:val="003212CC"/>
    <w:rsid w:val="003212D0"/>
    <w:rsid w:val="0032145C"/>
    <w:rsid w:val="00321693"/>
    <w:rsid w:val="00321939"/>
    <w:rsid w:val="00321C41"/>
    <w:rsid w:val="00321C48"/>
    <w:rsid w:val="00321D8E"/>
    <w:rsid w:val="0032261C"/>
    <w:rsid w:val="00322CD4"/>
    <w:rsid w:val="00323166"/>
    <w:rsid w:val="0032323E"/>
    <w:rsid w:val="003233D8"/>
    <w:rsid w:val="00323496"/>
    <w:rsid w:val="0032371C"/>
    <w:rsid w:val="00323787"/>
    <w:rsid w:val="00323A7F"/>
    <w:rsid w:val="00324011"/>
    <w:rsid w:val="003240FE"/>
    <w:rsid w:val="00324422"/>
    <w:rsid w:val="00324860"/>
    <w:rsid w:val="00324B5A"/>
    <w:rsid w:val="00325211"/>
    <w:rsid w:val="00325242"/>
    <w:rsid w:val="00325387"/>
    <w:rsid w:val="00325441"/>
    <w:rsid w:val="003254F0"/>
    <w:rsid w:val="00325605"/>
    <w:rsid w:val="003256B0"/>
    <w:rsid w:val="00325928"/>
    <w:rsid w:val="00325EE9"/>
    <w:rsid w:val="0032638B"/>
    <w:rsid w:val="003264CA"/>
    <w:rsid w:val="0032676D"/>
    <w:rsid w:val="00327054"/>
    <w:rsid w:val="00327195"/>
    <w:rsid w:val="003271E6"/>
    <w:rsid w:val="0032737D"/>
    <w:rsid w:val="0032757B"/>
    <w:rsid w:val="0032762F"/>
    <w:rsid w:val="0032767E"/>
    <w:rsid w:val="00327684"/>
    <w:rsid w:val="00327F4C"/>
    <w:rsid w:val="003302C9"/>
    <w:rsid w:val="003303A2"/>
    <w:rsid w:val="00330AAB"/>
    <w:rsid w:val="00330C5F"/>
    <w:rsid w:val="00330E7F"/>
    <w:rsid w:val="00330F71"/>
    <w:rsid w:val="003310A2"/>
    <w:rsid w:val="00331156"/>
    <w:rsid w:val="00331BD7"/>
    <w:rsid w:val="00331E8E"/>
    <w:rsid w:val="00332089"/>
    <w:rsid w:val="00332201"/>
    <w:rsid w:val="00332863"/>
    <w:rsid w:val="0033342C"/>
    <w:rsid w:val="00333512"/>
    <w:rsid w:val="00333EF1"/>
    <w:rsid w:val="00333F0E"/>
    <w:rsid w:val="00333FB5"/>
    <w:rsid w:val="003342C8"/>
    <w:rsid w:val="00334366"/>
    <w:rsid w:val="00334755"/>
    <w:rsid w:val="00334771"/>
    <w:rsid w:val="00334A80"/>
    <w:rsid w:val="00334C52"/>
    <w:rsid w:val="0033511D"/>
    <w:rsid w:val="00335243"/>
    <w:rsid w:val="0033530F"/>
    <w:rsid w:val="00335446"/>
    <w:rsid w:val="0033560A"/>
    <w:rsid w:val="0033564C"/>
    <w:rsid w:val="003356DE"/>
    <w:rsid w:val="003359F2"/>
    <w:rsid w:val="00335A0B"/>
    <w:rsid w:val="00335AA8"/>
    <w:rsid w:val="00335C64"/>
    <w:rsid w:val="00335F2F"/>
    <w:rsid w:val="0033684D"/>
    <w:rsid w:val="00336CA8"/>
    <w:rsid w:val="00336E71"/>
    <w:rsid w:val="00336FD2"/>
    <w:rsid w:val="0033761D"/>
    <w:rsid w:val="003378E0"/>
    <w:rsid w:val="00337B42"/>
    <w:rsid w:val="00337CC2"/>
    <w:rsid w:val="00340042"/>
    <w:rsid w:val="003400C9"/>
    <w:rsid w:val="0034012A"/>
    <w:rsid w:val="003403FB"/>
    <w:rsid w:val="0034063E"/>
    <w:rsid w:val="003406B9"/>
    <w:rsid w:val="003408CD"/>
    <w:rsid w:val="003412E3"/>
    <w:rsid w:val="003416A3"/>
    <w:rsid w:val="00341A92"/>
    <w:rsid w:val="00341B42"/>
    <w:rsid w:val="003422C0"/>
    <w:rsid w:val="0034265C"/>
    <w:rsid w:val="003427B0"/>
    <w:rsid w:val="003427B6"/>
    <w:rsid w:val="00342BB1"/>
    <w:rsid w:val="00342C61"/>
    <w:rsid w:val="00342DA8"/>
    <w:rsid w:val="0034348F"/>
    <w:rsid w:val="00343954"/>
    <w:rsid w:val="00343AF5"/>
    <w:rsid w:val="00343CD7"/>
    <w:rsid w:val="003441CD"/>
    <w:rsid w:val="00344E72"/>
    <w:rsid w:val="00344F0D"/>
    <w:rsid w:val="0034522B"/>
    <w:rsid w:val="003452C3"/>
    <w:rsid w:val="00345354"/>
    <w:rsid w:val="003453D4"/>
    <w:rsid w:val="003457AB"/>
    <w:rsid w:val="00345B04"/>
    <w:rsid w:val="00345E5B"/>
    <w:rsid w:val="00345E60"/>
    <w:rsid w:val="0034605C"/>
    <w:rsid w:val="00346066"/>
    <w:rsid w:val="0034621B"/>
    <w:rsid w:val="003462CD"/>
    <w:rsid w:val="00346569"/>
    <w:rsid w:val="003468BB"/>
    <w:rsid w:val="00346C67"/>
    <w:rsid w:val="00346C9F"/>
    <w:rsid w:val="00346D2C"/>
    <w:rsid w:val="00346DAF"/>
    <w:rsid w:val="00346ECC"/>
    <w:rsid w:val="00347039"/>
    <w:rsid w:val="003472C0"/>
    <w:rsid w:val="0034762E"/>
    <w:rsid w:val="003476C6"/>
    <w:rsid w:val="00347EFD"/>
    <w:rsid w:val="00350183"/>
    <w:rsid w:val="00350311"/>
    <w:rsid w:val="0035054F"/>
    <w:rsid w:val="003508F6"/>
    <w:rsid w:val="003509BD"/>
    <w:rsid w:val="00350CEC"/>
    <w:rsid w:val="00351036"/>
    <w:rsid w:val="00351099"/>
    <w:rsid w:val="0035117F"/>
    <w:rsid w:val="00351254"/>
    <w:rsid w:val="0035188E"/>
    <w:rsid w:val="003519A5"/>
    <w:rsid w:val="003519C8"/>
    <w:rsid w:val="00351BFD"/>
    <w:rsid w:val="00351EF5"/>
    <w:rsid w:val="00352270"/>
    <w:rsid w:val="0035228F"/>
    <w:rsid w:val="0035230D"/>
    <w:rsid w:val="00352B2B"/>
    <w:rsid w:val="00352D1F"/>
    <w:rsid w:val="00352FC2"/>
    <w:rsid w:val="00353C9A"/>
    <w:rsid w:val="00354145"/>
    <w:rsid w:val="00354223"/>
    <w:rsid w:val="00354266"/>
    <w:rsid w:val="0035428D"/>
    <w:rsid w:val="00354962"/>
    <w:rsid w:val="003549C4"/>
    <w:rsid w:val="00354B77"/>
    <w:rsid w:val="00354F1E"/>
    <w:rsid w:val="003555A3"/>
    <w:rsid w:val="00355766"/>
    <w:rsid w:val="003559E1"/>
    <w:rsid w:val="003562AC"/>
    <w:rsid w:val="00356653"/>
    <w:rsid w:val="00356A50"/>
    <w:rsid w:val="00356A53"/>
    <w:rsid w:val="0035706A"/>
    <w:rsid w:val="003571FB"/>
    <w:rsid w:val="0035735C"/>
    <w:rsid w:val="0035743F"/>
    <w:rsid w:val="00357819"/>
    <w:rsid w:val="003579B6"/>
    <w:rsid w:val="00357BE2"/>
    <w:rsid w:val="00357D20"/>
    <w:rsid w:val="00357E4B"/>
    <w:rsid w:val="003605E0"/>
    <w:rsid w:val="00360914"/>
    <w:rsid w:val="00360A1B"/>
    <w:rsid w:val="00360BAB"/>
    <w:rsid w:val="00360E3E"/>
    <w:rsid w:val="0036100D"/>
    <w:rsid w:val="003610BB"/>
    <w:rsid w:val="00361434"/>
    <w:rsid w:val="0036170C"/>
    <w:rsid w:val="0036170D"/>
    <w:rsid w:val="00361A96"/>
    <w:rsid w:val="00361E7B"/>
    <w:rsid w:val="00362445"/>
    <w:rsid w:val="00362672"/>
    <w:rsid w:val="00362A19"/>
    <w:rsid w:val="00362A4D"/>
    <w:rsid w:val="00362A94"/>
    <w:rsid w:val="003630F0"/>
    <w:rsid w:val="003631E9"/>
    <w:rsid w:val="00363235"/>
    <w:rsid w:val="0036329E"/>
    <w:rsid w:val="00363B6B"/>
    <w:rsid w:val="00363DFB"/>
    <w:rsid w:val="00363F44"/>
    <w:rsid w:val="003643D6"/>
    <w:rsid w:val="0036487D"/>
    <w:rsid w:val="00364B93"/>
    <w:rsid w:val="003650C9"/>
    <w:rsid w:val="0036512B"/>
    <w:rsid w:val="0036517F"/>
    <w:rsid w:val="0036539C"/>
    <w:rsid w:val="003653E3"/>
    <w:rsid w:val="00365753"/>
    <w:rsid w:val="00365BF6"/>
    <w:rsid w:val="00365DD2"/>
    <w:rsid w:val="003664B4"/>
    <w:rsid w:val="003664BF"/>
    <w:rsid w:val="003664C6"/>
    <w:rsid w:val="0036670F"/>
    <w:rsid w:val="00366775"/>
    <w:rsid w:val="003667A1"/>
    <w:rsid w:val="00366BA5"/>
    <w:rsid w:val="00366E0F"/>
    <w:rsid w:val="00367487"/>
    <w:rsid w:val="003676B7"/>
    <w:rsid w:val="00367714"/>
    <w:rsid w:val="00367862"/>
    <w:rsid w:val="00367B05"/>
    <w:rsid w:val="0037063D"/>
    <w:rsid w:val="00370EBD"/>
    <w:rsid w:val="00371314"/>
    <w:rsid w:val="00371BA3"/>
    <w:rsid w:val="00371C85"/>
    <w:rsid w:val="00372400"/>
    <w:rsid w:val="0037269A"/>
    <w:rsid w:val="003727A3"/>
    <w:rsid w:val="00373191"/>
    <w:rsid w:val="00373374"/>
    <w:rsid w:val="003733C4"/>
    <w:rsid w:val="00373709"/>
    <w:rsid w:val="00373A44"/>
    <w:rsid w:val="0037452A"/>
    <w:rsid w:val="0037483A"/>
    <w:rsid w:val="00374BA4"/>
    <w:rsid w:val="00374D02"/>
    <w:rsid w:val="00374E34"/>
    <w:rsid w:val="00374F84"/>
    <w:rsid w:val="003753A9"/>
    <w:rsid w:val="003755A5"/>
    <w:rsid w:val="003758A3"/>
    <w:rsid w:val="0037592C"/>
    <w:rsid w:val="00375A0F"/>
    <w:rsid w:val="00375AD9"/>
    <w:rsid w:val="0037637A"/>
    <w:rsid w:val="003769AF"/>
    <w:rsid w:val="00376B14"/>
    <w:rsid w:val="00376E90"/>
    <w:rsid w:val="0037706A"/>
    <w:rsid w:val="00377088"/>
    <w:rsid w:val="00377535"/>
    <w:rsid w:val="00381589"/>
    <w:rsid w:val="00381A72"/>
    <w:rsid w:val="00382317"/>
    <w:rsid w:val="00382AE7"/>
    <w:rsid w:val="00382BBF"/>
    <w:rsid w:val="00382D16"/>
    <w:rsid w:val="00382E95"/>
    <w:rsid w:val="00382ECE"/>
    <w:rsid w:val="00383311"/>
    <w:rsid w:val="00383534"/>
    <w:rsid w:val="003835D8"/>
    <w:rsid w:val="0038394F"/>
    <w:rsid w:val="00383D3E"/>
    <w:rsid w:val="00383F46"/>
    <w:rsid w:val="003841B6"/>
    <w:rsid w:val="003841BD"/>
    <w:rsid w:val="00384445"/>
    <w:rsid w:val="00384583"/>
    <w:rsid w:val="00384676"/>
    <w:rsid w:val="0038495D"/>
    <w:rsid w:val="003849BB"/>
    <w:rsid w:val="00384D85"/>
    <w:rsid w:val="00385406"/>
    <w:rsid w:val="0038598E"/>
    <w:rsid w:val="00385DB5"/>
    <w:rsid w:val="00385EEA"/>
    <w:rsid w:val="00386143"/>
    <w:rsid w:val="00386268"/>
    <w:rsid w:val="00386570"/>
    <w:rsid w:val="003867CE"/>
    <w:rsid w:val="00386ACF"/>
    <w:rsid w:val="00386AFB"/>
    <w:rsid w:val="003873BA"/>
    <w:rsid w:val="003873D1"/>
    <w:rsid w:val="003875ED"/>
    <w:rsid w:val="00387A42"/>
    <w:rsid w:val="00387B58"/>
    <w:rsid w:val="003900F0"/>
    <w:rsid w:val="003903F2"/>
    <w:rsid w:val="003904E3"/>
    <w:rsid w:val="003905BE"/>
    <w:rsid w:val="003907A7"/>
    <w:rsid w:val="00390857"/>
    <w:rsid w:val="00390BB8"/>
    <w:rsid w:val="00390BD3"/>
    <w:rsid w:val="00390EEC"/>
    <w:rsid w:val="00391067"/>
    <w:rsid w:val="00391504"/>
    <w:rsid w:val="0039155C"/>
    <w:rsid w:val="0039195B"/>
    <w:rsid w:val="00391A92"/>
    <w:rsid w:val="00391B8D"/>
    <w:rsid w:val="00392432"/>
    <w:rsid w:val="003925F1"/>
    <w:rsid w:val="00392685"/>
    <w:rsid w:val="00392687"/>
    <w:rsid w:val="00392854"/>
    <w:rsid w:val="0039303D"/>
    <w:rsid w:val="0039319B"/>
    <w:rsid w:val="00393399"/>
    <w:rsid w:val="00393501"/>
    <w:rsid w:val="0039363A"/>
    <w:rsid w:val="003938C9"/>
    <w:rsid w:val="003941AC"/>
    <w:rsid w:val="003941F5"/>
    <w:rsid w:val="00394B07"/>
    <w:rsid w:val="00394B68"/>
    <w:rsid w:val="00394D04"/>
    <w:rsid w:val="00394D30"/>
    <w:rsid w:val="00394E1C"/>
    <w:rsid w:val="00395424"/>
    <w:rsid w:val="00395C80"/>
    <w:rsid w:val="00395E2A"/>
    <w:rsid w:val="0039606C"/>
    <w:rsid w:val="00396099"/>
    <w:rsid w:val="0039631F"/>
    <w:rsid w:val="0039638F"/>
    <w:rsid w:val="0039657E"/>
    <w:rsid w:val="00396646"/>
    <w:rsid w:val="00396B8F"/>
    <w:rsid w:val="00396BCB"/>
    <w:rsid w:val="00397754"/>
    <w:rsid w:val="00397A8B"/>
    <w:rsid w:val="003A016C"/>
    <w:rsid w:val="003A01A1"/>
    <w:rsid w:val="003A0DB5"/>
    <w:rsid w:val="003A1B6B"/>
    <w:rsid w:val="003A1D31"/>
    <w:rsid w:val="003A1F2E"/>
    <w:rsid w:val="003A2122"/>
    <w:rsid w:val="003A2E3B"/>
    <w:rsid w:val="003A3149"/>
    <w:rsid w:val="003A3601"/>
    <w:rsid w:val="003A380E"/>
    <w:rsid w:val="003A3C4C"/>
    <w:rsid w:val="003A3EC9"/>
    <w:rsid w:val="003A3F72"/>
    <w:rsid w:val="003A4005"/>
    <w:rsid w:val="003A4185"/>
    <w:rsid w:val="003A476E"/>
    <w:rsid w:val="003A47CF"/>
    <w:rsid w:val="003A4937"/>
    <w:rsid w:val="003A4AD1"/>
    <w:rsid w:val="003A4B2B"/>
    <w:rsid w:val="003A4BF3"/>
    <w:rsid w:val="003A4CF8"/>
    <w:rsid w:val="003A59C1"/>
    <w:rsid w:val="003A5A1A"/>
    <w:rsid w:val="003A5CBC"/>
    <w:rsid w:val="003A61BD"/>
    <w:rsid w:val="003A635F"/>
    <w:rsid w:val="003A6504"/>
    <w:rsid w:val="003A6E9C"/>
    <w:rsid w:val="003A72E0"/>
    <w:rsid w:val="003A75FF"/>
    <w:rsid w:val="003A773F"/>
    <w:rsid w:val="003A7C55"/>
    <w:rsid w:val="003B03EC"/>
    <w:rsid w:val="003B060A"/>
    <w:rsid w:val="003B0BBE"/>
    <w:rsid w:val="003B0ECF"/>
    <w:rsid w:val="003B1535"/>
    <w:rsid w:val="003B188E"/>
    <w:rsid w:val="003B1913"/>
    <w:rsid w:val="003B2830"/>
    <w:rsid w:val="003B2FE5"/>
    <w:rsid w:val="003B3799"/>
    <w:rsid w:val="003B3B88"/>
    <w:rsid w:val="003B3E1C"/>
    <w:rsid w:val="003B4021"/>
    <w:rsid w:val="003B4041"/>
    <w:rsid w:val="003B420D"/>
    <w:rsid w:val="003B447F"/>
    <w:rsid w:val="003B4B1C"/>
    <w:rsid w:val="003B4CC7"/>
    <w:rsid w:val="003B4DF4"/>
    <w:rsid w:val="003B4EEE"/>
    <w:rsid w:val="003B5470"/>
    <w:rsid w:val="003B56FA"/>
    <w:rsid w:val="003B5A74"/>
    <w:rsid w:val="003B5B7E"/>
    <w:rsid w:val="003B6248"/>
    <w:rsid w:val="003B673A"/>
    <w:rsid w:val="003B6A0B"/>
    <w:rsid w:val="003B6C7D"/>
    <w:rsid w:val="003B710E"/>
    <w:rsid w:val="003B73EE"/>
    <w:rsid w:val="003B7523"/>
    <w:rsid w:val="003B7C6A"/>
    <w:rsid w:val="003C0032"/>
    <w:rsid w:val="003C05C4"/>
    <w:rsid w:val="003C0608"/>
    <w:rsid w:val="003C087C"/>
    <w:rsid w:val="003C091B"/>
    <w:rsid w:val="003C157B"/>
    <w:rsid w:val="003C184F"/>
    <w:rsid w:val="003C1CEB"/>
    <w:rsid w:val="003C2124"/>
    <w:rsid w:val="003C21BE"/>
    <w:rsid w:val="003C224E"/>
    <w:rsid w:val="003C28D2"/>
    <w:rsid w:val="003C3BE9"/>
    <w:rsid w:val="003C4001"/>
    <w:rsid w:val="003C40C8"/>
    <w:rsid w:val="003C4323"/>
    <w:rsid w:val="003C4484"/>
    <w:rsid w:val="003C4B7B"/>
    <w:rsid w:val="003C4E30"/>
    <w:rsid w:val="003C59A9"/>
    <w:rsid w:val="003C5BB2"/>
    <w:rsid w:val="003C682F"/>
    <w:rsid w:val="003C6A74"/>
    <w:rsid w:val="003C6B0F"/>
    <w:rsid w:val="003C6B48"/>
    <w:rsid w:val="003C6C16"/>
    <w:rsid w:val="003C7211"/>
    <w:rsid w:val="003C73C9"/>
    <w:rsid w:val="003C74A2"/>
    <w:rsid w:val="003C7C57"/>
    <w:rsid w:val="003C7D4F"/>
    <w:rsid w:val="003D02FA"/>
    <w:rsid w:val="003D083E"/>
    <w:rsid w:val="003D0894"/>
    <w:rsid w:val="003D0936"/>
    <w:rsid w:val="003D0AB0"/>
    <w:rsid w:val="003D0C74"/>
    <w:rsid w:val="003D0E0B"/>
    <w:rsid w:val="003D18C1"/>
    <w:rsid w:val="003D19F4"/>
    <w:rsid w:val="003D2164"/>
    <w:rsid w:val="003D219D"/>
    <w:rsid w:val="003D2275"/>
    <w:rsid w:val="003D2F6B"/>
    <w:rsid w:val="003D3359"/>
    <w:rsid w:val="003D3B3B"/>
    <w:rsid w:val="003D4267"/>
    <w:rsid w:val="003D4329"/>
    <w:rsid w:val="003D4611"/>
    <w:rsid w:val="003D4A8A"/>
    <w:rsid w:val="003D4F77"/>
    <w:rsid w:val="003D5166"/>
    <w:rsid w:val="003D5439"/>
    <w:rsid w:val="003D5456"/>
    <w:rsid w:val="003D5920"/>
    <w:rsid w:val="003D5BA1"/>
    <w:rsid w:val="003D5EB4"/>
    <w:rsid w:val="003D6124"/>
    <w:rsid w:val="003D6A3D"/>
    <w:rsid w:val="003D6D3F"/>
    <w:rsid w:val="003D76D8"/>
    <w:rsid w:val="003D794D"/>
    <w:rsid w:val="003D7EF1"/>
    <w:rsid w:val="003D7F4B"/>
    <w:rsid w:val="003E049D"/>
    <w:rsid w:val="003E0813"/>
    <w:rsid w:val="003E081F"/>
    <w:rsid w:val="003E088D"/>
    <w:rsid w:val="003E1322"/>
    <w:rsid w:val="003E1B28"/>
    <w:rsid w:val="003E1E15"/>
    <w:rsid w:val="003E1E1E"/>
    <w:rsid w:val="003E1E76"/>
    <w:rsid w:val="003E1E93"/>
    <w:rsid w:val="003E23BA"/>
    <w:rsid w:val="003E252B"/>
    <w:rsid w:val="003E28FE"/>
    <w:rsid w:val="003E2A58"/>
    <w:rsid w:val="003E2A5D"/>
    <w:rsid w:val="003E2EB7"/>
    <w:rsid w:val="003E2FCD"/>
    <w:rsid w:val="003E3058"/>
    <w:rsid w:val="003E3886"/>
    <w:rsid w:val="003E3915"/>
    <w:rsid w:val="003E3D81"/>
    <w:rsid w:val="003E415D"/>
    <w:rsid w:val="003E44DA"/>
    <w:rsid w:val="003E4540"/>
    <w:rsid w:val="003E4C8C"/>
    <w:rsid w:val="003E4F36"/>
    <w:rsid w:val="003E4F37"/>
    <w:rsid w:val="003E4F54"/>
    <w:rsid w:val="003E5420"/>
    <w:rsid w:val="003E58D6"/>
    <w:rsid w:val="003E5EE9"/>
    <w:rsid w:val="003E5F16"/>
    <w:rsid w:val="003E5FE9"/>
    <w:rsid w:val="003E6227"/>
    <w:rsid w:val="003E62D0"/>
    <w:rsid w:val="003E645F"/>
    <w:rsid w:val="003E65A3"/>
    <w:rsid w:val="003E6D34"/>
    <w:rsid w:val="003E703E"/>
    <w:rsid w:val="003E716C"/>
    <w:rsid w:val="003E736C"/>
    <w:rsid w:val="003E7541"/>
    <w:rsid w:val="003E76A9"/>
    <w:rsid w:val="003E789D"/>
    <w:rsid w:val="003E7BF6"/>
    <w:rsid w:val="003E7C23"/>
    <w:rsid w:val="003E7D0F"/>
    <w:rsid w:val="003E7D2A"/>
    <w:rsid w:val="003E7F88"/>
    <w:rsid w:val="003E7FC3"/>
    <w:rsid w:val="003F045E"/>
    <w:rsid w:val="003F04A1"/>
    <w:rsid w:val="003F0809"/>
    <w:rsid w:val="003F0E70"/>
    <w:rsid w:val="003F1793"/>
    <w:rsid w:val="003F1E8C"/>
    <w:rsid w:val="003F1EC2"/>
    <w:rsid w:val="003F263C"/>
    <w:rsid w:val="003F26AB"/>
    <w:rsid w:val="003F26D0"/>
    <w:rsid w:val="003F26F8"/>
    <w:rsid w:val="003F2896"/>
    <w:rsid w:val="003F28F2"/>
    <w:rsid w:val="003F2F79"/>
    <w:rsid w:val="003F330B"/>
    <w:rsid w:val="003F3E06"/>
    <w:rsid w:val="003F4114"/>
    <w:rsid w:val="003F461A"/>
    <w:rsid w:val="003F490F"/>
    <w:rsid w:val="003F4C96"/>
    <w:rsid w:val="003F5059"/>
    <w:rsid w:val="003F525C"/>
    <w:rsid w:val="003F5628"/>
    <w:rsid w:val="003F56AB"/>
    <w:rsid w:val="003F5A53"/>
    <w:rsid w:val="003F5B0E"/>
    <w:rsid w:val="003F5FFA"/>
    <w:rsid w:val="003F624E"/>
    <w:rsid w:val="003F6570"/>
    <w:rsid w:val="003F6651"/>
    <w:rsid w:val="003F6A07"/>
    <w:rsid w:val="003F6A8C"/>
    <w:rsid w:val="003F6C63"/>
    <w:rsid w:val="003F6D84"/>
    <w:rsid w:val="003F6E4B"/>
    <w:rsid w:val="003F70F3"/>
    <w:rsid w:val="003F71D1"/>
    <w:rsid w:val="003F7417"/>
    <w:rsid w:val="003F745F"/>
    <w:rsid w:val="003F755C"/>
    <w:rsid w:val="003F7620"/>
    <w:rsid w:val="003F765E"/>
    <w:rsid w:val="00400544"/>
    <w:rsid w:val="00400BB4"/>
    <w:rsid w:val="00400F14"/>
    <w:rsid w:val="00401281"/>
    <w:rsid w:val="00401467"/>
    <w:rsid w:val="00401572"/>
    <w:rsid w:val="00401764"/>
    <w:rsid w:val="004017AA"/>
    <w:rsid w:val="004017D2"/>
    <w:rsid w:val="00401E48"/>
    <w:rsid w:val="00401F19"/>
    <w:rsid w:val="004020D6"/>
    <w:rsid w:val="0040232D"/>
    <w:rsid w:val="004024D9"/>
    <w:rsid w:val="00402BD0"/>
    <w:rsid w:val="004031DE"/>
    <w:rsid w:val="004039A3"/>
    <w:rsid w:val="00403A84"/>
    <w:rsid w:val="00403AFB"/>
    <w:rsid w:val="00403C2C"/>
    <w:rsid w:val="00403D13"/>
    <w:rsid w:val="00403EE5"/>
    <w:rsid w:val="00403F3C"/>
    <w:rsid w:val="004040DF"/>
    <w:rsid w:val="0040443D"/>
    <w:rsid w:val="004046C4"/>
    <w:rsid w:val="00404781"/>
    <w:rsid w:val="004047BF"/>
    <w:rsid w:val="00404CB1"/>
    <w:rsid w:val="00404CFD"/>
    <w:rsid w:val="00404D47"/>
    <w:rsid w:val="00404EF4"/>
    <w:rsid w:val="00405185"/>
    <w:rsid w:val="00405467"/>
    <w:rsid w:val="0040565D"/>
    <w:rsid w:val="00405E75"/>
    <w:rsid w:val="00405FAE"/>
    <w:rsid w:val="0040631A"/>
    <w:rsid w:val="004067F3"/>
    <w:rsid w:val="00406A2E"/>
    <w:rsid w:val="00406F01"/>
    <w:rsid w:val="0040707B"/>
    <w:rsid w:val="00407218"/>
    <w:rsid w:val="00407252"/>
    <w:rsid w:val="00407288"/>
    <w:rsid w:val="00407514"/>
    <w:rsid w:val="004078EA"/>
    <w:rsid w:val="004078EB"/>
    <w:rsid w:val="00410055"/>
    <w:rsid w:val="004100F8"/>
    <w:rsid w:val="00410254"/>
    <w:rsid w:val="00410276"/>
    <w:rsid w:val="004105C6"/>
    <w:rsid w:val="004108BA"/>
    <w:rsid w:val="00410DD1"/>
    <w:rsid w:val="00410FD8"/>
    <w:rsid w:val="0041103C"/>
    <w:rsid w:val="004112B6"/>
    <w:rsid w:val="004114C6"/>
    <w:rsid w:val="004116DF"/>
    <w:rsid w:val="00411747"/>
    <w:rsid w:val="0041192C"/>
    <w:rsid w:val="00411A15"/>
    <w:rsid w:val="004129B1"/>
    <w:rsid w:val="0041305B"/>
    <w:rsid w:val="004132C7"/>
    <w:rsid w:val="004136C9"/>
    <w:rsid w:val="004138DB"/>
    <w:rsid w:val="00413A0A"/>
    <w:rsid w:val="00413B9A"/>
    <w:rsid w:val="00413C7C"/>
    <w:rsid w:val="00413E24"/>
    <w:rsid w:val="00414125"/>
    <w:rsid w:val="00414457"/>
    <w:rsid w:val="004145FC"/>
    <w:rsid w:val="00414A90"/>
    <w:rsid w:val="00414A9C"/>
    <w:rsid w:val="00414C30"/>
    <w:rsid w:val="00414DFF"/>
    <w:rsid w:val="00415004"/>
    <w:rsid w:val="0041506C"/>
    <w:rsid w:val="004157A8"/>
    <w:rsid w:val="00415CB1"/>
    <w:rsid w:val="00415EC2"/>
    <w:rsid w:val="00416CE4"/>
    <w:rsid w:val="00416D50"/>
    <w:rsid w:val="00416DAB"/>
    <w:rsid w:val="00416FD5"/>
    <w:rsid w:val="00417073"/>
    <w:rsid w:val="00417772"/>
    <w:rsid w:val="00417A47"/>
    <w:rsid w:val="00417B29"/>
    <w:rsid w:val="00417FD2"/>
    <w:rsid w:val="004206CC"/>
    <w:rsid w:val="00420A47"/>
    <w:rsid w:val="00420C7C"/>
    <w:rsid w:val="00420C95"/>
    <w:rsid w:val="00420D27"/>
    <w:rsid w:val="00420D71"/>
    <w:rsid w:val="00420E6A"/>
    <w:rsid w:val="00420F91"/>
    <w:rsid w:val="004211C2"/>
    <w:rsid w:val="00421AB1"/>
    <w:rsid w:val="00421EA8"/>
    <w:rsid w:val="00422899"/>
    <w:rsid w:val="00422DDE"/>
    <w:rsid w:val="0042305C"/>
    <w:rsid w:val="004231EE"/>
    <w:rsid w:val="00423217"/>
    <w:rsid w:val="00423458"/>
    <w:rsid w:val="00424076"/>
    <w:rsid w:val="004245DF"/>
    <w:rsid w:val="0042469D"/>
    <w:rsid w:val="00424E92"/>
    <w:rsid w:val="00425136"/>
    <w:rsid w:val="00425589"/>
    <w:rsid w:val="00425A9E"/>
    <w:rsid w:val="00425B21"/>
    <w:rsid w:val="00425E9C"/>
    <w:rsid w:val="004261E2"/>
    <w:rsid w:val="00426253"/>
    <w:rsid w:val="004268AA"/>
    <w:rsid w:val="00426BBC"/>
    <w:rsid w:val="00426D6B"/>
    <w:rsid w:val="004278E4"/>
    <w:rsid w:val="004279F7"/>
    <w:rsid w:val="004279F8"/>
    <w:rsid w:val="0043069D"/>
    <w:rsid w:val="004309E3"/>
    <w:rsid w:val="00430FFD"/>
    <w:rsid w:val="00431012"/>
    <w:rsid w:val="004311AB"/>
    <w:rsid w:val="0043146A"/>
    <w:rsid w:val="00431B3F"/>
    <w:rsid w:val="00431E6C"/>
    <w:rsid w:val="00431FCB"/>
    <w:rsid w:val="00432660"/>
    <w:rsid w:val="004329AB"/>
    <w:rsid w:val="00432AD1"/>
    <w:rsid w:val="00432CD1"/>
    <w:rsid w:val="00432FAD"/>
    <w:rsid w:val="00432FDA"/>
    <w:rsid w:val="00433CE7"/>
    <w:rsid w:val="00433F8B"/>
    <w:rsid w:val="00434B84"/>
    <w:rsid w:val="00434CF5"/>
    <w:rsid w:val="00434EB1"/>
    <w:rsid w:val="00435041"/>
    <w:rsid w:val="00435669"/>
    <w:rsid w:val="004359B4"/>
    <w:rsid w:val="00435B8A"/>
    <w:rsid w:val="00435F10"/>
    <w:rsid w:val="0043607A"/>
    <w:rsid w:val="0043633C"/>
    <w:rsid w:val="00436480"/>
    <w:rsid w:val="00436968"/>
    <w:rsid w:val="00436AA0"/>
    <w:rsid w:val="00436B8F"/>
    <w:rsid w:val="00436DFB"/>
    <w:rsid w:val="00437256"/>
    <w:rsid w:val="0043732F"/>
    <w:rsid w:val="00437342"/>
    <w:rsid w:val="0044016C"/>
    <w:rsid w:val="0044089D"/>
    <w:rsid w:val="00440EAC"/>
    <w:rsid w:val="004410C1"/>
    <w:rsid w:val="0044147B"/>
    <w:rsid w:val="00441957"/>
    <w:rsid w:val="00441BC3"/>
    <w:rsid w:val="00441BC5"/>
    <w:rsid w:val="00441BFC"/>
    <w:rsid w:val="00441CC2"/>
    <w:rsid w:val="00441E7A"/>
    <w:rsid w:val="004421E1"/>
    <w:rsid w:val="00442D83"/>
    <w:rsid w:val="00442D9B"/>
    <w:rsid w:val="00443A75"/>
    <w:rsid w:val="00443B9B"/>
    <w:rsid w:val="00443F40"/>
    <w:rsid w:val="00444024"/>
    <w:rsid w:val="00444352"/>
    <w:rsid w:val="00444361"/>
    <w:rsid w:val="004443B4"/>
    <w:rsid w:val="004449DF"/>
    <w:rsid w:val="00444EFD"/>
    <w:rsid w:val="00445334"/>
    <w:rsid w:val="0044570B"/>
    <w:rsid w:val="00445B4B"/>
    <w:rsid w:val="004464B1"/>
    <w:rsid w:val="004467A5"/>
    <w:rsid w:val="004469B8"/>
    <w:rsid w:val="00446D9B"/>
    <w:rsid w:val="00447223"/>
    <w:rsid w:val="004472FE"/>
    <w:rsid w:val="00447392"/>
    <w:rsid w:val="00447828"/>
    <w:rsid w:val="00450320"/>
    <w:rsid w:val="0045071F"/>
    <w:rsid w:val="0045089E"/>
    <w:rsid w:val="00450C40"/>
    <w:rsid w:val="00450EEF"/>
    <w:rsid w:val="00450FD9"/>
    <w:rsid w:val="004513D3"/>
    <w:rsid w:val="004518C2"/>
    <w:rsid w:val="004518CF"/>
    <w:rsid w:val="00451F29"/>
    <w:rsid w:val="0045222B"/>
    <w:rsid w:val="00452738"/>
    <w:rsid w:val="00452795"/>
    <w:rsid w:val="004527AA"/>
    <w:rsid w:val="00452834"/>
    <w:rsid w:val="00452E51"/>
    <w:rsid w:val="00452E8D"/>
    <w:rsid w:val="00452F29"/>
    <w:rsid w:val="00452F73"/>
    <w:rsid w:val="004532EE"/>
    <w:rsid w:val="0045376A"/>
    <w:rsid w:val="00453790"/>
    <w:rsid w:val="004538E2"/>
    <w:rsid w:val="00453AB1"/>
    <w:rsid w:val="00453E28"/>
    <w:rsid w:val="00453F11"/>
    <w:rsid w:val="00454442"/>
    <w:rsid w:val="0045468A"/>
    <w:rsid w:val="00454802"/>
    <w:rsid w:val="0045489D"/>
    <w:rsid w:val="00454C58"/>
    <w:rsid w:val="00454EAB"/>
    <w:rsid w:val="00454F7E"/>
    <w:rsid w:val="0045503E"/>
    <w:rsid w:val="00455336"/>
    <w:rsid w:val="00455617"/>
    <w:rsid w:val="004557FF"/>
    <w:rsid w:val="00455F97"/>
    <w:rsid w:val="00456091"/>
    <w:rsid w:val="00456140"/>
    <w:rsid w:val="00456321"/>
    <w:rsid w:val="00456432"/>
    <w:rsid w:val="00456680"/>
    <w:rsid w:val="0045669E"/>
    <w:rsid w:val="00456ACD"/>
    <w:rsid w:val="00456AE5"/>
    <w:rsid w:val="00456BE4"/>
    <w:rsid w:val="0045713C"/>
    <w:rsid w:val="00457377"/>
    <w:rsid w:val="00457813"/>
    <w:rsid w:val="0045792A"/>
    <w:rsid w:val="00457946"/>
    <w:rsid w:val="00457BFE"/>
    <w:rsid w:val="00457C08"/>
    <w:rsid w:val="00460019"/>
    <w:rsid w:val="004602A2"/>
    <w:rsid w:val="004602DC"/>
    <w:rsid w:val="00460373"/>
    <w:rsid w:val="0046064A"/>
    <w:rsid w:val="004608B7"/>
    <w:rsid w:val="00460AB9"/>
    <w:rsid w:val="00460FF4"/>
    <w:rsid w:val="0046207F"/>
    <w:rsid w:val="0046220B"/>
    <w:rsid w:val="00462210"/>
    <w:rsid w:val="00462411"/>
    <w:rsid w:val="00462555"/>
    <w:rsid w:val="00462A05"/>
    <w:rsid w:val="0046335B"/>
    <w:rsid w:val="00463609"/>
    <w:rsid w:val="00463629"/>
    <w:rsid w:val="00463BD4"/>
    <w:rsid w:val="00463D03"/>
    <w:rsid w:val="00463ED5"/>
    <w:rsid w:val="0046433D"/>
    <w:rsid w:val="0046447F"/>
    <w:rsid w:val="00464690"/>
    <w:rsid w:val="00464AF7"/>
    <w:rsid w:val="00464C1F"/>
    <w:rsid w:val="00464CD8"/>
    <w:rsid w:val="00464F93"/>
    <w:rsid w:val="00465347"/>
    <w:rsid w:val="00465D77"/>
    <w:rsid w:val="00465F5D"/>
    <w:rsid w:val="0046624B"/>
    <w:rsid w:val="004662F3"/>
    <w:rsid w:val="00466321"/>
    <w:rsid w:val="004663EB"/>
    <w:rsid w:val="004664AB"/>
    <w:rsid w:val="004664AF"/>
    <w:rsid w:val="00466907"/>
    <w:rsid w:val="0046698B"/>
    <w:rsid w:val="00466A02"/>
    <w:rsid w:val="00466CB0"/>
    <w:rsid w:val="0046702B"/>
    <w:rsid w:val="0046734F"/>
    <w:rsid w:val="00467443"/>
    <w:rsid w:val="00467575"/>
    <w:rsid w:val="00467711"/>
    <w:rsid w:val="00467B37"/>
    <w:rsid w:val="00467B9F"/>
    <w:rsid w:val="00467C22"/>
    <w:rsid w:val="00467C6D"/>
    <w:rsid w:val="0047024E"/>
    <w:rsid w:val="00470289"/>
    <w:rsid w:val="004702AC"/>
    <w:rsid w:val="00470869"/>
    <w:rsid w:val="00470CFC"/>
    <w:rsid w:val="004711E0"/>
    <w:rsid w:val="00471333"/>
    <w:rsid w:val="004715FB"/>
    <w:rsid w:val="0047196E"/>
    <w:rsid w:val="004720C9"/>
    <w:rsid w:val="0047242A"/>
    <w:rsid w:val="00472E5C"/>
    <w:rsid w:val="00472F66"/>
    <w:rsid w:val="00473143"/>
    <w:rsid w:val="004731CE"/>
    <w:rsid w:val="0047331A"/>
    <w:rsid w:val="004735E1"/>
    <w:rsid w:val="00473A76"/>
    <w:rsid w:val="00473B13"/>
    <w:rsid w:val="00473D7D"/>
    <w:rsid w:val="00473E75"/>
    <w:rsid w:val="00474052"/>
    <w:rsid w:val="004743D5"/>
    <w:rsid w:val="00474450"/>
    <w:rsid w:val="00474580"/>
    <w:rsid w:val="004745EA"/>
    <w:rsid w:val="004748FD"/>
    <w:rsid w:val="00474F1E"/>
    <w:rsid w:val="004756BB"/>
    <w:rsid w:val="0047581D"/>
    <w:rsid w:val="00475964"/>
    <w:rsid w:val="00475A04"/>
    <w:rsid w:val="00475A76"/>
    <w:rsid w:val="00475D3E"/>
    <w:rsid w:val="00475DCE"/>
    <w:rsid w:val="00475EC1"/>
    <w:rsid w:val="00476062"/>
    <w:rsid w:val="00476732"/>
    <w:rsid w:val="00476FB2"/>
    <w:rsid w:val="004772A1"/>
    <w:rsid w:val="004776BD"/>
    <w:rsid w:val="00477800"/>
    <w:rsid w:val="0047796D"/>
    <w:rsid w:val="00477E36"/>
    <w:rsid w:val="00477F02"/>
    <w:rsid w:val="00477F8C"/>
    <w:rsid w:val="00480741"/>
    <w:rsid w:val="0048132F"/>
    <w:rsid w:val="00481677"/>
    <w:rsid w:val="004817A3"/>
    <w:rsid w:val="00481B5D"/>
    <w:rsid w:val="004820C3"/>
    <w:rsid w:val="0048239F"/>
    <w:rsid w:val="0048254B"/>
    <w:rsid w:val="004825EB"/>
    <w:rsid w:val="004828E0"/>
    <w:rsid w:val="00482F3C"/>
    <w:rsid w:val="004833D9"/>
    <w:rsid w:val="00483A67"/>
    <w:rsid w:val="00483D64"/>
    <w:rsid w:val="00483F20"/>
    <w:rsid w:val="004842F4"/>
    <w:rsid w:val="00484462"/>
    <w:rsid w:val="00484A80"/>
    <w:rsid w:val="00484B9B"/>
    <w:rsid w:val="00484C12"/>
    <w:rsid w:val="00484C25"/>
    <w:rsid w:val="00484D67"/>
    <w:rsid w:val="0048519F"/>
    <w:rsid w:val="004853D1"/>
    <w:rsid w:val="004855F6"/>
    <w:rsid w:val="00485CC4"/>
    <w:rsid w:val="00485E30"/>
    <w:rsid w:val="00486131"/>
    <w:rsid w:val="0048649B"/>
    <w:rsid w:val="0048655B"/>
    <w:rsid w:val="0048661E"/>
    <w:rsid w:val="004866A9"/>
    <w:rsid w:val="00486855"/>
    <w:rsid w:val="00486F5A"/>
    <w:rsid w:val="004871D7"/>
    <w:rsid w:val="00487316"/>
    <w:rsid w:val="0048742F"/>
    <w:rsid w:val="00487636"/>
    <w:rsid w:val="00487F84"/>
    <w:rsid w:val="004904FB"/>
    <w:rsid w:val="0049050A"/>
    <w:rsid w:val="004905C8"/>
    <w:rsid w:val="004906D6"/>
    <w:rsid w:val="004907A7"/>
    <w:rsid w:val="00490B8D"/>
    <w:rsid w:val="0049154B"/>
    <w:rsid w:val="00491928"/>
    <w:rsid w:val="00491957"/>
    <w:rsid w:val="00491B42"/>
    <w:rsid w:val="00492441"/>
    <w:rsid w:val="00492942"/>
    <w:rsid w:val="00492A6F"/>
    <w:rsid w:val="00492BD8"/>
    <w:rsid w:val="00492DA1"/>
    <w:rsid w:val="0049347C"/>
    <w:rsid w:val="00493AE4"/>
    <w:rsid w:val="00493C79"/>
    <w:rsid w:val="00493CA3"/>
    <w:rsid w:val="00493EEA"/>
    <w:rsid w:val="00494670"/>
    <w:rsid w:val="00494912"/>
    <w:rsid w:val="00494DA9"/>
    <w:rsid w:val="004957F0"/>
    <w:rsid w:val="004958F8"/>
    <w:rsid w:val="00495A04"/>
    <w:rsid w:val="00495C77"/>
    <w:rsid w:val="00495FF0"/>
    <w:rsid w:val="004960E4"/>
    <w:rsid w:val="00496110"/>
    <w:rsid w:val="004966FB"/>
    <w:rsid w:val="00496CF5"/>
    <w:rsid w:val="00496F4D"/>
    <w:rsid w:val="00496F96"/>
    <w:rsid w:val="00497399"/>
    <w:rsid w:val="004973D3"/>
    <w:rsid w:val="00497658"/>
    <w:rsid w:val="0049775E"/>
    <w:rsid w:val="004978AF"/>
    <w:rsid w:val="00497B2C"/>
    <w:rsid w:val="004A0211"/>
    <w:rsid w:val="004A05E3"/>
    <w:rsid w:val="004A07AF"/>
    <w:rsid w:val="004A097E"/>
    <w:rsid w:val="004A14E2"/>
    <w:rsid w:val="004A14F6"/>
    <w:rsid w:val="004A198F"/>
    <w:rsid w:val="004A1BF2"/>
    <w:rsid w:val="004A202C"/>
    <w:rsid w:val="004A2086"/>
    <w:rsid w:val="004A2588"/>
    <w:rsid w:val="004A259F"/>
    <w:rsid w:val="004A268D"/>
    <w:rsid w:val="004A2F1E"/>
    <w:rsid w:val="004A33DF"/>
    <w:rsid w:val="004A36D0"/>
    <w:rsid w:val="004A3823"/>
    <w:rsid w:val="004A3C54"/>
    <w:rsid w:val="004A42BC"/>
    <w:rsid w:val="004A4580"/>
    <w:rsid w:val="004A4581"/>
    <w:rsid w:val="004A467C"/>
    <w:rsid w:val="004A4816"/>
    <w:rsid w:val="004A4A8F"/>
    <w:rsid w:val="004A4CC3"/>
    <w:rsid w:val="004A5228"/>
    <w:rsid w:val="004A56E6"/>
    <w:rsid w:val="004A57B7"/>
    <w:rsid w:val="004A590D"/>
    <w:rsid w:val="004A5A3C"/>
    <w:rsid w:val="004A62A2"/>
    <w:rsid w:val="004A63B7"/>
    <w:rsid w:val="004A6450"/>
    <w:rsid w:val="004A648F"/>
    <w:rsid w:val="004A6691"/>
    <w:rsid w:val="004A7291"/>
    <w:rsid w:val="004A7883"/>
    <w:rsid w:val="004A7AEB"/>
    <w:rsid w:val="004A7ED3"/>
    <w:rsid w:val="004B00B8"/>
    <w:rsid w:val="004B0CC0"/>
    <w:rsid w:val="004B0F89"/>
    <w:rsid w:val="004B117E"/>
    <w:rsid w:val="004B1252"/>
    <w:rsid w:val="004B149B"/>
    <w:rsid w:val="004B18C2"/>
    <w:rsid w:val="004B1DFA"/>
    <w:rsid w:val="004B1F90"/>
    <w:rsid w:val="004B2205"/>
    <w:rsid w:val="004B2206"/>
    <w:rsid w:val="004B2482"/>
    <w:rsid w:val="004B24D3"/>
    <w:rsid w:val="004B2760"/>
    <w:rsid w:val="004B2990"/>
    <w:rsid w:val="004B2A32"/>
    <w:rsid w:val="004B300E"/>
    <w:rsid w:val="004B3015"/>
    <w:rsid w:val="004B3495"/>
    <w:rsid w:val="004B376A"/>
    <w:rsid w:val="004B3B13"/>
    <w:rsid w:val="004B415C"/>
    <w:rsid w:val="004B4300"/>
    <w:rsid w:val="004B430F"/>
    <w:rsid w:val="004B43E5"/>
    <w:rsid w:val="004B4C1F"/>
    <w:rsid w:val="004B4C53"/>
    <w:rsid w:val="004B5172"/>
    <w:rsid w:val="004B55F8"/>
    <w:rsid w:val="004B5851"/>
    <w:rsid w:val="004B588D"/>
    <w:rsid w:val="004B611A"/>
    <w:rsid w:val="004B6339"/>
    <w:rsid w:val="004B6363"/>
    <w:rsid w:val="004B63B5"/>
    <w:rsid w:val="004B66E8"/>
    <w:rsid w:val="004B6840"/>
    <w:rsid w:val="004B690E"/>
    <w:rsid w:val="004B71F5"/>
    <w:rsid w:val="004B77E1"/>
    <w:rsid w:val="004B7B3A"/>
    <w:rsid w:val="004C0066"/>
    <w:rsid w:val="004C03D1"/>
    <w:rsid w:val="004C0675"/>
    <w:rsid w:val="004C0AA5"/>
    <w:rsid w:val="004C1732"/>
    <w:rsid w:val="004C1FDC"/>
    <w:rsid w:val="004C24E0"/>
    <w:rsid w:val="004C25C0"/>
    <w:rsid w:val="004C2BD6"/>
    <w:rsid w:val="004C2D5B"/>
    <w:rsid w:val="004C2DC2"/>
    <w:rsid w:val="004C2DFB"/>
    <w:rsid w:val="004C2E9C"/>
    <w:rsid w:val="004C3984"/>
    <w:rsid w:val="004C39C3"/>
    <w:rsid w:val="004C3B63"/>
    <w:rsid w:val="004C3CB1"/>
    <w:rsid w:val="004C46A7"/>
    <w:rsid w:val="004C49AB"/>
    <w:rsid w:val="004C5670"/>
    <w:rsid w:val="004C5701"/>
    <w:rsid w:val="004C596F"/>
    <w:rsid w:val="004C5B70"/>
    <w:rsid w:val="004C5C61"/>
    <w:rsid w:val="004C608D"/>
    <w:rsid w:val="004C6275"/>
    <w:rsid w:val="004C63DD"/>
    <w:rsid w:val="004C65F7"/>
    <w:rsid w:val="004C674D"/>
    <w:rsid w:val="004C730D"/>
    <w:rsid w:val="004C7318"/>
    <w:rsid w:val="004C7603"/>
    <w:rsid w:val="004C796A"/>
    <w:rsid w:val="004C7980"/>
    <w:rsid w:val="004C7AE6"/>
    <w:rsid w:val="004D0544"/>
    <w:rsid w:val="004D05AE"/>
    <w:rsid w:val="004D09D6"/>
    <w:rsid w:val="004D0D41"/>
    <w:rsid w:val="004D0FDE"/>
    <w:rsid w:val="004D1640"/>
    <w:rsid w:val="004D1903"/>
    <w:rsid w:val="004D19B4"/>
    <w:rsid w:val="004D19DE"/>
    <w:rsid w:val="004D1B55"/>
    <w:rsid w:val="004D1DA1"/>
    <w:rsid w:val="004D1EF4"/>
    <w:rsid w:val="004D20D1"/>
    <w:rsid w:val="004D20DD"/>
    <w:rsid w:val="004D2198"/>
    <w:rsid w:val="004D2315"/>
    <w:rsid w:val="004D2537"/>
    <w:rsid w:val="004D25ED"/>
    <w:rsid w:val="004D2614"/>
    <w:rsid w:val="004D277E"/>
    <w:rsid w:val="004D2EA5"/>
    <w:rsid w:val="004D3351"/>
    <w:rsid w:val="004D35D9"/>
    <w:rsid w:val="004D460F"/>
    <w:rsid w:val="004D49A2"/>
    <w:rsid w:val="004D4CC3"/>
    <w:rsid w:val="004D50CC"/>
    <w:rsid w:val="004D5161"/>
    <w:rsid w:val="004D57A0"/>
    <w:rsid w:val="004D5BFB"/>
    <w:rsid w:val="004D5C06"/>
    <w:rsid w:val="004D5D0E"/>
    <w:rsid w:val="004D5E46"/>
    <w:rsid w:val="004D6293"/>
    <w:rsid w:val="004D6513"/>
    <w:rsid w:val="004D66CA"/>
    <w:rsid w:val="004D6C13"/>
    <w:rsid w:val="004D6F7F"/>
    <w:rsid w:val="004D71CE"/>
    <w:rsid w:val="004D72D3"/>
    <w:rsid w:val="004D7378"/>
    <w:rsid w:val="004D73D4"/>
    <w:rsid w:val="004D7A55"/>
    <w:rsid w:val="004D7B15"/>
    <w:rsid w:val="004D7FCA"/>
    <w:rsid w:val="004E15FD"/>
    <w:rsid w:val="004E178C"/>
    <w:rsid w:val="004E17D5"/>
    <w:rsid w:val="004E1876"/>
    <w:rsid w:val="004E1CB0"/>
    <w:rsid w:val="004E1D60"/>
    <w:rsid w:val="004E1E3A"/>
    <w:rsid w:val="004E2205"/>
    <w:rsid w:val="004E2280"/>
    <w:rsid w:val="004E24B6"/>
    <w:rsid w:val="004E2655"/>
    <w:rsid w:val="004E294A"/>
    <w:rsid w:val="004E2A7F"/>
    <w:rsid w:val="004E2AD5"/>
    <w:rsid w:val="004E2BEC"/>
    <w:rsid w:val="004E344E"/>
    <w:rsid w:val="004E3615"/>
    <w:rsid w:val="004E36B4"/>
    <w:rsid w:val="004E3A48"/>
    <w:rsid w:val="004E3B1D"/>
    <w:rsid w:val="004E3C5B"/>
    <w:rsid w:val="004E421A"/>
    <w:rsid w:val="004E43EA"/>
    <w:rsid w:val="004E4A1D"/>
    <w:rsid w:val="004E4CA5"/>
    <w:rsid w:val="004E4E5F"/>
    <w:rsid w:val="004E4F03"/>
    <w:rsid w:val="004E52A7"/>
    <w:rsid w:val="004E53FC"/>
    <w:rsid w:val="004E545A"/>
    <w:rsid w:val="004E5DA8"/>
    <w:rsid w:val="004E5DF7"/>
    <w:rsid w:val="004E5FE8"/>
    <w:rsid w:val="004E6946"/>
    <w:rsid w:val="004E6953"/>
    <w:rsid w:val="004E697B"/>
    <w:rsid w:val="004E7358"/>
    <w:rsid w:val="004E737C"/>
    <w:rsid w:val="004E74C1"/>
    <w:rsid w:val="004E75AE"/>
    <w:rsid w:val="004E77E2"/>
    <w:rsid w:val="004E7A27"/>
    <w:rsid w:val="004E7EF2"/>
    <w:rsid w:val="004F0713"/>
    <w:rsid w:val="004F0900"/>
    <w:rsid w:val="004F12C9"/>
    <w:rsid w:val="004F12F2"/>
    <w:rsid w:val="004F1440"/>
    <w:rsid w:val="004F14AA"/>
    <w:rsid w:val="004F19CF"/>
    <w:rsid w:val="004F1AD8"/>
    <w:rsid w:val="004F1D5B"/>
    <w:rsid w:val="004F1DF3"/>
    <w:rsid w:val="004F1E7D"/>
    <w:rsid w:val="004F2418"/>
    <w:rsid w:val="004F297E"/>
    <w:rsid w:val="004F29F8"/>
    <w:rsid w:val="004F2C2F"/>
    <w:rsid w:val="004F2CC4"/>
    <w:rsid w:val="004F331A"/>
    <w:rsid w:val="004F3497"/>
    <w:rsid w:val="004F35B6"/>
    <w:rsid w:val="004F37BD"/>
    <w:rsid w:val="004F381C"/>
    <w:rsid w:val="004F3B0A"/>
    <w:rsid w:val="004F3F35"/>
    <w:rsid w:val="004F400A"/>
    <w:rsid w:val="004F46E7"/>
    <w:rsid w:val="004F47DD"/>
    <w:rsid w:val="004F4BBB"/>
    <w:rsid w:val="004F4F28"/>
    <w:rsid w:val="004F5240"/>
    <w:rsid w:val="004F526D"/>
    <w:rsid w:val="004F554C"/>
    <w:rsid w:val="004F572D"/>
    <w:rsid w:val="004F5B7C"/>
    <w:rsid w:val="004F5EA7"/>
    <w:rsid w:val="004F60BE"/>
    <w:rsid w:val="004F632F"/>
    <w:rsid w:val="004F6683"/>
    <w:rsid w:val="004F670E"/>
    <w:rsid w:val="004F6779"/>
    <w:rsid w:val="004F6BE9"/>
    <w:rsid w:val="004F6E86"/>
    <w:rsid w:val="004F730F"/>
    <w:rsid w:val="004F73EE"/>
    <w:rsid w:val="004F753E"/>
    <w:rsid w:val="004F7980"/>
    <w:rsid w:val="004F79CF"/>
    <w:rsid w:val="004F7A75"/>
    <w:rsid w:val="0050007C"/>
    <w:rsid w:val="00500623"/>
    <w:rsid w:val="00500772"/>
    <w:rsid w:val="00500939"/>
    <w:rsid w:val="00500946"/>
    <w:rsid w:val="00500B72"/>
    <w:rsid w:val="00500B9E"/>
    <w:rsid w:val="00500DBF"/>
    <w:rsid w:val="00500E97"/>
    <w:rsid w:val="00500F2F"/>
    <w:rsid w:val="00501118"/>
    <w:rsid w:val="00501350"/>
    <w:rsid w:val="0050136D"/>
    <w:rsid w:val="00501455"/>
    <w:rsid w:val="00501506"/>
    <w:rsid w:val="00501FAE"/>
    <w:rsid w:val="00502382"/>
    <w:rsid w:val="00502873"/>
    <w:rsid w:val="00502894"/>
    <w:rsid w:val="005028AB"/>
    <w:rsid w:val="0050297A"/>
    <w:rsid w:val="005029A1"/>
    <w:rsid w:val="00502A77"/>
    <w:rsid w:val="005033DE"/>
    <w:rsid w:val="005033EC"/>
    <w:rsid w:val="0050341E"/>
    <w:rsid w:val="005039CB"/>
    <w:rsid w:val="005040D7"/>
    <w:rsid w:val="0050418C"/>
    <w:rsid w:val="005042E2"/>
    <w:rsid w:val="00504402"/>
    <w:rsid w:val="00504B1D"/>
    <w:rsid w:val="00504C5A"/>
    <w:rsid w:val="00504F93"/>
    <w:rsid w:val="00505393"/>
    <w:rsid w:val="00505437"/>
    <w:rsid w:val="0050558F"/>
    <w:rsid w:val="00505952"/>
    <w:rsid w:val="00505AE7"/>
    <w:rsid w:val="00505C56"/>
    <w:rsid w:val="00505C66"/>
    <w:rsid w:val="00505D12"/>
    <w:rsid w:val="00506286"/>
    <w:rsid w:val="005063E9"/>
    <w:rsid w:val="00506429"/>
    <w:rsid w:val="005067EF"/>
    <w:rsid w:val="00506957"/>
    <w:rsid w:val="0050699D"/>
    <w:rsid w:val="00506CC3"/>
    <w:rsid w:val="00507018"/>
    <w:rsid w:val="0050798B"/>
    <w:rsid w:val="00507D54"/>
    <w:rsid w:val="00510097"/>
    <w:rsid w:val="005100C8"/>
    <w:rsid w:val="0051030D"/>
    <w:rsid w:val="005104B0"/>
    <w:rsid w:val="00510643"/>
    <w:rsid w:val="00510813"/>
    <w:rsid w:val="005108CF"/>
    <w:rsid w:val="00510B03"/>
    <w:rsid w:val="00510CAE"/>
    <w:rsid w:val="0051106D"/>
    <w:rsid w:val="005110D5"/>
    <w:rsid w:val="00511312"/>
    <w:rsid w:val="00511990"/>
    <w:rsid w:val="00511B9B"/>
    <w:rsid w:val="00511DE0"/>
    <w:rsid w:val="0051260C"/>
    <w:rsid w:val="00512902"/>
    <w:rsid w:val="00512935"/>
    <w:rsid w:val="0051295D"/>
    <w:rsid w:val="00512C1D"/>
    <w:rsid w:val="00512CED"/>
    <w:rsid w:val="00512E9E"/>
    <w:rsid w:val="005130F8"/>
    <w:rsid w:val="005131A8"/>
    <w:rsid w:val="00513693"/>
    <w:rsid w:val="00514060"/>
    <w:rsid w:val="00514367"/>
    <w:rsid w:val="005143EA"/>
    <w:rsid w:val="00514870"/>
    <w:rsid w:val="0051499A"/>
    <w:rsid w:val="00514B9B"/>
    <w:rsid w:val="00514C39"/>
    <w:rsid w:val="00515043"/>
    <w:rsid w:val="005152C1"/>
    <w:rsid w:val="00515BDB"/>
    <w:rsid w:val="00515BEB"/>
    <w:rsid w:val="00515CCD"/>
    <w:rsid w:val="00515D9F"/>
    <w:rsid w:val="00515E11"/>
    <w:rsid w:val="00515F5A"/>
    <w:rsid w:val="00516069"/>
    <w:rsid w:val="005164B8"/>
    <w:rsid w:val="00516DD9"/>
    <w:rsid w:val="005170A2"/>
    <w:rsid w:val="005177BD"/>
    <w:rsid w:val="00517D44"/>
    <w:rsid w:val="00517DA5"/>
    <w:rsid w:val="00517DC7"/>
    <w:rsid w:val="00517E83"/>
    <w:rsid w:val="00517F02"/>
    <w:rsid w:val="00517F46"/>
    <w:rsid w:val="005202ED"/>
    <w:rsid w:val="00520517"/>
    <w:rsid w:val="005207F8"/>
    <w:rsid w:val="00520BDA"/>
    <w:rsid w:val="0052134B"/>
    <w:rsid w:val="00521A8F"/>
    <w:rsid w:val="00521F79"/>
    <w:rsid w:val="00522266"/>
    <w:rsid w:val="00522927"/>
    <w:rsid w:val="00522D7F"/>
    <w:rsid w:val="00522E7E"/>
    <w:rsid w:val="00522FB4"/>
    <w:rsid w:val="00523188"/>
    <w:rsid w:val="005232DA"/>
    <w:rsid w:val="0052347F"/>
    <w:rsid w:val="0052348D"/>
    <w:rsid w:val="005234AD"/>
    <w:rsid w:val="00523D92"/>
    <w:rsid w:val="00523ED4"/>
    <w:rsid w:val="00523EF1"/>
    <w:rsid w:val="00524303"/>
    <w:rsid w:val="00524694"/>
    <w:rsid w:val="00524C3E"/>
    <w:rsid w:val="00525341"/>
    <w:rsid w:val="005253E4"/>
    <w:rsid w:val="005258A2"/>
    <w:rsid w:val="00525BF5"/>
    <w:rsid w:val="00525FAF"/>
    <w:rsid w:val="0052608B"/>
    <w:rsid w:val="00526705"/>
    <w:rsid w:val="00526A28"/>
    <w:rsid w:val="00526BF7"/>
    <w:rsid w:val="00526C6D"/>
    <w:rsid w:val="00526F42"/>
    <w:rsid w:val="00527308"/>
    <w:rsid w:val="00527326"/>
    <w:rsid w:val="005276F0"/>
    <w:rsid w:val="00527B22"/>
    <w:rsid w:val="00527C32"/>
    <w:rsid w:val="00527C67"/>
    <w:rsid w:val="00527DBF"/>
    <w:rsid w:val="00527F63"/>
    <w:rsid w:val="005301E4"/>
    <w:rsid w:val="005307DC"/>
    <w:rsid w:val="00530B72"/>
    <w:rsid w:val="00530F55"/>
    <w:rsid w:val="00531005"/>
    <w:rsid w:val="005312CB"/>
    <w:rsid w:val="00531359"/>
    <w:rsid w:val="005316C4"/>
    <w:rsid w:val="0053179D"/>
    <w:rsid w:val="0053180C"/>
    <w:rsid w:val="00531C3B"/>
    <w:rsid w:val="00531DF2"/>
    <w:rsid w:val="00531EDE"/>
    <w:rsid w:val="00532117"/>
    <w:rsid w:val="0053250E"/>
    <w:rsid w:val="005327F5"/>
    <w:rsid w:val="00532EDC"/>
    <w:rsid w:val="00532F23"/>
    <w:rsid w:val="005332C0"/>
    <w:rsid w:val="0053379B"/>
    <w:rsid w:val="005339CE"/>
    <w:rsid w:val="00534077"/>
    <w:rsid w:val="00534087"/>
    <w:rsid w:val="00534257"/>
    <w:rsid w:val="005342CB"/>
    <w:rsid w:val="005344D5"/>
    <w:rsid w:val="0053465F"/>
    <w:rsid w:val="00534AE5"/>
    <w:rsid w:val="00534C5B"/>
    <w:rsid w:val="00534C9E"/>
    <w:rsid w:val="00534E49"/>
    <w:rsid w:val="00534EB9"/>
    <w:rsid w:val="005352BE"/>
    <w:rsid w:val="00535791"/>
    <w:rsid w:val="00535844"/>
    <w:rsid w:val="0053599D"/>
    <w:rsid w:val="00535EF0"/>
    <w:rsid w:val="00536364"/>
    <w:rsid w:val="00536561"/>
    <w:rsid w:val="00536749"/>
    <w:rsid w:val="00536AD6"/>
    <w:rsid w:val="005373DD"/>
    <w:rsid w:val="005376CD"/>
    <w:rsid w:val="00537E2D"/>
    <w:rsid w:val="00537F45"/>
    <w:rsid w:val="005401AE"/>
    <w:rsid w:val="00540337"/>
    <w:rsid w:val="0054052D"/>
    <w:rsid w:val="0054053F"/>
    <w:rsid w:val="00540812"/>
    <w:rsid w:val="00540A62"/>
    <w:rsid w:val="00540AF6"/>
    <w:rsid w:val="00540DA9"/>
    <w:rsid w:val="00540F04"/>
    <w:rsid w:val="0054100B"/>
    <w:rsid w:val="005412CC"/>
    <w:rsid w:val="005412E5"/>
    <w:rsid w:val="005418E4"/>
    <w:rsid w:val="00541AD7"/>
    <w:rsid w:val="00541F16"/>
    <w:rsid w:val="005422A0"/>
    <w:rsid w:val="00542700"/>
    <w:rsid w:val="00542830"/>
    <w:rsid w:val="005428D0"/>
    <w:rsid w:val="00542E07"/>
    <w:rsid w:val="00542E9C"/>
    <w:rsid w:val="00542F37"/>
    <w:rsid w:val="00543643"/>
    <w:rsid w:val="005438AA"/>
    <w:rsid w:val="00543B3F"/>
    <w:rsid w:val="00544174"/>
    <w:rsid w:val="00544686"/>
    <w:rsid w:val="00544785"/>
    <w:rsid w:val="005447F6"/>
    <w:rsid w:val="00544810"/>
    <w:rsid w:val="00544980"/>
    <w:rsid w:val="00544A20"/>
    <w:rsid w:val="00544AC4"/>
    <w:rsid w:val="00544C3B"/>
    <w:rsid w:val="00544C8D"/>
    <w:rsid w:val="0054510E"/>
    <w:rsid w:val="00545370"/>
    <w:rsid w:val="00545424"/>
    <w:rsid w:val="005454D5"/>
    <w:rsid w:val="005456C0"/>
    <w:rsid w:val="0054598B"/>
    <w:rsid w:val="00545E42"/>
    <w:rsid w:val="00545E5D"/>
    <w:rsid w:val="005460F4"/>
    <w:rsid w:val="005461E0"/>
    <w:rsid w:val="00546925"/>
    <w:rsid w:val="00546A2B"/>
    <w:rsid w:val="00546E7F"/>
    <w:rsid w:val="00547087"/>
    <w:rsid w:val="005470AB"/>
    <w:rsid w:val="00547ED5"/>
    <w:rsid w:val="00550471"/>
    <w:rsid w:val="00550E40"/>
    <w:rsid w:val="005510CA"/>
    <w:rsid w:val="00551465"/>
    <w:rsid w:val="00551E1B"/>
    <w:rsid w:val="0055216B"/>
    <w:rsid w:val="005521A1"/>
    <w:rsid w:val="005521CF"/>
    <w:rsid w:val="005523CF"/>
    <w:rsid w:val="0055240A"/>
    <w:rsid w:val="00552D6A"/>
    <w:rsid w:val="005532AE"/>
    <w:rsid w:val="005534EF"/>
    <w:rsid w:val="005535C7"/>
    <w:rsid w:val="00554303"/>
    <w:rsid w:val="00554A0C"/>
    <w:rsid w:val="00554A7B"/>
    <w:rsid w:val="00555058"/>
    <w:rsid w:val="0055572C"/>
    <w:rsid w:val="00555915"/>
    <w:rsid w:val="0055594C"/>
    <w:rsid w:val="00555BE2"/>
    <w:rsid w:val="00555D2E"/>
    <w:rsid w:val="00555D99"/>
    <w:rsid w:val="00555DA5"/>
    <w:rsid w:val="00555E63"/>
    <w:rsid w:val="00555E8D"/>
    <w:rsid w:val="00555EA4"/>
    <w:rsid w:val="00555F38"/>
    <w:rsid w:val="005567A5"/>
    <w:rsid w:val="0055713D"/>
    <w:rsid w:val="005571D0"/>
    <w:rsid w:val="005572F2"/>
    <w:rsid w:val="00557324"/>
    <w:rsid w:val="00557355"/>
    <w:rsid w:val="005575A8"/>
    <w:rsid w:val="005575F8"/>
    <w:rsid w:val="00557860"/>
    <w:rsid w:val="005600E1"/>
    <w:rsid w:val="005602C2"/>
    <w:rsid w:val="0056106A"/>
    <w:rsid w:val="005610A3"/>
    <w:rsid w:val="0056206E"/>
    <w:rsid w:val="005623C3"/>
    <w:rsid w:val="00562DBD"/>
    <w:rsid w:val="00562DFD"/>
    <w:rsid w:val="00563133"/>
    <w:rsid w:val="005631C9"/>
    <w:rsid w:val="0056353B"/>
    <w:rsid w:val="00563B2E"/>
    <w:rsid w:val="00564001"/>
    <w:rsid w:val="00564388"/>
    <w:rsid w:val="00564680"/>
    <w:rsid w:val="005648D4"/>
    <w:rsid w:val="005649C1"/>
    <w:rsid w:val="00564EC2"/>
    <w:rsid w:val="00564F69"/>
    <w:rsid w:val="0056513C"/>
    <w:rsid w:val="00565683"/>
    <w:rsid w:val="005656B2"/>
    <w:rsid w:val="00565C75"/>
    <w:rsid w:val="0056613D"/>
    <w:rsid w:val="005662B7"/>
    <w:rsid w:val="00566A40"/>
    <w:rsid w:val="00566B31"/>
    <w:rsid w:val="00566B8C"/>
    <w:rsid w:val="00566BAD"/>
    <w:rsid w:val="00566BD9"/>
    <w:rsid w:val="00567578"/>
    <w:rsid w:val="00567695"/>
    <w:rsid w:val="00567737"/>
    <w:rsid w:val="005677AC"/>
    <w:rsid w:val="0057041E"/>
    <w:rsid w:val="00570CA8"/>
    <w:rsid w:val="00570E73"/>
    <w:rsid w:val="00571115"/>
    <w:rsid w:val="00571158"/>
    <w:rsid w:val="005715CF"/>
    <w:rsid w:val="005715D3"/>
    <w:rsid w:val="00571DD8"/>
    <w:rsid w:val="0057205B"/>
    <w:rsid w:val="0057208B"/>
    <w:rsid w:val="005720AE"/>
    <w:rsid w:val="0057237F"/>
    <w:rsid w:val="00572437"/>
    <w:rsid w:val="005729FA"/>
    <w:rsid w:val="00572D5C"/>
    <w:rsid w:val="00572E14"/>
    <w:rsid w:val="00573286"/>
    <w:rsid w:val="00573459"/>
    <w:rsid w:val="00573898"/>
    <w:rsid w:val="00573A5C"/>
    <w:rsid w:val="00573B6B"/>
    <w:rsid w:val="00573E2B"/>
    <w:rsid w:val="00573E48"/>
    <w:rsid w:val="00574664"/>
    <w:rsid w:val="0057470C"/>
    <w:rsid w:val="00574BC0"/>
    <w:rsid w:val="00574DF0"/>
    <w:rsid w:val="00575464"/>
    <w:rsid w:val="005754C9"/>
    <w:rsid w:val="00575797"/>
    <w:rsid w:val="005758D3"/>
    <w:rsid w:val="00575BF2"/>
    <w:rsid w:val="00575F65"/>
    <w:rsid w:val="005764C9"/>
    <w:rsid w:val="005764D1"/>
    <w:rsid w:val="0057686A"/>
    <w:rsid w:val="005769EB"/>
    <w:rsid w:val="00576A61"/>
    <w:rsid w:val="005771E8"/>
    <w:rsid w:val="00577861"/>
    <w:rsid w:val="0057789A"/>
    <w:rsid w:val="00577BA3"/>
    <w:rsid w:val="00577BBA"/>
    <w:rsid w:val="00580044"/>
    <w:rsid w:val="00580BF0"/>
    <w:rsid w:val="0058114B"/>
    <w:rsid w:val="00581237"/>
    <w:rsid w:val="00581275"/>
    <w:rsid w:val="0058134C"/>
    <w:rsid w:val="0058136F"/>
    <w:rsid w:val="00581610"/>
    <w:rsid w:val="00581928"/>
    <w:rsid w:val="00581B93"/>
    <w:rsid w:val="00581BF5"/>
    <w:rsid w:val="00581C59"/>
    <w:rsid w:val="00581C6A"/>
    <w:rsid w:val="0058224E"/>
    <w:rsid w:val="0058286A"/>
    <w:rsid w:val="005829F5"/>
    <w:rsid w:val="00582BDA"/>
    <w:rsid w:val="00582C24"/>
    <w:rsid w:val="00582CB9"/>
    <w:rsid w:val="00582D01"/>
    <w:rsid w:val="005832E5"/>
    <w:rsid w:val="005839E0"/>
    <w:rsid w:val="0058420C"/>
    <w:rsid w:val="00584825"/>
    <w:rsid w:val="00584ED3"/>
    <w:rsid w:val="00584F2D"/>
    <w:rsid w:val="00585018"/>
    <w:rsid w:val="005850CA"/>
    <w:rsid w:val="005854BA"/>
    <w:rsid w:val="005856DC"/>
    <w:rsid w:val="00585828"/>
    <w:rsid w:val="005861D3"/>
    <w:rsid w:val="0058642A"/>
    <w:rsid w:val="0058659F"/>
    <w:rsid w:val="00586672"/>
    <w:rsid w:val="0058667A"/>
    <w:rsid w:val="0058698C"/>
    <w:rsid w:val="00586BF7"/>
    <w:rsid w:val="00586BFA"/>
    <w:rsid w:val="00586D2A"/>
    <w:rsid w:val="0058740F"/>
    <w:rsid w:val="005879E1"/>
    <w:rsid w:val="00587DE3"/>
    <w:rsid w:val="0059008F"/>
    <w:rsid w:val="0059011A"/>
    <w:rsid w:val="005902CD"/>
    <w:rsid w:val="0059098F"/>
    <w:rsid w:val="00590BF5"/>
    <w:rsid w:val="00590FB3"/>
    <w:rsid w:val="0059129A"/>
    <w:rsid w:val="0059171A"/>
    <w:rsid w:val="005917F8"/>
    <w:rsid w:val="00591849"/>
    <w:rsid w:val="00591895"/>
    <w:rsid w:val="00591C23"/>
    <w:rsid w:val="00591ED8"/>
    <w:rsid w:val="00591F4D"/>
    <w:rsid w:val="0059252E"/>
    <w:rsid w:val="00592654"/>
    <w:rsid w:val="00592BF5"/>
    <w:rsid w:val="00593065"/>
    <w:rsid w:val="00593967"/>
    <w:rsid w:val="00593FCE"/>
    <w:rsid w:val="005942CB"/>
    <w:rsid w:val="00594B94"/>
    <w:rsid w:val="00594BDD"/>
    <w:rsid w:val="00594CF4"/>
    <w:rsid w:val="00594D34"/>
    <w:rsid w:val="00594D77"/>
    <w:rsid w:val="00594D8B"/>
    <w:rsid w:val="005950AC"/>
    <w:rsid w:val="005951FC"/>
    <w:rsid w:val="005959EF"/>
    <w:rsid w:val="00595B0A"/>
    <w:rsid w:val="00595E37"/>
    <w:rsid w:val="00595E50"/>
    <w:rsid w:val="0059634F"/>
    <w:rsid w:val="005969E4"/>
    <w:rsid w:val="00596A12"/>
    <w:rsid w:val="00596BBC"/>
    <w:rsid w:val="00596FE1"/>
    <w:rsid w:val="00597293"/>
    <w:rsid w:val="0059744C"/>
    <w:rsid w:val="005974CF"/>
    <w:rsid w:val="00597BEA"/>
    <w:rsid w:val="005A008A"/>
    <w:rsid w:val="005A06B7"/>
    <w:rsid w:val="005A0907"/>
    <w:rsid w:val="005A0B06"/>
    <w:rsid w:val="005A0EBE"/>
    <w:rsid w:val="005A0F76"/>
    <w:rsid w:val="005A0F97"/>
    <w:rsid w:val="005A132A"/>
    <w:rsid w:val="005A1759"/>
    <w:rsid w:val="005A1766"/>
    <w:rsid w:val="005A17A7"/>
    <w:rsid w:val="005A1966"/>
    <w:rsid w:val="005A1C41"/>
    <w:rsid w:val="005A21CC"/>
    <w:rsid w:val="005A282F"/>
    <w:rsid w:val="005A36F3"/>
    <w:rsid w:val="005A39F0"/>
    <w:rsid w:val="005A46A0"/>
    <w:rsid w:val="005A4AE9"/>
    <w:rsid w:val="005A4CF4"/>
    <w:rsid w:val="005A4FEB"/>
    <w:rsid w:val="005A5063"/>
    <w:rsid w:val="005A5DCF"/>
    <w:rsid w:val="005A6526"/>
    <w:rsid w:val="005A6569"/>
    <w:rsid w:val="005A6878"/>
    <w:rsid w:val="005A68A7"/>
    <w:rsid w:val="005A6A30"/>
    <w:rsid w:val="005A71F6"/>
    <w:rsid w:val="005A739C"/>
    <w:rsid w:val="005A74BB"/>
    <w:rsid w:val="005A75DB"/>
    <w:rsid w:val="005A789F"/>
    <w:rsid w:val="005A78D5"/>
    <w:rsid w:val="005A7C13"/>
    <w:rsid w:val="005A7CB5"/>
    <w:rsid w:val="005A7F1F"/>
    <w:rsid w:val="005A7F4B"/>
    <w:rsid w:val="005B0377"/>
    <w:rsid w:val="005B071F"/>
    <w:rsid w:val="005B07DA"/>
    <w:rsid w:val="005B0CEB"/>
    <w:rsid w:val="005B10A9"/>
    <w:rsid w:val="005B1170"/>
    <w:rsid w:val="005B1265"/>
    <w:rsid w:val="005B127C"/>
    <w:rsid w:val="005B136D"/>
    <w:rsid w:val="005B14E7"/>
    <w:rsid w:val="005B153A"/>
    <w:rsid w:val="005B16A4"/>
    <w:rsid w:val="005B173F"/>
    <w:rsid w:val="005B1A70"/>
    <w:rsid w:val="005B1E0F"/>
    <w:rsid w:val="005B225E"/>
    <w:rsid w:val="005B2282"/>
    <w:rsid w:val="005B235C"/>
    <w:rsid w:val="005B2B9D"/>
    <w:rsid w:val="005B2F5E"/>
    <w:rsid w:val="005B3389"/>
    <w:rsid w:val="005B353F"/>
    <w:rsid w:val="005B366F"/>
    <w:rsid w:val="005B3829"/>
    <w:rsid w:val="005B38FB"/>
    <w:rsid w:val="005B39E4"/>
    <w:rsid w:val="005B3CB9"/>
    <w:rsid w:val="005B3D65"/>
    <w:rsid w:val="005B3DF6"/>
    <w:rsid w:val="005B40BF"/>
    <w:rsid w:val="005B40ED"/>
    <w:rsid w:val="005B40F8"/>
    <w:rsid w:val="005B4388"/>
    <w:rsid w:val="005B43D0"/>
    <w:rsid w:val="005B489C"/>
    <w:rsid w:val="005B49F2"/>
    <w:rsid w:val="005B4DF5"/>
    <w:rsid w:val="005B5032"/>
    <w:rsid w:val="005B50C4"/>
    <w:rsid w:val="005B5294"/>
    <w:rsid w:val="005B5745"/>
    <w:rsid w:val="005B59FB"/>
    <w:rsid w:val="005B5D48"/>
    <w:rsid w:val="005B5E62"/>
    <w:rsid w:val="005B6115"/>
    <w:rsid w:val="005B63BD"/>
    <w:rsid w:val="005B63EC"/>
    <w:rsid w:val="005B645D"/>
    <w:rsid w:val="005B68D4"/>
    <w:rsid w:val="005B6DBF"/>
    <w:rsid w:val="005B72A8"/>
    <w:rsid w:val="005C03FD"/>
    <w:rsid w:val="005C06C1"/>
    <w:rsid w:val="005C09DA"/>
    <w:rsid w:val="005C0C63"/>
    <w:rsid w:val="005C13D6"/>
    <w:rsid w:val="005C173D"/>
    <w:rsid w:val="005C1A87"/>
    <w:rsid w:val="005C1DEC"/>
    <w:rsid w:val="005C283F"/>
    <w:rsid w:val="005C28AF"/>
    <w:rsid w:val="005C29D9"/>
    <w:rsid w:val="005C2B20"/>
    <w:rsid w:val="005C3030"/>
    <w:rsid w:val="005C30A3"/>
    <w:rsid w:val="005C3134"/>
    <w:rsid w:val="005C3A05"/>
    <w:rsid w:val="005C3BA4"/>
    <w:rsid w:val="005C4339"/>
    <w:rsid w:val="005C44CB"/>
    <w:rsid w:val="005C4C07"/>
    <w:rsid w:val="005C51D5"/>
    <w:rsid w:val="005C5B7A"/>
    <w:rsid w:val="005C5DB8"/>
    <w:rsid w:val="005C5EEA"/>
    <w:rsid w:val="005C6250"/>
    <w:rsid w:val="005C62E3"/>
    <w:rsid w:val="005C660D"/>
    <w:rsid w:val="005C669C"/>
    <w:rsid w:val="005C6859"/>
    <w:rsid w:val="005C6F56"/>
    <w:rsid w:val="005C703A"/>
    <w:rsid w:val="005C75FE"/>
    <w:rsid w:val="005C7C1B"/>
    <w:rsid w:val="005C7C38"/>
    <w:rsid w:val="005C7CDD"/>
    <w:rsid w:val="005D02E8"/>
    <w:rsid w:val="005D05DE"/>
    <w:rsid w:val="005D0A9E"/>
    <w:rsid w:val="005D0E55"/>
    <w:rsid w:val="005D10FB"/>
    <w:rsid w:val="005D1749"/>
    <w:rsid w:val="005D18EF"/>
    <w:rsid w:val="005D1AD4"/>
    <w:rsid w:val="005D1E17"/>
    <w:rsid w:val="005D1F04"/>
    <w:rsid w:val="005D219B"/>
    <w:rsid w:val="005D2879"/>
    <w:rsid w:val="005D2967"/>
    <w:rsid w:val="005D2E92"/>
    <w:rsid w:val="005D36AB"/>
    <w:rsid w:val="005D380B"/>
    <w:rsid w:val="005D39A7"/>
    <w:rsid w:val="005D3D43"/>
    <w:rsid w:val="005D44AD"/>
    <w:rsid w:val="005D4C6E"/>
    <w:rsid w:val="005D511C"/>
    <w:rsid w:val="005D5A36"/>
    <w:rsid w:val="005D5DF0"/>
    <w:rsid w:val="005D5FF1"/>
    <w:rsid w:val="005D656F"/>
    <w:rsid w:val="005D6751"/>
    <w:rsid w:val="005D69D6"/>
    <w:rsid w:val="005D6B7F"/>
    <w:rsid w:val="005D6C54"/>
    <w:rsid w:val="005D6C75"/>
    <w:rsid w:val="005D727F"/>
    <w:rsid w:val="005D784E"/>
    <w:rsid w:val="005D7864"/>
    <w:rsid w:val="005E055E"/>
    <w:rsid w:val="005E0F43"/>
    <w:rsid w:val="005E11E8"/>
    <w:rsid w:val="005E129D"/>
    <w:rsid w:val="005E18A7"/>
    <w:rsid w:val="005E1A12"/>
    <w:rsid w:val="005E2CD6"/>
    <w:rsid w:val="005E2DBA"/>
    <w:rsid w:val="005E2DE4"/>
    <w:rsid w:val="005E3010"/>
    <w:rsid w:val="005E31AC"/>
    <w:rsid w:val="005E354F"/>
    <w:rsid w:val="005E35B3"/>
    <w:rsid w:val="005E3D74"/>
    <w:rsid w:val="005E3E02"/>
    <w:rsid w:val="005E4293"/>
    <w:rsid w:val="005E42E7"/>
    <w:rsid w:val="005E4335"/>
    <w:rsid w:val="005E4821"/>
    <w:rsid w:val="005E4AFF"/>
    <w:rsid w:val="005E4DAE"/>
    <w:rsid w:val="005E4ED6"/>
    <w:rsid w:val="005E4FC3"/>
    <w:rsid w:val="005E58A1"/>
    <w:rsid w:val="005E5B1C"/>
    <w:rsid w:val="005E5CB6"/>
    <w:rsid w:val="005E5D07"/>
    <w:rsid w:val="005E5D7C"/>
    <w:rsid w:val="005E61FE"/>
    <w:rsid w:val="005E64CF"/>
    <w:rsid w:val="005E75AE"/>
    <w:rsid w:val="005E7AF1"/>
    <w:rsid w:val="005E7DDA"/>
    <w:rsid w:val="005E7DEF"/>
    <w:rsid w:val="005F00F7"/>
    <w:rsid w:val="005F03DE"/>
    <w:rsid w:val="005F04DE"/>
    <w:rsid w:val="005F05B9"/>
    <w:rsid w:val="005F066D"/>
    <w:rsid w:val="005F06C7"/>
    <w:rsid w:val="005F0F3A"/>
    <w:rsid w:val="005F1277"/>
    <w:rsid w:val="005F127B"/>
    <w:rsid w:val="005F14AA"/>
    <w:rsid w:val="005F16A1"/>
    <w:rsid w:val="005F1B88"/>
    <w:rsid w:val="005F1C3F"/>
    <w:rsid w:val="005F1E4C"/>
    <w:rsid w:val="005F1EE3"/>
    <w:rsid w:val="005F2213"/>
    <w:rsid w:val="005F254E"/>
    <w:rsid w:val="005F2558"/>
    <w:rsid w:val="005F2820"/>
    <w:rsid w:val="005F2929"/>
    <w:rsid w:val="005F2C4D"/>
    <w:rsid w:val="005F30F6"/>
    <w:rsid w:val="005F37EB"/>
    <w:rsid w:val="005F38F6"/>
    <w:rsid w:val="005F3DEB"/>
    <w:rsid w:val="005F3F56"/>
    <w:rsid w:val="005F401C"/>
    <w:rsid w:val="005F4220"/>
    <w:rsid w:val="005F4414"/>
    <w:rsid w:val="005F4A0F"/>
    <w:rsid w:val="005F4EC0"/>
    <w:rsid w:val="005F503C"/>
    <w:rsid w:val="005F52E3"/>
    <w:rsid w:val="005F5557"/>
    <w:rsid w:val="005F57A4"/>
    <w:rsid w:val="005F59E8"/>
    <w:rsid w:val="005F5B8C"/>
    <w:rsid w:val="005F5E18"/>
    <w:rsid w:val="005F6383"/>
    <w:rsid w:val="005F66C2"/>
    <w:rsid w:val="005F6C57"/>
    <w:rsid w:val="005F6E1F"/>
    <w:rsid w:val="005F6F6D"/>
    <w:rsid w:val="005F6FFA"/>
    <w:rsid w:val="005F7164"/>
    <w:rsid w:val="005F7BC7"/>
    <w:rsid w:val="005F7D8B"/>
    <w:rsid w:val="00600230"/>
    <w:rsid w:val="00600358"/>
    <w:rsid w:val="00600719"/>
    <w:rsid w:val="00600830"/>
    <w:rsid w:val="006008EF"/>
    <w:rsid w:val="00600C49"/>
    <w:rsid w:val="00600FEE"/>
    <w:rsid w:val="00601364"/>
    <w:rsid w:val="0060153C"/>
    <w:rsid w:val="00601607"/>
    <w:rsid w:val="00601CE2"/>
    <w:rsid w:val="00601D4A"/>
    <w:rsid w:val="00601E0A"/>
    <w:rsid w:val="00602AC4"/>
    <w:rsid w:val="00602ACA"/>
    <w:rsid w:val="00602FEB"/>
    <w:rsid w:val="0060318B"/>
    <w:rsid w:val="00603938"/>
    <w:rsid w:val="0060398D"/>
    <w:rsid w:val="00603C7F"/>
    <w:rsid w:val="00603EB0"/>
    <w:rsid w:val="006040C4"/>
    <w:rsid w:val="00604435"/>
    <w:rsid w:val="006046FC"/>
    <w:rsid w:val="0060485E"/>
    <w:rsid w:val="00604BB3"/>
    <w:rsid w:val="00604DC4"/>
    <w:rsid w:val="00604FF9"/>
    <w:rsid w:val="00605175"/>
    <w:rsid w:val="0060525E"/>
    <w:rsid w:val="00605388"/>
    <w:rsid w:val="006054F3"/>
    <w:rsid w:val="00605591"/>
    <w:rsid w:val="006060AD"/>
    <w:rsid w:val="00606510"/>
    <w:rsid w:val="00607914"/>
    <w:rsid w:val="00607A67"/>
    <w:rsid w:val="00607B5C"/>
    <w:rsid w:val="0061052A"/>
    <w:rsid w:val="00610973"/>
    <w:rsid w:val="00610AC3"/>
    <w:rsid w:val="00610B49"/>
    <w:rsid w:val="00610E4A"/>
    <w:rsid w:val="00611610"/>
    <w:rsid w:val="0061167C"/>
    <w:rsid w:val="00612248"/>
    <w:rsid w:val="00612631"/>
    <w:rsid w:val="0061264D"/>
    <w:rsid w:val="00612C48"/>
    <w:rsid w:val="00612EA2"/>
    <w:rsid w:val="00612ED5"/>
    <w:rsid w:val="00613396"/>
    <w:rsid w:val="0061414D"/>
    <w:rsid w:val="006144CC"/>
    <w:rsid w:val="00614980"/>
    <w:rsid w:val="00614BD7"/>
    <w:rsid w:val="00615133"/>
    <w:rsid w:val="00615365"/>
    <w:rsid w:val="0061565B"/>
    <w:rsid w:val="006157D3"/>
    <w:rsid w:val="00615D17"/>
    <w:rsid w:val="00615EB9"/>
    <w:rsid w:val="00615ED7"/>
    <w:rsid w:val="00615FD6"/>
    <w:rsid w:val="00616053"/>
    <w:rsid w:val="0061606A"/>
    <w:rsid w:val="00616386"/>
    <w:rsid w:val="00616449"/>
    <w:rsid w:val="00616BB5"/>
    <w:rsid w:val="00616FDD"/>
    <w:rsid w:val="006171EA"/>
    <w:rsid w:val="0061723E"/>
    <w:rsid w:val="006172CE"/>
    <w:rsid w:val="00617731"/>
    <w:rsid w:val="00617A41"/>
    <w:rsid w:val="00617ACC"/>
    <w:rsid w:val="00617AD5"/>
    <w:rsid w:val="00617C9D"/>
    <w:rsid w:val="00617CC3"/>
    <w:rsid w:val="00617DA1"/>
    <w:rsid w:val="00617F58"/>
    <w:rsid w:val="0062023C"/>
    <w:rsid w:val="00620D78"/>
    <w:rsid w:val="00621182"/>
    <w:rsid w:val="00621193"/>
    <w:rsid w:val="0062138F"/>
    <w:rsid w:val="006218AE"/>
    <w:rsid w:val="00621B37"/>
    <w:rsid w:val="00621CBB"/>
    <w:rsid w:val="00621DF5"/>
    <w:rsid w:val="00621E99"/>
    <w:rsid w:val="00621FD2"/>
    <w:rsid w:val="00622135"/>
    <w:rsid w:val="00622684"/>
    <w:rsid w:val="006226EB"/>
    <w:rsid w:val="00622AB7"/>
    <w:rsid w:val="00622B18"/>
    <w:rsid w:val="00622F47"/>
    <w:rsid w:val="00622FD0"/>
    <w:rsid w:val="006236D2"/>
    <w:rsid w:val="006237C0"/>
    <w:rsid w:val="00623BC1"/>
    <w:rsid w:val="00623E49"/>
    <w:rsid w:val="00623E59"/>
    <w:rsid w:val="00623FC4"/>
    <w:rsid w:val="00624046"/>
    <w:rsid w:val="00624194"/>
    <w:rsid w:val="00624464"/>
    <w:rsid w:val="006248ED"/>
    <w:rsid w:val="00624C15"/>
    <w:rsid w:val="00624EA3"/>
    <w:rsid w:val="0062562F"/>
    <w:rsid w:val="00625A9B"/>
    <w:rsid w:val="00625D77"/>
    <w:rsid w:val="0062605D"/>
    <w:rsid w:val="00626178"/>
    <w:rsid w:val="00626CA1"/>
    <w:rsid w:val="0062752D"/>
    <w:rsid w:val="00627769"/>
    <w:rsid w:val="00627B0F"/>
    <w:rsid w:val="00627D74"/>
    <w:rsid w:val="00627EDB"/>
    <w:rsid w:val="00630010"/>
    <w:rsid w:val="006300F4"/>
    <w:rsid w:val="006304F9"/>
    <w:rsid w:val="0063053D"/>
    <w:rsid w:val="00630696"/>
    <w:rsid w:val="00630E49"/>
    <w:rsid w:val="0063149C"/>
    <w:rsid w:val="006318F0"/>
    <w:rsid w:val="00631E8D"/>
    <w:rsid w:val="0063244E"/>
    <w:rsid w:val="006326F1"/>
    <w:rsid w:val="00632999"/>
    <w:rsid w:val="00632BF7"/>
    <w:rsid w:val="00632C98"/>
    <w:rsid w:val="00632E03"/>
    <w:rsid w:val="00632E1D"/>
    <w:rsid w:val="006333AC"/>
    <w:rsid w:val="0063353F"/>
    <w:rsid w:val="00633BA9"/>
    <w:rsid w:val="00633F71"/>
    <w:rsid w:val="00634298"/>
    <w:rsid w:val="0063430D"/>
    <w:rsid w:val="0063475F"/>
    <w:rsid w:val="00634799"/>
    <w:rsid w:val="00634D59"/>
    <w:rsid w:val="0063505F"/>
    <w:rsid w:val="006350FB"/>
    <w:rsid w:val="00635378"/>
    <w:rsid w:val="00635638"/>
    <w:rsid w:val="00635810"/>
    <w:rsid w:val="00635ABB"/>
    <w:rsid w:val="00636331"/>
    <w:rsid w:val="006377A6"/>
    <w:rsid w:val="00637A3D"/>
    <w:rsid w:val="00637A99"/>
    <w:rsid w:val="00637ABC"/>
    <w:rsid w:val="00637B15"/>
    <w:rsid w:val="00637B21"/>
    <w:rsid w:val="00640286"/>
    <w:rsid w:val="006403B3"/>
    <w:rsid w:val="006409C9"/>
    <w:rsid w:val="006411EF"/>
    <w:rsid w:val="00641426"/>
    <w:rsid w:val="0064157E"/>
    <w:rsid w:val="00641838"/>
    <w:rsid w:val="00641DF3"/>
    <w:rsid w:val="00642C1C"/>
    <w:rsid w:val="00642D72"/>
    <w:rsid w:val="00642F75"/>
    <w:rsid w:val="00643553"/>
    <w:rsid w:val="006436AF"/>
    <w:rsid w:val="00643B4C"/>
    <w:rsid w:val="00643D4A"/>
    <w:rsid w:val="00643DC7"/>
    <w:rsid w:val="00643F3D"/>
    <w:rsid w:val="006441D2"/>
    <w:rsid w:val="0064446F"/>
    <w:rsid w:val="00644979"/>
    <w:rsid w:val="0064537C"/>
    <w:rsid w:val="00645526"/>
    <w:rsid w:val="0064561F"/>
    <w:rsid w:val="00645730"/>
    <w:rsid w:val="006459F1"/>
    <w:rsid w:val="00645BF7"/>
    <w:rsid w:val="00645E1A"/>
    <w:rsid w:val="00646233"/>
    <w:rsid w:val="00646AA8"/>
    <w:rsid w:val="00647477"/>
    <w:rsid w:val="006474B8"/>
    <w:rsid w:val="0064779A"/>
    <w:rsid w:val="00647CB0"/>
    <w:rsid w:val="00647FB0"/>
    <w:rsid w:val="006501A5"/>
    <w:rsid w:val="006502FB"/>
    <w:rsid w:val="006506FB"/>
    <w:rsid w:val="00650BEC"/>
    <w:rsid w:val="00650E29"/>
    <w:rsid w:val="006511E6"/>
    <w:rsid w:val="00651736"/>
    <w:rsid w:val="006517FE"/>
    <w:rsid w:val="00651FD2"/>
    <w:rsid w:val="00652145"/>
    <w:rsid w:val="006521AE"/>
    <w:rsid w:val="00652351"/>
    <w:rsid w:val="006524DA"/>
    <w:rsid w:val="0065251E"/>
    <w:rsid w:val="00652554"/>
    <w:rsid w:val="0065255E"/>
    <w:rsid w:val="006525F0"/>
    <w:rsid w:val="00653009"/>
    <w:rsid w:val="0065345A"/>
    <w:rsid w:val="006535FE"/>
    <w:rsid w:val="00653662"/>
    <w:rsid w:val="00653918"/>
    <w:rsid w:val="00653DF7"/>
    <w:rsid w:val="00653E9F"/>
    <w:rsid w:val="00654373"/>
    <w:rsid w:val="00654504"/>
    <w:rsid w:val="00654516"/>
    <w:rsid w:val="0065616F"/>
    <w:rsid w:val="0065617B"/>
    <w:rsid w:val="00656536"/>
    <w:rsid w:val="00656A52"/>
    <w:rsid w:val="00656A6A"/>
    <w:rsid w:val="006571D4"/>
    <w:rsid w:val="006572F1"/>
    <w:rsid w:val="00657319"/>
    <w:rsid w:val="006574E4"/>
    <w:rsid w:val="00657622"/>
    <w:rsid w:val="0065771A"/>
    <w:rsid w:val="006579CC"/>
    <w:rsid w:val="00657C3A"/>
    <w:rsid w:val="00657CFB"/>
    <w:rsid w:val="0066024D"/>
    <w:rsid w:val="0066039B"/>
    <w:rsid w:val="00660472"/>
    <w:rsid w:val="006605FF"/>
    <w:rsid w:val="0066071C"/>
    <w:rsid w:val="00660954"/>
    <w:rsid w:val="00660C8A"/>
    <w:rsid w:val="00660CD8"/>
    <w:rsid w:val="006612EF"/>
    <w:rsid w:val="00661303"/>
    <w:rsid w:val="00661654"/>
    <w:rsid w:val="00661663"/>
    <w:rsid w:val="00661754"/>
    <w:rsid w:val="006617D8"/>
    <w:rsid w:val="00661C1A"/>
    <w:rsid w:val="0066207A"/>
    <w:rsid w:val="00662344"/>
    <w:rsid w:val="00662604"/>
    <w:rsid w:val="00662647"/>
    <w:rsid w:val="006626D5"/>
    <w:rsid w:val="00662A85"/>
    <w:rsid w:val="00662DF5"/>
    <w:rsid w:val="00662E44"/>
    <w:rsid w:val="00663044"/>
    <w:rsid w:val="006630BB"/>
    <w:rsid w:val="006633F8"/>
    <w:rsid w:val="006638BF"/>
    <w:rsid w:val="00663FDD"/>
    <w:rsid w:val="0066419A"/>
    <w:rsid w:val="006641B3"/>
    <w:rsid w:val="006643C8"/>
    <w:rsid w:val="00664EF3"/>
    <w:rsid w:val="006650B6"/>
    <w:rsid w:val="00665321"/>
    <w:rsid w:val="006659E5"/>
    <w:rsid w:val="00665A8B"/>
    <w:rsid w:val="00665B12"/>
    <w:rsid w:val="00665B96"/>
    <w:rsid w:val="00665C9F"/>
    <w:rsid w:val="0066692E"/>
    <w:rsid w:val="00666ECD"/>
    <w:rsid w:val="00666F58"/>
    <w:rsid w:val="00667344"/>
    <w:rsid w:val="0066776F"/>
    <w:rsid w:val="00667D6C"/>
    <w:rsid w:val="00667F7B"/>
    <w:rsid w:val="006702D5"/>
    <w:rsid w:val="006703E1"/>
    <w:rsid w:val="006704A6"/>
    <w:rsid w:val="00670877"/>
    <w:rsid w:val="00670A54"/>
    <w:rsid w:val="00670BBE"/>
    <w:rsid w:val="00670C0E"/>
    <w:rsid w:val="00670E87"/>
    <w:rsid w:val="00670ED9"/>
    <w:rsid w:val="00671AA7"/>
    <w:rsid w:val="00671BC8"/>
    <w:rsid w:val="00671D5E"/>
    <w:rsid w:val="00671D6A"/>
    <w:rsid w:val="00672238"/>
    <w:rsid w:val="00672462"/>
    <w:rsid w:val="00672825"/>
    <w:rsid w:val="006728FE"/>
    <w:rsid w:val="00672E9B"/>
    <w:rsid w:val="00672F3C"/>
    <w:rsid w:val="006736AF"/>
    <w:rsid w:val="00673970"/>
    <w:rsid w:val="00673B04"/>
    <w:rsid w:val="00673C48"/>
    <w:rsid w:val="006748B8"/>
    <w:rsid w:val="006748D2"/>
    <w:rsid w:val="00674F9E"/>
    <w:rsid w:val="0067538D"/>
    <w:rsid w:val="0067542A"/>
    <w:rsid w:val="0067559B"/>
    <w:rsid w:val="006757B3"/>
    <w:rsid w:val="00675D1C"/>
    <w:rsid w:val="00676A03"/>
    <w:rsid w:val="00677043"/>
    <w:rsid w:val="00677434"/>
    <w:rsid w:val="006774ED"/>
    <w:rsid w:val="006775C3"/>
    <w:rsid w:val="00677833"/>
    <w:rsid w:val="00677C76"/>
    <w:rsid w:val="00680050"/>
    <w:rsid w:val="006801BC"/>
    <w:rsid w:val="0068037D"/>
    <w:rsid w:val="006805B2"/>
    <w:rsid w:val="006805FD"/>
    <w:rsid w:val="00680B1A"/>
    <w:rsid w:val="00680FEA"/>
    <w:rsid w:val="006811A3"/>
    <w:rsid w:val="0068131B"/>
    <w:rsid w:val="006818A1"/>
    <w:rsid w:val="00681B2F"/>
    <w:rsid w:val="00682178"/>
    <w:rsid w:val="00682282"/>
    <w:rsid w:val="00682C8F"/>
    <w:rsid w:val="00682CBE"/>
    <w:rsid w:val="00682EB3"/>
    <w:rsid w:val="0068318B"/>
    <w:rsid w:val="006835B4"/>
    <w:rsid w:val="006835DE"/>
    <w:rsid w:val="00683B39"/>
    <w:rsid w:val="00683CAF"/>
    <w:rsid w:val="00683FA5"/>
    <w:rsid w:val="00683FC4"/>
    <w:rsid w:val="00684318"/>
    <w:rsid w:val="006843D7"/>
    <w:rsid w:val="006845E6"/>
    <w:rsid w:val="006849FD"/>
    <w:rsid w:val="00684A7E"/>
    <w:rsid w:val="00684AFC"/>
    <w:rsid w:val="00684F88"/>
    <w:rsid w:val="00685477"/>
    <w:rsid w:val="00685538"/>
    <w:rsid w:val="0068564E"/>
    <w:rsid w:val="006858FC"/>
    <w:rsid w:val="0068594A"/>
    <w:rsid w:val="00685CED"/>
    <w:rsid w:val="00685E33"/>
    <w:rsid w:val="00685E66"/>
    <w:rsid w:val="006862E6"/>
    <w:rsid w:val="00686512"/>
    <w:rsid w:val="006867DC"/>
    <w:rsid w:val="00686B67"/>
    <w:rsid w:val="00686CB2"/>
    <w:rsid w:val="00686DC1"/>
    <w:rsid w:val="00686DDA"/>
    <w:rsid w:val="00687093"/>
    <w:rsid w:val="00687459"/>
    <w:rsid w:val="0068746C"/>
    <w:rsid w:val="006875A2"/>
    <w:rsid w:val="0068767F"/>
    <w:rsid w:val="006877FA"/>
    <w:rsid w:val="00687A86"/>
    <w:rsid w:val="00687ACA"/>
    <w:rsid w:val="00687BC2"/>
    <w:rsid w:val="00687DB8"/>
    <w:rsid w:val="00687F13"/>
    <w:rsid w:val="00690497"/>
    <w:rsid w:val="00690611"/>
    <w:rsid w:val="00690CBB"/>
    <w:rsid w:val="00690E65"/>
    <w:rsid w:val="00690EAB"/>
    <w:rsid w:val="00691072"/>
    <w:rsid w:val="00691193"/>
    <w:rsid w:val="006911D7"/>
    <w:rsid w:val="006913E9"/>
    <w:rsid w:val="0069150F"/>
    <w:rsid w:val="00691549"/>
    <w:rsid w:val="006916EF"/>
    <w:rsid w:val="00691F4D"/>
    <w:rsid w:val="006922E4"/>
    <w:rsid w:val="0069267C"/>
    <w:rsid w:val="00692691"/>
    <w:rsid w:val="0069269B"/>
    <w:rsid w:val="0069290A"/>
    <w:rsid w:val="00692943"/>
    <w:rsid w:val="0069300F"/>
    <w:rsid w:val="00693057"/>
    <w:rsid w:val="00693372"/>
    <w:rsid w:val="006935C4"/>
    <w:rsid w:val="0069381A"/>
    <w:rsid w:val="00693CA3"/>
    <w:rsid w:val="00693ECB"/>
    <w:rsid w:val="00693FC1"/>
    <w:rsid w:val="006941B5"/>
    <w:rsid w:val="00694476"/>
    <w:rsid w:val="006945F3"/>
    <w:rsid w:val="0069465C"/>
    <w:rsid w:val="0069482C"/>
    <w:rsid w:val="00694919"/>
    <w:rsid w:val="0069491E"/>
    <w:rsid w:val="00694A8E"/>
    <w:rsid w:val="00694AE2"/>
    <w:rsid w:val="00694F1E"/>
    <w:rsid w:val="00695177"/>
    <w:rsid w:val="0069523B"/>
    <w:rsid w:val="006955A1"/>
    <w:rsid w:val="006957D4"/>
    <w:rsid w:val="00695B3F"/>
    <w:rsid w:val="00695E68"/>
    <w:rsid w:val="00696224"/>
    <w:rsid w:val="0069643A"/>
    <w:rsid w:val="0069697F"/>
    <w:rsid w:val="0069700E"/>
    <w:rsid w:val="00697342"/>
    <w:rsid w:val="006974DF"/>
    <w:rsid w:val="0069754D"/>
    <w:rsid w:val="0069775A"/>
    <w:rsid w:val="00697813"/>
    <w:rsid w:val="006979E3"/>
    <w:rsid w:val="00697C3B"/>
    <w:rsid w:val="00697D68"/>
    <w:rsid w:val="00697FE2"/>
    <w:rsid w:val="006A0077"/>
    <w:rsid w:val="006A0100"/>
    <w:rsid w:val="006A0160"/>
    <w:rsid w:val="006A02EE"/>
    <w:rsid w:val="006A0A9A"/>
    <w:rsid w:val="006A0C91"/>
    <w:rsid w:val="006A0E68"/>
    <w:rsid w:val="006A0EFC"/>
    <w:rsid w:val="006A1463"/>
    <w:rsid w:val="006A14B4"/>
    <w:rsid w:val="006A1714"/>
    <w:rsid w:val="006A1A58"/>
    <w:rsid w:val="006A1CD6"/>
    <w:rsid w:val="006A1F37"/>
    <w:rsid w:val="006A20A6"/>
    <w:rsid w:val="006A2689"/>
    <w:rsid w:val="006A26CE"/>
    <w:rsid w:val="006A33DC"/>
    <w:rsid w:val="006A3617"/>
    <w:rsid w:val="006A365E"/>
    <w:rsid w:val="006A367C"/>
    <w:rsid w:val="006A396E"/>
    <w:rsid w:val="006A3A7B"/>
    <w:rsid w:val="006A3EE8"/>
    <w:rsid w:val="006A4910"/>
    <w:rsid w:val="006A4F93"/>
    <w:rsid w:val="006A5269"/>
    <w:rsid w:val="006A52D5"/>
    <w:rsid w:val="006A56F0"/>
    <w:rsid w:val="006A59A1"/>
    <w:rsid w:val="006A5C04"/>
    <w:rsid w:val="006A6200"/>
    <w:rsid w:val="006A65B9"/>
    <w:rsid w:val="006A691D"/>
    <w:rsid w:val="006A6BE2"/>
    <w:rsid w:val="006A6D51"/>
    <w:rsid w:val="006A71F3"/>
    <w:rsid w:val="006A72BF"/>
    <w:rsid w:val="006A743A"/>
    <w:rsid w:val="006A74F7"/>
    <w:rsid w:val="006A778C"/>
    <w:rsid w:val="006A78CE"/>
    <w:rsid w:val="006A7A44"/>
    <w:rsid w:val="006A7A82"/>
    <w:rsid w:val="006A7B0E"/>
    <w:rsid w:val="006A7C69"/>
    <w:rsid w:val="006A7DC7"/>
    <w:rsid w:val="006A7ED7"/>
    <w:rsid w:val="006A7F11"/>
    <w:rsid w:val="006B00C1"/>
    <w:rsid w:val="006B03E3"/>
    <w:rsid w:val="006B03F2"/>
    <w:rsid w:val="006B085C"/>
    <w:rsid w:val="006B0884"/>
    <w:rsid w:val="006B0A78"/>
    <w:rsid w:val="006B0EF9"/>
    <w:rsid w:val="006B1184"/>
    <w:rsid w:val="006B11C3"/>
    <w:rsid w:val="006B11D5"/>
    <w:rsid w:val="006B1214"/>
    <w:rsid w:val="006B1E8A"/>
    <w:rsid w:val="006B2282"/>
    <w:rsid w:val="006B26C9"/>
    <w:rsid w:val="006B2988"/>
    <w:rsid w:val="006B2A72"/>
    <w:rsid w:val="006B35A5"/>
    <w:rsid w:val="006B370D"/>
    <w:rsid w:val="006B3796"/>
    <w:rsid w:val="006B37DC"/>
    <w:rsid w:val="006B3989"/>
    <w:rsid w:val="006B3F5E"/>
    <w:rsid w:val="006B43D4"/>
    <w:rsid w:val="006B440B"/>
    <w:rsid w:val="006B4827"/>
    <w:rsid w:val="006B48B4"/>
    <w:rsid w:val="006B4A6B"/>
    <w:rsid w:val="006B4BEB"/>
    <w:rsid w:val="006B4F68"/>
    <w:rsid w:val="006B5459"/>
    <w:rsid w:val="006B5821"/>
    <w:rsid w:val="006B6270"/>
    <w:rsid w:val="006B6696"/>
    <w:rsid w:val="006B6CAF"/>
    <w:rsid w:val="006B6F4B"/>
    <w:rsid w:val="006B6F5B"/>
    <w:rsid w:val="006B6F67"/>
    <w:rsid w:val="006B74FD"/>
    <w:rsid w:val="006B7971"/>
    <w:rsid w:val="006B79F9"/>
    <w:rsid w:val="006C00DA"/>
    <w:rsid w:val="006C0286"/>
    <w:rsid w:val="006C0390"/>
    <w:rsid w:val="006C0592"/>
    <w:rsid w:val="006C0631"/>
    <w:rsid w:val="006C06A8"/>
    <w:rsid w:val="006C071C"/>
    <w:rsid w:val="006C090A"/>
    <w:rsid w:val="006C1841"/>
    <w:rsid w:val="006C1B2E"/>
    <w:rsid w:val="006C1B6F"/>
    <w:rsid w:val="006C272E"/>
    <w:rsid w:val="006C2C25"/>
    <w:rsid w:val="006C31A2"/>
    <w:rsid w:val="006C349D"/>
    <w:rsid w:val="006C38AC"/>
    <w:rsid w:val="006C3FC8"/>
    <w:rsid w:val="006C442C"/>
    <w:rsid w:val="006C457A"/>
    <w:rsid w:val="006C468A"/>
    <w:rsid w:val="006C4CB9"/>
    <w:rsid w:val="006C4D70"/>
    <w:rsid w:val="006C4DC3"/>
    <w:rsid w:val="006C506E"/>
    <w:rsid w:val="006C51BA"/>
    <w:rsid w:val="006C53F1"/>
    <w:rsid w:val="006C5479"/>
    <w:rsid w:val="006C54B5"/>
    <w:rsid w:val="006C554E"/>
    <w:rsid w:val="006C5694"/>
    <w:rsid w:val="006C56C7"/>
    <w:rsid w:val="006C5D13"/>
    <w:rsid w:val="006C5F57"/>
    <w:rsid w:val="006C6024"/>
    <w:rsid w:val="006C60CB"/>
    <w:rsid w:val="006C6185"/>
    <w:rsid w:val="006C68CC"/>
    <w:rsid w:val="006C6A91"/>
    <w:rsid w:val="006C6AA5"/>
    <w:rsid w:val="006C7039"/>
    <w:rsid w:val="006C7181"/>
    <w:rsid w:val="006C72BB"/>
    <w:rsid w:val="006C7462"/>
    <w:rsid w:val="006C7568"/>
    <w:rsid w:val="006C7939"/>
    <w:rsid w:val="006C7CCE"/>
    <w:rsid w:val="006C7D22"/>
    <w:rsid w:val="006C7F6C"/>
    <w:rsid w:val="006D0177"/>
    <w:rsid w:val="006D02C5"/>
    <w:rsid w:val="006D04C2"/>
    <w:rsid w:val="006D0C5B"/>
    <w:rsid w:val="006D101A"/>
    <w:rsid w:val="006D10BB"/>
    <w:rsid w:val="006D1150"/>
    <w:rsid w:val="006D13B5"/>
    <w:rsid w:val="006D1758"/>
    <w:rsid w:val="006D1E28"/>
    <w:rsid w:val="006D1F86"/>
    <w:rsid w:val="006D20E3"/>
    <w:rsid w:val="006D2EA1"/>
    <w:rsid w:val="006D33F4"/>
    <w:rsid w:val="006D33FF"/>
    <w:rsid w:val="006D340C"/>
    <w:rsid w:val="006D3596"/>
    <w:rsid w:val="006D36D7"/>
    <w:rsid w:val="006D38C9"/>
    <w:rsid w:val="006D396F"/>
    <w:rsid w:val="006D3DB9"/>
    <w:rsid w:val="006D4200"/>
    <w:rsid w:val="006D4C27"/>
    <w:rsid w:val="006D4C86"/>
    <w:rsid w:val="006D4E62"/>
    <w:rsid w:val="006D4EC0"/>
    <w:rsid w:val="006D5334"/>
    <w:rsid w:val="006D53F3"/>
    <w:rsid w:val="006D5C23"/>
    <w:rsid w:val="006D5F62"/>
    <w:rsid w:val="006D6287"/>
    <w:rsid w:val="006D63D5"/>
    <w:rsid w:val="006D6637"/>
    <w:rsid w:val="006D6870"/>
    <w:rsid w:val="006D69BC"/>
    <w:rsid w:val="006D6EB8"/>
    <w:rsid w:val="006D6F14"/>
    <w:rsid w:val="006D706A"/>
    <w:rsid w:val="006D70F6"/>
    <w:rsid w:val="006D7344"/>
    <w:rsid w:val="006D73C0"/>
    <w:rsid w:val="006D777E"/>
    <w:rsid w:val="006D7928"/>
    <w:rsid w:val="006E02BB"/>
    <w:rsid w:val="006E12FF"/>
    <w:rsid w:val="006E141B"/>
    <w:rsid w:val="006E211F"/>
    <w:rsid w:val="006E25D9"/>
    <w:rsid w:val="006E291C"/>
    <w:rsid w:val="006E2C5E"/>
    <w:rsid w:val="006E3306"/>
    <w:rsid w:val="006E335E"/>
    <w:rsid w:val="006E346C"/>
    <w:rsid w:val="006E3583"/>
    <w:rsid w:val="006E387D"/>
    <w:rsid w:val="006E3A5E"/>
    <w:rsid w:val="006E3A89"/>
    <w:rsid w:val="006E3D85"/>
    <w:rsid w:val="006E3D89"/>
    <w:rsid w:val="006E3F30"/>
    <w:rsid w:val="006E4220"/>
    <w:rsid w:val="006E4841"/>
    <w:rsid w:val="006E4B08"/>
    <w:rsid w:val="006E4D2C"/>
    <w:rsid w:val="006E52E7"/>
    <w:rsid w:val="006E57BE"/>
    <w:rsid w:val="006E5FA4"/>
    <w:rsid w:val="006E607E"/>
    <w:rsid w:val="006E611A"/>
    <w:rsid w:val="006E613A"/>
    <w:rsid w:val="006E61F2"/>
    <w:rsid w:val="006E6850"/>
    <w:rsid w:val="006E6CAD"/>
    <w:rsid w:val="006E6CC3"/>
    <w:rsid w:val="006E6F1B"/>
    <w:rsid w:val="006E70A9"/>
    <w:rsid w:val="006E7102"/>
    <w:rsid w:val="006E711B"/>
    <w:rsid w:val="006E71F6"/>
    <w:rsid w:val="006E7D66"/>
    <w:rsid w:val="006F0402"/>
    <w:rsid w:val="006F0B2B"/>
    <w:rsid w:val="006F0C87"/>
    <w:rsid w:val="006F10A0"/>
    <w:rsid w:val="006F10EB"/>
    <w:rsid w:val="006F110D"/>
    <w:rsid w:val="006F11A4"/>
    <w:rsid w:val="006F130B"/>
    <w:rsid w:val="006F16E8"/>
    <w:rsid w:val="006F1B34"/>
    <w:rsid w:val="006F1EE9"/>
    <w:rsid w:val="006F2173"/>
    <w:rsid w:val="006F2C5F"/>
    <w:rsid w:val="006F3042"/>
    <w:rsid w:val="006F34D4"/>
    <w:rsid w:val="006F3580"/>
    <w:rsid w:val="006F3B91"/>
    <w:rsid w:val="006F3BFF"/>
    <w:rsid w:val="006F3C28"/>
    <w:rsid w:val="006F3F24"/>
    <w:rsid w:val="006F4509"/>
    <w:rsid w:val="006F4798"/>
    <w:rsid w:val="006F4B0B"/>
    <w:rsid w:val="006F4B66"/>
    <w:rsid w:val="006F4DA4"/>
    <w:rsid w:val="006F5039"/>
    <w:rsid w:val="006F50F9"/>
    <w:rsid w:val="006F51C3"/>
    <w:rsid w:val="006F51D8"/>
    <w:rsid w:val="006F5370"/>
    <w:rsid w:val="006F5A64"/>
    <w:rsid w:val="006F5C7C"/>
    <w:rsid w:val="006F684F"/>
    <w:rsid w:val="006F6C85"/>
    <w:rsid w:val="006F79D9"/>
    <w:rsid w:val="006F7AE5"/>
    <w:rsid w:val="006F7DE8"/>
    <w:rsid w:val="006F7EA7"/>
    <w:rsid w:val="006F7FB6"/>
    <w:rsid w:val="00700187"/>
    <w:rsid w:val="007004F8"/>
    <w:rsid w:val="00700658"/>
    <w:rsid w:val="0070067E"/>
    <w:rsid w:val="007008F1"/>
    <w:rsid w:val="00700C4F"/>
    <w:rsid w:val="00701476"/>
    <w:rsid w:val="00701576"/>
    <w:rsid w:val="007017F4"/>
    <w:rsid w:val="007019D2"/>
    <w:rsid w:val="00701E62"/>
    <w:rsid w:val="00701F0B"/>
    <w:rsid w:val="00702166"/>
    <w:rsid w:val="007022CC"/>
    <w:rsid w:val="007023D9"/>
    <w:rsid w:val="00702656"/>
    <w:rsid w:val="00702C9E"/>
    <w:rsid w:val="00702FCE"/>
    <w:rsid w:val="0070306E"/>
    <w:rsid w:val="007031DC"/>
    <w:rsid w:val="007035B0"/>
    <w:rsid w:val="0070375E"/>
    <w:rsid w:val="00703A3E"/>
    <w:rsid w:val="00703A9A"/>
    <w:rsid w:val="00703F0B"/>
    <w:rsid w:val="00703F23"/>
    <w:rsid w:val="007047A0"/>
    <w:rsid w:val="00705187"/>
    <w:rsid w:val="007054EB"/>
    <w:rsid w:val="00705600"/>
    <w:rsid w:val="007057BF"/>
    <w:rsid w:val="00706431"/>
    <w:rsid w:val="00706742"/>
    <w:rsid w:val="00706C5D"/>
    <w:rsid w:val="00706EF0"/>
    <w:rsid w:val="00707804"/>
    <w:rsid w:val="00707BB6"/>
    <w:rsid w:val="00707C33"/>
    <w:rsid w:val="00707EBC"/>
    <w:rsid w:val="007103D1"/>
    <w:rsid w:val="00710519"/>
    <w:rsid w:val="0071053C"/>
    <w:rsid w:val="007108D3"/>
    <w:rsid w:val="00710A18"/>
    <w:rsid w:val="00710C69"/>
    <w:rsid w:val="00710F3C"/>
    <w:rsid w:val="00711416"/>
    <w:rsid w:val="00711541"/>
    <w:rsid w:val="00711622"/>
    <w:rsid w:val="0071180B"/>
    <w:rsid w:val="00711D56"/>
    <w:rsid w:val="00711D9E"/>
    <w:rsid w:val="007122B4"/>
    <w:rsid w:val="0071265D"/>
    <w:rsid w:val="007129D9"/>
    <w:rsid w:val="00712CA7"/>
    <w:rsid w:val="00712F1B"/>
    <w:rsid w:val="0071303A"/>
    <w:rsid w:val="0071380E"/>
    <w:rsid w:val="007138ED"/>
    <w:rsid w:val="00713A30"/>
    <w:rsid w:val="00713CBE"/>
    <w:rsid w:val="00713E19"/>
    <w:rsid w:val="00713EA5"/>
    <w:rsid w:val="007141CB"/>
    <w:rsid w:val="007143F2"/>
    <w:rsid w:val="0071443D"/>
    <w:rsid w:val="007145F1"/>
    <w:rsid w:val="0071481B"/>
    <w:rsid w:val="0071491B"/>
    <w:rsid w:val="00714DCC"/>
    <w:rsid w:val="00714F43"/>
    <w:rsid w:val="00715043"/>
    <w:rsid w:val="0071505B"/>
    <w:rsid w:val="007155F0"/>
    <w:rsid w:val="0071592C"/>
    <w:rsid w:val="007159B8"/>
    <w:rsid w:val="00715BF0"/>
    <w:rsid w:val="00715E0E"/>
    <w:rsid w:val="00716181"/>
    <w:rsid w:val="00716E25"/>
    <w:rsid w:val="00716FC7"/>
    <w:rsid w:val="00717153"/>
    <w:rsid w:val="00717479"/>
    <w:rsid w:val="007174A2"/>
    <w:rsid w:val="00717631"/>
    <w:rsid w:val="0071775C"/>
    <w:rsid w:val="00717A3E"/>
    <w:rsid w:val="00717A79"/>
    <w:rsid w:val="007200FD"/>
    <w:rsid w:val="007201B4"/>
    <w:rsid w:val="00720676"/>
    <w:rsid w:val="007207B6"/>
    <w:rsid w:val="00720991"/>
    <w:rsid w:val="00720A46"/>
    <w:rsid w:val="00720D30"/>
    <w:rsid w:val="00720EFD"/>
    <w:rsid w:val="00721198"/>
    <w:rsid w:val="00721220"/>
    <w:rsid w:val="00721238"/>
    <w:rsid w:val="00721490"/>
    <w:rsid w:val="00721878"/>
    <w:rsid w:val="0072220A"/>
    <w:rsid w:val="0072243B"/>
    <w:rsid w:val="007228F6"/>
    <w:rsid w:val="00722E8C"/>
    <w:rsid w:val="007230B7"/>
    <w:rsid w:val="00723202"/>
    <w:rsid w:val="007236E1"/>
    <w:rsid w:val="007237DF"/>
    <w:rsid w:val="00723A8A"/>
    <w:rsid w:val="00723DA3"/>
    <w:rsid w:val="0072422F"/>
    <w:rsid w:val="00724DA4"/>
    <w:rsid w:val="00724DE2"/>
    <w:rsid w:val="00724EF7"/>
    <w:rsid w:val="007253FF"/>
    <w:rsid w:val="00725622"/>
    <w:rsid w:val="00725B3A"/>
    <w:rsid w:val="00725F48"/>
    <w:rsid w:val="0072626F"/>
    <w:rsid w:val="007266D0"/>
    <w:rsid w:val="00726728"/>
    <w:rsid w:val="00726D0E"/>
    <w:rsid w:val="00726E96"/>
    <w:rsid w:val="00727007"/>
    <w:rsid w:val="00727745"/>
    <w:rsid w:val="007278AA"/>
    <w:rsid w:val="00727C17"/>
    <w:rsid w:val="00727D16"/>
    <w:rsid w:val="00727F68"/>
    <w:rsid w:val="007300CD"/>
    <w:rsid w:val="0073018A"/>
    <w:rsid w:val="007303E9"/>
    <w:rsid w:val="00730688"/>
    <w:rsid w:val="007309CA"/>
    <w:rsid w:val="00730FFD"/>
    <w:rsid w:val="00731548"/>
    <w:rsid w:val="00731856"/>
    <w:rsid w:val="00731F7E"/>
    <w:rsid w:val="00732151"/>
    <w:rsid w:val="00732748"/>
    <w:rsid w:val="007328AF"/>
    <w:rsid w:val="00732922"/>
    <w:rsid w:val="00733066"/>
    <w:rsid w:val="00733493"/>
    <w:rsid w:val="007338C9"/>
    <w:rsid w:val="00733CC6"/>
    <w:rsid w:val="007341B0"/>
    <w:rsid w:val="007341DB"/>
    <w:rsid w:val="007341F6"/>
    <w:rsid w:val="0073425E"/>
    <w:rsid w:val="007345EC"/>
    <w:rsid w:val="007347E7"/>
    <w:rsid w:val="00734865"/>
    <w:rsid w:val="00734945"/>
    <w:rsid w:val="00734BA9"/>
    <w:rsid w:val="00734C8A"/>
    <w:rsid w:val="00734EB2"/>
    <w:rsid w:val="00734FBA"/>
    <w:rsid w:val="00734FCF"/>
    <w:rsid w:val="007356E5"/>
    <w:rsid w:val="00735C6C"/>
    <w:rsid w:val="00736CA0"/>
    <w:rsid w:val="007370DA"/>
    <w:rsid w:val="0073715D"/>
    <w:rsid w:val="007372BD"/>
    <w:rsid w:val="00737433"/>
    <w:rsid w:val="007376B1"/>
    <w:rsid w:val="00737886"/>
    <w:rsid w:val="00740030"/>
    <w:rsid w:val="007400A6"/>
    <w:rsid w:val="00740575"/>
    <w:rsid w:val="00740651"/>
    <w:rsid w:val="007406B2"/>
    <w:rsid w:val="007406C6"/>
    <w:rsid w:val="00740748"/>
    <w:rsid w:val="00740AF4"/>
    <w:rsid w:val="00741189"/>
    <w:rsid w:val="007412C0"/>
    <w:rsid w:val="007412D0"/>
    <w:rsid w:val="00741C8A"/>
    <w:rsid w:val="00741D1F"/>
    <w:rsid w:val="00741DE5"/>
    <w:rsid w:val="00741FBD"/>
    <w:rsid w:val="007420A0"/>
    <w:rsid w:val="00742227"/>
    <w:rsid w:val="007441BB"/>
    <w:rsid w:val="007444CC"/>
    <w:rsid w:val="00744656"/>
    <w:rsid w:val="00744844"/>
    <w:rsid w:val="00744D84"/>
    <w:rsid w:val="00744DCD"/>
    <w:rsid w:val="0074531B"/>
    <w:rsid w:val="00745438"/>
    <w:rsid w:val="0074587C"/>
    <w:rsid w:val="00745D1D"/>
    <w:rsid w:val="0074609E"/>
    <w:rsid w:val="007468DD"/>
    <w:rsid w:val="00746BCF"/>
    <w:rsid w:val="00746E57"/>
    <w:rsid w:val="00747A9C"/>
    <w:rsid w:val="00747BD6"/>
    <w:rsid w:val="007505DC"/>
    <w:rsid w:val="0075069F"/>
    <w:rsid w:val="007507A1"/>
    <w:rsid w:val="00750910"/>
    <w:rsid w:val="00750D94"/>
    <w:rsid w:val="00750E76"/>
    <w:rsid w:val="007513EF"/>
    <w:rsid w:val="007514FF"/>
    <w:rsid w:val="0075162E"/>
    <w:rsid w:val="00751A6D"/>
    <w:rsid w:val="00751F8E"/>
    <w:rsid w:val="0075227A"/>
    <w:rsid w:val="007529D3"/>
    <w:rsid w:val="00752D00"/>
    <w:rsid w:val="00752F81"/>
    <w:rsid w:val="007531E1"/>
    <w:rsid w:val="00754034"/>
    <w:rsid w:val="007541CE"/>
    <w:rsid w:val="007547E1"/>
    <w:rsid w:val="00754CF6"/>
    <w:rsid w:val="00754D18"/>
    <w:rsid w:val="00755210"/>
    <w:rsid w:val="007553F1"/>
    <w:rsid w:val="00755478"/>
    <w:rsid w:val="00755A07"/>
    <w:rsid w:val="00755B73"/>
    <w:rsid w:val="00755F1C"/>
    <w:rsid w:val="00756091"/>
    <w:rsid w:val="00756167"/>
    <w:rsid w:val="00756372"/>
    <w:rsid w:val="00756556"/>
    <w:rsid w:val="00756957"/>
    <w:rsid w:val="00756C2E"/>
    <w:rsid w:val="00756F1E"/>
    <w:rsid w:val="0075751F"/>
    <w:rsid w:val="0075788A"/>
    <w:rsid w:val="00757896"/>
    <w:rsid w:val="007579DA"/>
    <w:rsid w:val="00757AD6"/>
    <w:rsid w:val="0076006E"/>
    <w:rsid w:val="007600C7"/>
    <w:rsid w:val="00760672"/>
    <w:rsid w:val="00760915"/>
    <w:rsid w:val="007609BD"/>
    <w:rsid w:val="00760CEC"/>
    <w:rsid w:val="00760D06"/>
    <w:rsid w:val="00760DAC"/>
    <w:rsid w:val="007615AF"/>
    <w:rsid w:val="007618C4"/>
    <w:rsid w:val="00761B29"/>
    <w:rsid w:val="00761F4B"/>
    <w:rsid w:val="00762260"/>
    <w:rsid w:val="0076252E"/>
    <w:rsid w:val="007626B8"/>
    <w:rsid w:val="007629C0"/>
    <w:rsid w:val="00762B25"/>
    <w:rsid w:val="00763483"/>
    <w:rsid w:val="007639D1"/>
    <w:rsid w:val="00763EA2"/>
    <w:rsid w:val="00763FA7"/>
    <w:rsid w:val="007640C1"/>
    <w:rsid w:val="00764B8E"/>
    <w:rsid w:val="00764BAD"/>
    <w:rsid w:val="00764F57"/>
    <w:rsid w:val="00765183"/>
    <w:rsid w:val="00765565"/>
    <w:rsid w:val="00765CCB"/>
    <w:rsid w:val="00766255"/>
    <w:rsid w:val="0076656E"/>
    <w:rsid w:val="007669D0"/>
    <w:rsid w:val="00766C73"/>
    <w:rsid w:val="00766F3D"/>
    <w:rsid w:val="00767329"/>
    <w:rsid w:val="00767980"/>
    <w:rsid w:val="00767B86"/>
    <w:rsid w:val="00767C08"/>
    <w:rsid w:val="00767EB3"/>
    <w:rsid w:val="0077053F"/>
    <w:rsid w:val="007707E9"/>
    <w:rsid w:val="0077086C"/>
    <w:rsid w:val="00770B19"/>
    <w:rsid w:val="00771505"/>
    <w:rsid w:val="00771565"/>
    <w:rsid w:val="00771B14"/>
    <w:rsid w:val="00771DC4"/>
    <w:rsid w:val="00771F26"/>
    <w:rsid w:val="00772170"/>
    <w:rsid w:val="00772187"/>
    <w:rsid w:val="007722B1"/>
    <w:rsid w:val="007723FE"/>
    <w:rsid w:val="007725A1"/>
    <w:rsid w:val="00772F5D"/>
    <w:rsid w:val="00773114"/>
    <w:rsid w:val="0077323A"/>
    <w:rsid w:val="007734EA"/>
    <w:rsid w:val="0077371B"/>
    <w:rsid w:val="00773A58"/>
    <w:rsid w:val="00773BEE"/>
    <w:rsid w:val="00773C61"/>
    <w:rsid w:val="007744FD"/>
    <w:rsid w:val="0077463F"/>
    <w:rsid w:val="0077465F"/>
    <w:rsid w:val="0077477C"/>
    <w:rsid w:val="00774DC5"/>
    <w:rsid w:val="0077549C"/>
    <w:rsid w:val="007759E6"/>
    <w:rsid w:val="00775AB5"/>
    <w:rsid w:val="00776126"/>
    <w:rsid w:val="00776782"/>
    <w:rsid w:val="00776E0A"/>
    <w:rsid w:val="007772B1"/>
    <w:rsid w:val="00777449"/>
    <w:rsid w:val="007776EA"/>
    <w:rsid w:val="007777F7"/>
    <w:rsid w:val="00777815"/>
    <w:rsid w:val="00777848"/>
    <w:rsid w:val="00777F7A"/>
    <w:rsid w:val="00777FA5"/>
    <w:rsid w:val="007802C4"/>
    <w:rsid w:val="007805FC"/>
    <w:rsid w:val="007806A1"/>
    <w:rsid w:val="0078080F"/>
    <w:rsid w:val="00780E8B"/>
    <w:rsid w:val="00780EBC"/>
    <w:rsid w:val="007816C1"/>
    <w:rsid w:val="0078178D"/>
    <w:rsid w:val="0078186D"/>
    <w:rsid w:val="00781A31"/>
    <w:rsid w:val="00781EE6"/>
    <w:rsid w:val="00782388"/>
    <w:rsid w:val="00782592"/>
    <w:rsid w:val="0078275A"/>
    <w:rsid w:val="0078288E"/>
    <w:rsid w:val="00782B85"/>
    <w:rsid w:val="00782C4F"/>
    <w:rsid w:val="00782EE1"/>
    <w:rsid w:val="007836EA"/>
    <w:rsid w:val="00783927"/>
    <w:rsid w:val="00783986"/>
    <w:rsid w:val="00783E94"/>
    <w:rsid w:val="00783F9C"/>
    <w:rsid w:val="00784035"/>
    <w:rsid w:val="00784864"/>
    <w:rsid w:val="00784BE1"/>
    <w:rsid w:val="00784CDA"/>
    <w:rsid w:val="007859BB"/>
    <w:rsid w:val="00785BE6"/>
    <w:rsid w:val="00785E1C"/>
    <w:rsid w:val="0078630E"/>
    <w:rsid w:val="0078647E"/>
    <w:rsid w:val="007864C7"/>
    <w:rsid w:val="007868BA"/>
    <w:rsid w:val="00786C14"/>
    <w:rsid w:val="00786F34"/>
    <w:rsid w:val="00787190"/>
    <w:rsid w:val="00787A6F"/>
    <w:rsid w:val="00787E85"/>
    <w:rsid w:val="007906C4"/>
    <w:rsid w:val="00790735"/>
    <w:rsid w:val="00791204"/>
    <w:rsid w:val="00791262"/>
    <w:rsid w:val="007919E1"/>
    <w:rsid w:val="007919EB"/>
    <w:rsid w:val="00791E6F"/>
    <w:rsid w:val="0079218F"/>
    <w:rsid w:val="0079223C"/>
    <w:rsid w:val="0079236F"/>
    <w:rsid w:val="007923FD"/>
    <w:rsid w:val="0079240A"/>
    <w:rsid w:val="00792ACA"/>
    <w:rsid w:val="00792AE6"/>
    <w:rsid w:val="00792C38"/>
    <w:rsid w:val="00792CB2"/>
    <w:rsid w:val="00792D93"/>
    <w:rsid w:val="00792F1B"/>
    <w:rsid w:val="00793054"/>
    <w:rsid w:val="0079341E"/>
    <w:rsid w:val="00793A01"/>
    <w:rsid w:val="00793B96"/>
    <w:rsid w:val="00794071"/>
    <w:rsid w:val="007940EA"/>
    <w:rsid w:val="007941CE"/>
    <w:rsid w:val="00794513"/>
    <w:rsid w:val="00794751"/>
    <w:rsid w:val="00794C39"/>
    <w:rsid w:val="00794FCC"/>
    <w:rsid w:val="00795227"/>
    <w:rsid w:val="00795715"/>
    <w:rsid w:val="00795C0A"/>
    <w:rsid w:val="007963CF"/>
    <w:rsid w:val="007964E4"/>
    <w:rsid w:val="007967DE"/>
    <w:rsid w:val="007967E8"/>
    <w:rsid w:val="00796B1F"/>
    <w:rsid w:val="00796BD6"/>
    <w:rsid w:val="007973C7"/>
    <w:rsid w:val="007973DD"/>
    <w:rsid w:val="00797745"/>
    <w:rsid w:val="0079783F"/>
    <w:rsid w:val="00797953"/>
    <w:rsid w:val="00797A9B"/>
    <w:rsid w:val="00797AA9"/>
    <w:rsid w:val="00797B2A"/>
    <w:rsid w:val="00797D9C"/>
    <w:rsid w:val="00797F27"/>
    <w:rsid w:val="007A016F"/>
    <w:rsid w:val="007A080F"/>
    <w:rsid w:val="007A0895"/>
    <w:rsid w:val="007A0DD0"/>
    <w:rsid w:val="007A100D"/>
    <w:rsid w:val="007A11DD"/>
    <w:rsid w:val="007A1D0B"/>
    <w:rsid w:val="007A2030"/>
    <w:rsid w:val="007A2170"/>
    <w:rsid w:val="007A22BF"/>
    <w:rsid w:val="007A25E0"/>
    <w:rsid w:val="007A26F1"/>
    <w:rsid w:val="007A2797"/>
    <w:rsid w:val="007A2B29"/>
    <w:rsid w:val="007A2C98"/>
    <w:rsid w:val="007A2D4E"/>
    <w:rsid w:val="007A3323"/>
    <w:rsid w:val="007A3614"/>
    <w:rsid w:val="007A3CC3"/>
    <w:rsid w:val="007A4013"/>
    <w:rsid w:val="007A40AF"/>
    <w:rsid w:val="007A43B3"/>
    <w:rsid w:val="007A44F4"/>
    <w:rsid w:val="007A471B"/>
    <w:rsid w:val="007A4E7E"/>
    <w:rsid w:val="007A4FDE"/>
    <w:rsid w:val="007A50A0"/>
    <w:rsid w:val="007A54B3"/>
    <w:rsid w:val="007A54FD"/>
    <w:rsid w:val="007A5595"/>
    <w:rsid w:val="007A57E9"/>
    <w:rsid w:val="007A5EAF"/>
    <w:rsid w:val="007A5F68"/>
    <w:rsid w:val="007A62AC"/>
    <w:rsid w:val="007A63D4"/>
    <w:rsid w:val="007A64F5"/>
    <w:rsid w:val="007A65A5"/>
    <w:rsid w:val="007A6E3D"/>
    <w:rsid w:val="007A78A2"/>
    <w:rsid w:val="007A7984"/>
    <w:rsid w:val="007A7A4E"/>
    <w:rsid w:val="007A7E28"/>
    <w:rsid w:val="007A7EB9"/>
    <w:rsid w:val="007B02E9"/>
    <w:rsid w:val="007B062F"/>
    <w:rsid w:val="007B0935"/>
    <w:rsid w:val="007B0BD9"/>
    <w:rsid w:val="007B0CE5"/>
    <w:rsid w:val="007B101A"/>
    <w:rsid w:val="007B102F"/>
    <w:rsid w:val="007B1066"/>
    <w:rsid w:val="007B1143"/>
    <w:rsid w:val="007B1178"/>
    <w:rsid w:val="007B1401"/>
    <w:rsid w:val="007B1455"/>
    <w:rsid w:val="007B15EE"/>
    <w:rsid w:val="007B17FA"/>
    <w:rsid w:val="007B1D2E"/>
    <w:rsid w:val="007B1DD1"/>
    <w:rsid w:val="007B2085"/>
    <w:rsid w:val="007B23D5"/>
    <w:rsid w:val="007B28CA"/>
    <w:rsid w:val="007B29D5"/>
    <w:rsid w:val="007B2DB4"/>
    <w:rsid w:val="007B313E"/>
    <w:rsid w:val="007B4468"/>
    <w:rsid w:val="007B447F"/>
    <w:rsid w:val="007B4BFA"/>
    <w:rsid w:val="007B50CF"/>
    <w:rsid w:val="007B510D"/>
    <w:rsid w:val="007B5127"/>
    <w:rsid w:val="007B518D"/>
    <w:rsid w:val="007B522C"/>
    <w:rsid w:val="007B5D00"/>
    <w:rsid w:val="007B5E04"/>
    <w:rsid w:val="007B5EC3"/>
    <w:rsid w:val="007B5F60"/>
    <w:rsid w:val="007B60AD"/>
    <w:rsid w:val="007B6770"/>
    <w:rsid w:val="007B68EF"/>
    <w:rsid w:val="007B6C00"/>
    <w:rsid w:val="007B6FF0"/>
    <w:rsid w:val="007B7187"/>
    <w:rsid w:val="007B72B8"/>
    <w:rsid w:val="007B7A58"/>
    <w:rsid w:val="007B7B0B"/>
    <w:rsid w:val="007B7BCF"/>
    <w:rsid w:val="007C00FC"/>
    <w:rsid w:val="007C01E9"/>
    <w:rsid w:val="007C0E9F"/>
    <w:rsid w:val="007C0F08"/>
    <w:rsid w:val="007C0F0C"/>
    <w:rsid w:val="007C1375"/>
    <w:rsid w:val="007C1AF2"/>
    <w:rsid w:val="007C1E7D"/>
    <w:rsid w:val="007C21B5"/>
    <w:rsid w:val="007C2E2B"/>
    <w:rsid w:val="007C31E3"/>
    <w:rsid w:val="007C332E"/>
    <w:rsid w:val="007C335B"/>
    <w:rsid w:val="007C3528"/>
    <w:rsid w:val="007C3CF8"/>
    <w:rsid w:val="007C44EB"/>
    <w:rsid w:val="007C46FA"/>
    <w:rsid w:val="007C4A2D"/>
    <w:rsid w:val="007C4BEB"/>
    <w:rsid w:val="007C4C9E"/>
    <w:rsid w:val="007C4D02"/>
    <w:rsid w:val="007C4F78"/>
    <w:rsid w:val="007C557D"/>
    <w:rsid w:val="007C5703"/>
    <w:rsid w:val="007C5857"/>
    <w:rsid w:val="007C5E01"/>
    <w:rsid w:val="007C6299"/>
    <w:rsid w:val="007C6652"/>
    <w:rsid w:val="007C6D59"/>
    <w:rsid w:val="007C720A"/>
    <w:rsid w:val="007C750E"/>
    <w:rsid w:val="007C76BA"/>
    <w:rsid w:val="007C7855"/>
    <w:rsid w:val="007C7A2C"/>
    <w:rsid w:val="007C7BF4"/>
    <w:rsid w:val="007D0242"/>
    <w:rsid w:val="007D194C"/>
    <w:rsid w:val="007D19B1"/>
    <w:rsid w:val="007D222E"/>
    <w:rsid w:val="007D231A"/>
    <w:rsid w:val="007D2474"/>
    <w:rsid w:val="007D263A"/>
    <w:rsid w:val="007D26B8"/>
    <w:rsid w:val="007D2839"/>
    <w:rsid w:val="007D2B15"/>
    <w:rsid w:val="007D2C16"/>
    <w:rsid w:val="007D2C5E"/>
    <w:rsid w:val="007D3356"/>
    <w:rsid w:val="007D35AF"/>
    <w:rsid w:val="007D382D"/>
    <w:rsid w:val="007D394C"/>
    <w:rsid w:val="007D3C6A"/>
    <w:rsid w:val="007D3C9C"/>
    <w:rsid w:val="007D3D1C"/>
    <w:rsid w:val="007D3DBE"/>
    <w:rsid w:val="007D3E99"/>
    <w:rsid w:val="007D458B"/>
    <w:rsid w:val="007D49C5"/>
    <w:rsid w:val="007D4C32"/>
    <w:rsid w:val="007D514D"/>
    <w:rsid w:val="007D5192"/>
    <w:rsid w:val="007D5A7D"/>
    <w:rsid w:val="007D5A8A"/>
    <w:rsid w:val="007D5DF8"/>
    <w:rsid w:val="007D5F5D"/>
    <w:rsid w:val="007D6258"/>
    <w:rsid w:val="007D6379"/>
    <w:rsid w:val="007D6C8E"/>
    <w:rsid w:val="007D7004"/>
    <w:rsid w:val="007D7408"/>
    <w:rsid w:val="007D7742"/>
    <w:rsid w:val="007D7886"/>
    <w:rsid w:val="007D7C65"/>
    <w:rsid w:val="007D7EBB"/>
    <w:rsid w:val="007D7FC3"/>
    <w:rsid w:val="007E029F"/>
    <w:rsid w:val="007E04CF"/>
    <w:rsid w:val="007E08E5"/>
    <w:rsid w:val="007E0BFD"/>
    <w:rsid w:val="007E0C50"/>
    <w:rsid w:val="007E0C98"/>
    <w:rsid w:val="007E0DAB"/>
    <w:rsid w:val="007E1097"/>
    <w:rsid w:val="007E1267"/>
    <w:rsid w:val="007E1A56"/>
    <w:rsid w:val="007E1FC5"/>
    <w:rsid w:val="007E37D7"/>
    <w:rsid w:val="007E37D9"/>
    <w:rsid w:val="007E3D2E"/>
    <w:rsid w:val="007E4B11"/>
    <w:rsid w:val="007E4BD2"/>
    <w:rsid w:val="007E4C22"/>
    <w:rsid w:val="007E4D8C"/>
    <w:rsid w:val="007E51BC"/>
    <w:rsid w:val="007E532F"/>
    <w:rsid w:val="007E569A"/>
    <w:rsid w:val="007E5A15"/>
    <w:rsid w:val="007E5AA9"/>
    <w:rsid w:val="007E5C8F"/>
    <w:rsid w:val="007E5E3F"/>
    <w:rsid w:val="007E6A10"/>
    <w:rsid w:val="007E6D20"/>
    <w:rsid w:val="007E72A7"/>
    <w:rsid w:val="007E74A6"/>
    <w:rsid w:val="007E76D5"/>
    <w:rsid w:val="007F02E0"/>
    <w:rsid w:val="007F03D4"/>
    <w:rsid w:val="007F0998"/>
    <w:rsid w:val="007F0A08"/>
    <w:rsid w:val="007F0CCB"/>
    <w:rsid w:val="007F0ECD"/>
    <w:rsid w:val="007F104B"/>
    <w:rsid w:val="007F15A2"/>
    <w:rsid w:val="007F15CA"/>
    <w:rsid w:val="007F16BB"/>
    <w:rsid w:val="007F187B"/>
    <w:rsid w:val="007F1939"/>
    <w:rsid w:val="007F1990"/>
    <w:rsid w:val="007F1AA5"/>
    <w:rsid w:val="007F1B29"/>
    <w:rsid w:val="007F1DA7"/>
    <w:rsid w:val="007F1E13"/>
    <w:rsid w:val="007F1F9B"/>
    <w:rsid w:val="007F210B"/>
    <w:rsid w:val="007F2196"/>
    <w:rsid w:val="007F2C79"/>
    <w:rsid w:val="007F2E11"/>
    <w:rsid w:val="007F3506"/>
    <w:rsid w:val="007F394C"/>
    <w:rsid w:val="007F40A2"/>
    <w:rsid w:val="007F41CB"/>
    <w:rsid w:val="007F43EE"/>
    <w:rsid w:val="007F442A"/>
    <w:rsid w:val="007F4433"/>
    <w:rsid w:val="007F44AF"/>
    <w:rsid w:val="007F48BB"/>
    <w:rsid w:val="007F4A74"/>
    <w:rsid w:val="007F4ACE"/>
    <w:rsid w:val="007F4F7B"/>
    <w:rsid w:val="007F57F8"/>
    <w:rsid w:val="007F5936"/>
    <w:rsid w:val="007F5944"/>
    <w:rsid w:val="007F5B44"/>
    <w:rsid w:val="007F5BD2"/>
    <w:rsid w:val="007F5F37"/>
    <w:rsid w:val="007F5F63"/>
    <w:rsid w:val="007F5FC9"/>
    <w:rsid w:val="007F6083"/>
    <w:rsid w:val="007F639E"/>
    <w:rsid w:val="007F65D6"/>
    <w:rsid w:val="007F6C70"/>
    <w:rsid w:val="007F6E5B"/>
    <w:rsid w:val="007F79BB"/>
    <w:rsid w:val="007F7F66"/>
    <w:rsid w:val="0080010D"/>
    <w:rsid w:val="00800744"/>
    <w:rsid w:val="008010F2"/>
    <w:rsid w:val="00801206"/>
    <w:rsid w:val="00801393"/>
    <w:rsid w:val="00801529"/>
    <w:rsid w:val="0080168E"/>
    <w:rsid w:val="00801EEC"/>
    <w:rsid w:val="0080207A"/>
    <w:rsid w:val="0080223F"/>
    <w:rsid w:val="0080293B"/>
    <w:rsid w:val="00802B8F"/>
    <w:rsid w:val="00802C84"/>
    <w:rsid w:val="00802D5A"/>
    <w:rsid w:val="00802D8B"/>
    <w:rsid w:val="00802F88"/>
    <w:rsid w:val="008030C8"/>
    <w:rsid w:val="00803540"/>
    <w:rsid w:val="00803798"/>
    <w:rsid w:val="0080388F"/>
    <w:rsid w:val="00803F33"/>
    <w:rsid w:val="00804271"/>
    <w:rsid w:val="00804499"/>
    <w:rsid w:val="00804947"/>
    <w:rsid w:val="008055ED"/>
    <w:rsid w:val="00805655"/>
    <w:rsid w:val="00805704"/>
    <w:rsid w:val="008059E9"/>
    <w:rsid w:val="00805CDE"/>
    <w:rsid w:val="00805E84"/>
    <w:rsid w:val="00805FDB"/>
    <w:rsid w:val="008061C8"/>
    <w:rsid w:val="00806D0A"/>
    <w:rsid w:val="00806E1A"/>
    <w:rsid w:val="00807661"/>
    <w:rsid w:val="0080768C"/>
    <w:rsid w:val="008076DD"/>
    <w:rsid w:val="00807817"/>
    <w:rsid w:val="00807B23"/>
    <w:rsid w:val="008101CD"/>
    <w:rsid w:val="008101D7"/>
    <w:rsid w:val="00810656"/>
    <w:rsid w:val="00810985"/>
    <w:rsid w:val="00810A7A"/>
    <w:rsid w:val="00810DD4"/>
    <w:rsid w:val="00811853"/>
    <w:rsid w:val="008118EB"/>
    <w:rsid w:val="00811FF1"/>
    <w:rsid w:val="00812037"/>
    <w:rsid w:val="0081207A"/>
    <w:rsid w:val="00812086"/>
    <w:rsid w:val="00812197"/>
    <w:rsid w:val="00812764"/>
    <w:rsid w:val="0081293E"/>
    <w:rsid w:val="0081301A"/>
    <w:rsid w:val="0081302D"/>
    <w:rsid w:val="008131AA"/>
    <w:rsid w:val="0081332C"/>
    <w:rsid w:val="00813820"/>
    <w:rsid w:val="00813EA0"/>
    <w:rsid w:val="0081458F"/>
    <w:rsid w:val="00814723"/>
    <w:rsid w:val="00815447"/>
    <w:rsid w:val="00815465"/>
    <w:rsid w:val="00815B28"/>
    <w:rsid w:val="008160C6"/>
    <w:rsid w:val="0081630E"/>
    <w:rsid w:val="0081646D"/>
    <w:rsid w:val="00816F59"/>
    <w:rsid w:val="00817843"/>
    <w:rsid w:val="00817E9A"/>
    <w:rsid w:val="0082004F"/>
    <w:rsid w:val="00820166"/>
    <w:rsid w:val="00820182"/>
    <w:rsid w:val="00820A6F"/>
    <w:rsid w:val="00820B0C"/>
    <w:rsid w:val="00820C15"/>
    <w:rsid w:val="00820CDA"/>
    <w:rsid w:val="00820D48"/>
    <w:rsid w:val="00820E7A"/>
    <w:rsid w:val="00820E99"/>
    <w:rsid w:val="00821088"/>
    <w:rsid w:val="008213E6"/>
    <w:rsid w:val="008217CE"/>
    <w:rsid w:val="00821E73"/>
    <w:rsid w:val="008225D7"/>
    <w:rsid w:val="008229AB"/>
    <w:rsid w:val="00822C2A"/>
    <w:rsid w:val="0082301C"/>
    <w:rsid w:val="008238E8"/>
    <w:rsid w:val="00823C6D"/>
    <w:rsid w:val="00823E5D"/>
    <w:rsid w:val="008240EE"/>
    <w:rsid w:val="0082447E"/>
    <w:rsid w:val="00824686"/>
    <w:rsid w:val="0082469A"/>
    <w:rsid w:val="00824C53"/>
    <w:rsid w:val="0082508B"/>
    <w:rsid w:val="00825D4E"/>
    <w:rsid w:val="00825DD4"/>
    <w:rsid w:val="008260C8"/>
    <w:rsid w:val="00826785"/>
    <w:rsid w:val="00827267"/>
    <w:rsid w:val="008277C4"/>
    <w:rsid w:val="00827C13"/>
    <w:rsid w:val="00827D1A"/>
    <w:rsid w:val="00830180"/>
    <w:rsid w:val="008306BD"/>
    <w:rsid w:val="00830761"/>
    <w:rsid w:val="008308DE"/>
    <w:rsid w:val="0083099E"/>
    <w:rsid w:val="0083107A"/>
    <w:rsid w:val="008310CC"/>
    <w:rsid w:val="00831609"/>
    <w:rsid w:val="008319AB"/>
    <w:rsid w:val="00831A80"/>
    <w:rsid w:val="00831E19"/>
    <w:rsid w:val="00832095"/>
    <w:rsid w:val="00832297"/>
    <w:rsid w:val="00832321"/>
    <w:rsid w:val="008326DF"/>
    <w:rsid w:val="0083279C"/>
    <w:rsid w:val="008329DF"/>
    <w:rsid w:val="00832D8C"/>
    <w:rsid w:val="00833072"/>
    <w:rsid w:val="008332B8"/>
    <w:rsid w:val="00833420"/>
    <w:rsid w:val="008334CB"/>
    <w:rsid w:val="0083363E"/>
    <w:rsid w:val="00833743"/>
    <w:rsid w:val="00833AD7"/>
    <w:rsid w:val="008340A4"/>
    <w:rsid w:val="0083425B"/>
    <w:rsid w:val="0083448B"/>
    <w:rsid w:val="008347C4"/>
    <w:rsid w:val="00834A87"/>
    <w:rsid w:val="00834B16"/>
    <w:rsid w:val="0083501E"/>
    <w:rsid w:val="0083564F"/>
    <w:rsid w:val="008358A5"/>
    <w:rsid w:val="0083592F"/>
    <w:rsid w:val="00835B45"/>
    <w:rsid w:val="00835E5E"/>
    <w:rsid w:val="008361D2"/>
    <w:rsid w:val="00836738"/>
    <w:rsid w:val="00837599"/>
    <w:rsid w:val="0084050C"/>
    <w:rsid w:val="0084065A"/>
    <w:rsid w:val="0084081F"/>
    <w:rsid w:val="00841683"/>
    <w:rsid w:val="00841A7C"/>
    <w:rsid w:val="00841C89"/>
    <w:rsid w:val="00841DE9"/>
    <w:rsid w:val="00841F80"/>
    <w:rsid w:val="00841F8B"/>
    <w:rsid w:val="00842DDD"/>
    <w:rsid w:val="00842FD1"/>
    <w:rsid w:val="008435C2"/>
    <w:rsid w:val="00843630"/>
    <w:rsid w:val="00843661"/>
    <w:rsid w:val="00843804"/>
    <w:rsid w:val="00843884"/>
    <w:rsid w:val="008439BE"/>
    <w:rsid w:val="00843DBE"/>
    <w:rsid w:val="008440EC"/>
    <w:rsid w:val="0084433B"/>
    <w:rsid w:val="00844404"/>
    <w:rsid w:val="008448D7"/>
    <w:rsid w:val="008449C7"/>
    <w:rsid w:val="00844A3B"/>
    <w:rsid w:val="00844A64"/>
    <w:rsid w:val="00844C49"/>
    <w:rsid w:val="00844CD2"/>
    <w:rsid w:val="008458CF"/>
    <w:rsid w:val="00845C39"/>
    <w:rsid w:val="00845E91"/>
    <w:rsid w:val="00846722"/>
    <w:rsid w:val="00846B81"/>
    <w:rsid w:val="00847C1A"/>
    <w:rsid w:val="00847E2B"/>
    <w:rsid w:val="00850450"/>
    <w:rsid w:val="008506F0"/>
    <w:rsid w:val="00850803"/>
    <w:rsid w:val="00850C3E"/>
    <w:rsid w:val="00850F65"/>
    <w:rsid w:val="00851501"/>
    <w:rsid w:val="008517BA"/>
    <w:rsid w:val="008518BB"/>
    <w:rsid w:val="008519B8"/>
    <w:rsid w:val="00851AA1"/>
    <w:rsid w:val="00851BF1"/>
    <w:rsid w:val="00851EEF"/>
    <w:rsid w:val="008521A2"/>
    <w:rsid w:val="00852267"/>
    <w:rsid w:val="00852528"/>
    <w:rsid w:val="00852771"/>
    <w:rsid w:val="008527BF"/>
    <w:rsid w:val="00852946"/>
    <w:rsid w:val="00852B0C"/>
    <w:rsid w:val="00852B39"/>
    <w:rsid w:val="00852BD4"/>
    <w:rsid w:val="00852C37"/>
    <w:rsid w:val="00853081"/>
    <w:rsid w:val="0085309F"/>
    <w:rsid w:val="0085361D"/>
    <w:rsid w:val="00853D28"/>
    <w:rsid w:val="008552B2"/>
    <w:rsid w:val="008553D1"/>
    <w:rsid w:val="0085553A"/>
    <w:rsid w:val="0085571B"/>
    <w:rsid w:val="008559D9"/>
    <w:rsid w:val="00855B3F"/>
    <w:rsid w:val="00855F73"/>
    <w:rsid w:val="00856202"/>
    <w:rsid w:val="008562FD"/>
    <w:rsid w:val="00856A96"/>
    <w:rsid w:val="00856E1A"/>
    <w:rsid w:val="00856FE4"/>
    <w:rsid w:val="008572F5"/>
    <w:rsid w:val="00857535"/>
    <w:rsid w:val="008575AE"/>
    <w:rsid w:val="00857DDC"/>
    <w:rsid w:val="008600BA"/>
    <w:rsid w:val="00860117"/>
    <w:rsid w:val="00860188"/>
    <w:rsid w:val="0086074D"/>
    <w:rsid w:val="00860C73"/>
    <w:rsid w:val="00860FC8"/>
    <w:rsid w:val="0086103E"/>
    <w:rsid w:val="00861143"/>
    <w:rsid w:val="00861B7F"/>
    <w:rsid w:val="00861D19"/>
    <w:rsid w:val="00861E53"/>
    <w:rsid w:val="00862CCA"/>
    <w:rsid w:val="00862EE4"/>
    <w:rsid w:val="00862F07"/>
    <w:rsid w:val="0086348D"/>
    <w:rsid w:val="00863A3A"/>
    <w:rsid w:val="00863EB4"/>
    <w:rsid w:val="00864344"/>
    <w:rsid w:val="00864437"/>
    <w:rsid w:val="0086464B"/>
    <w:rsid w:val="00864815"/>
    <w:rsid w:val="00864896"/>
    <w:rsid w:val="0086515B"/>
    <w:rsid w:val="00865240"/>
    <w:rsid w:val="008652FA"/>
    <w:rsid w:val="00865430"/>
    <w:rsid w:val="008661A7"/>
    <w:rsid w:val="00866482"/>
    <w:rsid w:val="008664C3"/>
    <w:rsid w:val="008666B8"/>
    <w:rsid w:val="00866AB1"/>
    <w:rsid w:val="00866EE5"/>
    <w:rsid w:val="00867158"/>
    <w:rsid w:val="008672E7"/>
    <w:rsid w:val="00867E17"/>
    <w:rsid w:val="00870156"/>
    <w:rsid w:val="008702C7"/>
    <w:rsid w:val="0087041B"/>
    <w:rsid w:val="00870839"/>
    <w:rsid w:val="00870ADE"/>
    <w:rsid w:val="0087135F"/>
    <w:rsid w:val="00871947"/>
    <w:rsid w:val="00871D78"/>
    <w:rsid w:val="00871DDB"/>
    <w:rsid w:val="00872205"/>
    <w:rsid w:val="008722BC"/>
    <w:rsid w:val="00872504"/>
    <w:rsid w:val="00872774"/>
    <w:rsid w:val="008727E8"/>
    <w:rsid w:val="00872BAB"/>
    <w:rsid w:val="00872CAA"/>
    <w:rsid w:val="00872D94"/>
    <w:rsid w:val="00873C5C"/>
    <w:rsid w:val="00873CC8"/>
    <w:rsid w:val="00873E01"/>
    <w:rsid w:val="00873FC8"/>
    <w:rsid w:val="00874FE6"/>
    <w:rsid w:val="0087505E"/>
    <w:rsid w:val="008750BD"/>
    <w:rsid w:val="0087543F"/>
    <w:rsid w:val="008756CA"/>
    <w:rsid w:val="00875953"/>
    <w:rsid w:val="00875BF4"/>
    <w:rsid w:val="00875C78"/>
    <w:rsid w:val="00875CDC"/>
    <w:rsid w:val="00876272"/>
    <w:rsid w:val="008764A7"/>
    <w:rsid w:val="00876625"/>
    <w:rsid w:val="0087672A"/>
    <w:rsid w:val="00876869"/>
    <w:rsid w:val="0087699B"/>
    <w:rsid w:val="00876C14"/>
    <w:rsid w:val="00876F86"/>
    <w:rsid w:val="0087710C"/>
    <w:rsid w:val="00877336"/>
    <w:rsid w:val="00877CBF"/>
    <w:rsid w:val="00880364"/>
    <w:rsid w:val="0088062A"/>
    <w:rsid w:val="008807B9"/>
    <w:rsid w:val="008808DC"/>
    <w:rsid w:val="00880B83"/>
    <w:rsid w:val="00880D7A"/>
    <w:rsid w:val="00880F1E"/>
    <w:rsid w:val="00881195"/>
    <w:rsid w:val="00881324"/>
    <w:rsid w:val="00881960"/>
    <w:rsid w:val="00881EB2"/>
    <w:rsid w:val="00882533"/>
    <w:rsid w:val="0088277E"/>
    <w:rsid w:val="008835F2"/>
    <w:rsid w:val="00883831"/>
    <w:rsid w:val="00883C37"/>
    <w:rsid w:val="00883DBE"/>
    <w:rsid w:val="00883E81"/>
    <w:rsid w:val="00883ED7"/>
    <w:rsid w:val="008841F0"/>
    <w:rsid w:val="0088429B"/>
    <w:rsid w:val="008843A9"/>
    <w:rsid w:val="0088446E"/>
    <w:rsid w:val="008847CA"/>
    <w:rsid w:val="00884808"/>
    <w:rsid w:val="00884ACD"/>
    <w:rsid w:val="00885529"/>
    <w:rsid w:val="008862C3"/>
    <w:rsid w:val="0088649C"/>
    <w:rsid w:val="00886975"/>
    <w:rsid w:val="00886CEF"/>
    <w:rsid w:val="0088714B"/>
    <w:rsid w:val="00887789"/>
    <w:rsid w:val="00887967"/>
    <w:rsid w:val="00887AAB"/>
    <w:rsid w:val="00890350"/>
    <w:rsid w:val="008904CF"/>
    <w:rsid w:val="008905C6"/>
    <w:rsid w:val="0089066D"/>
    <w:rsid w:val="008907C2"/>
    <w:rsid w:val="00890971"/>
    <w:rsid w:val="00890C53"/>
    <w:rsid w:val="008910D4"/>
    <w:rsid w:val="00891592"/>
    <w:rsid w:val="00891AA0"/>
    <w:rsid w:val="00891D09"/>
    <w:rsid w:val="00891E6B"/>
    <w:rsid w:val="00891E7A"/>
    <w:rsid w:val="00891E9E"/>
    <w:rsid w:val="00891EC4"/>
    <w:rsid w:val="008923CD"/>
    <w:rsid w:val="008924AD"/>
    <w:rsid w:val="008924C4"/>
    <w:rsid w:val="008928C1"/>
    <w:rsid w:val="00892A19"/>
    <w:rsid w:val="00892A1D"/>
    <w:rsid w:val="00892B8F"/>
    <w:rsid w:val="00893289"/>
    <w:rsid w:val="00893A25"/>
    <w:rsid w:val="00893F7A"/>
    <w:rsid w:val="0089424D"/>
    <w:rsid w:val="00894E66"/>
    <w:rsid w:val="008952C6"/>
    <w:rsid w:val="008953FA"/>
    <w:rsid w:val="008955A2"/>
    <w:rsid w:val="00895694"/>
    <w:rsid w:val="008959AB"/>
    <w:rsid w:val="00895AF6"/>
    <w:rsid w:val="00895DA9"/>
    <w:rsid w:val="00895F33"/>
    <w:rsid w:val="008961AA"/>
    <w:rsid w:val="008961ED"/>
    <w:rsid w:val="008963F8"/>
    <w:rsid w:val="00896F8B"/>
    <w:rsid w:val="008974B2"/>
    <w:rsid w:val="0089773F"/>
    <w:rsid w:val="0089784A"/>
    <w:rsid w:val="00897894"/>
    <w:rsid w:val="008A01B3"/>
    <w:rsid w:val="008A06DB"/>
    <w:rsid w:val="008A0777"/>
    <w:rsid w:val="008A0893"/>
    <w:rsid w:val="008A0ACE"/>
    <w:rsid w:val="008A0B10"/>
    <w:rsid w:val="008A123F"/>
    <w:rsid w:val="008A127F"/>
    <w:rsid w:val="008A1647"/>
    <w:rsid w:val="008A1864"/>
    <w:rsid w:val="008A1C43"/>
    <w:rsid w:val="008A1D4D"/>
    <w:rsid w:val="008A205A"/>
    <w:rsid w:val="008A223E"/>
    <w:rsid w:val="008A22CE"/>
    <w:rsid w:val="008A247E"/>
    <w:rsid w:val="008A2683"/>
    <w:rsid w:val="008A26AE"/>
    <w:rsid w:val="008A27F0"/>
    <w:rsid w:val="008A2E16"/>
    <w:rsid w:val="008A2F68"/>
    <w:rsid w:val="008A339E"/>
    <w:rsid w:val="008A34AE"/>
    <w:rsid w:val="008A362D"/>
    <w:rsid w:val="008A38D4"/>
    <w:rsid w:val="008A3A0D"/>
    <w:rsid w:val="008A3DB2"/>
    <w:rsid w:val="008A3E03"/>
    <w:rsid w:val="008A41B6"/>
    <w:rsid w:val="008A4918"/>
    <w:rsid w:val="008A4954"/>
    <w:rsid w:val="008A4A76"/>
    <w:rsid w:val="008A4EBE"/>
    <w:rsid w:val="008A5321"/>
    <w:rsid w:val="008A5465"/>
    <w:rsid w:val="008A5D7C"/>
    <w:rsid w:val="008A6249"/>
    <w:rsid w:val="008A6270"/>
    <w:rsid w:val="008A659C"/>
    <w:rsid w:val="008A66A2"/>
    <w:rsid w:val="008A6778"/>
    <w:rsid w:val="008A6AC3"/>
    <w:rsid w:val="008A72E6"/>
    <w:rsid w:val="008A73E3"/>
    <w:rsid w:val="008A7503"/>
    <w:rsid w:val="008A781D"/>
    <w:rsid w:val="008A79A8"/>
    <w:rsid w:val="008B01A5"/>
    <w:rsid w:val="008B037C"/>
    <w:rsid w:val="008B05B8"/>
    <w:rsid w:val="008B078F"/>
    <w:rsid w:val="008B0C16"/>
    <w:rsid w:val="008B0F48"/>
    <w:rsid w:val="008B1D58"/>
    <w:rsid w:val="008B27EF"/>
    <w:rsid w:val="008B28F4"/>
    <w:rsid w:val="008B2B48"/>
    <w:rsid w:val="008B2B73"/>
    <w:rsid w:val="008B2C34"/>
    <w:rsid w:val="008B2CFF"/>
    <w:rsid w:val="008B2DEE"/>
    <w:rsid w:val="008B34CA"/>
    <w:rsid w:val="008B3504"/>
    <w:rsid w:val="008B35CF"/>
    <w:rsid w:val="008B3667"/>
    <w:rsid w:val="008B36DB"/>
    <w:rsid w:val="008B3AEB"/>
    <w:rsid w:val="008B3D25"/>
    <w:rsid w:val="008B3FC7"/>
    <w:rsid w:val="008B40ED"/>
    <w:rsid w:val="008B4184"/>
    <w:rsid w:val="008B42CE"/>
    <w:rsid w:val="008B454A"/>
    <w:rsid w:val="008B4C70"/>
    <w:rsid w:val="008B4FA6"/>
    <w:rsid w:val="008B5173"/>
    <w:rsid w:val="008B518D"/>
    <w:rsid w:val="008B5282"/>
    <w:rsid w:val="008B52A0"/>
    <w:rsid w:val="008B52E0"/>
    <w:rsid w:val="008B5719"/>
    <w:rsid w:val="008B58B7"/>
    <w:rsid w:val="008B5A32"/>
    <w:rsid w:val="008B5A58"/>
    <w:rsid w:val="008B5A72"/>
    <w:rsid w:val="008B5B0D"/>
    <w:rsid w:val="008B5F72"/>
    <w:rsid w:val="008B5F8C"/>
    <w:rsid w:val="008B60BB"/>
    <w:rsid w:val="008B699F"/>
    <w:rsid w:val="008B6A2F"/>
    <w:rsid w:val="008B6BF0"/>
    <w:rsid w:val="008B700E"/>
    <w:rsid w:val="008B7204"/>
    <w:rsid w:val="008B73DB"/>
    <w:rsid w:val="008B7448"/>
    <w:rsid w:val="008B7664"/>
    <w:rsid w:val="008B7794"/>
    <w:rsid w:val="008B7A31"/>
    <w:rsid w:val="008B7C17"/>
    <w:rsid w:val="008B7E48"/>
    <w:rsid w:val="008C0114"/>
    <w:rsid w:val="008C0274"/>
    <w:rsid w:val="008C04FD"/>
    <w:rsid w:val="008C0677"/>
    <w:rsid w:val="008C0F32"/>
    <w:rsid w:val="008C1074"/>
    <w:rsid w:val="008C1815"/>
    <w:rsid w:val="008C183A"/>
    <w:rsid w:val="008C1976"/>
    <w:rsid w:val="008C1A68"/>
    <w:rsid w:val="008C1FAC"/>
    <w:rsid w:val="008C1FDC"/>
    <w:rsid w:val="008C226D"/>
    <w:rsid w:val="008C239A"/>
    <w:rsid w:val="008C25C0"/>
    <w:rsid w:val="008C2771"/>
    <w:rsid w:val="008C2B8A"/>
    <w:rsid w:val="008C2C2D"/>
    <w:rsid w:val="008C2CA6"/>
    <w:rsid w:val="008C2CBF"/>
    <w:rsid w:val="008C2D01"/>
    <w:rsid w:val="008C325F"/>
    <w:rsid w:val="008C3471"/>
    <w:rsid w:val="008C3566"/>
    <w:rsid w:val="008C3DA9"/>
    <w:rsid w:val="008C3F4C"/>
    <w:rsid w:val="008C40E6"/>
    <w:rsid w:val="008C45FD"/>
    <w:rsid w:val="008C462A"/>
    <w:rsid w:val="008C4AED"/>
    <w:rsid w:val="008C4D4A"/>
    <w:rsid w:val="008C4E07"/>
    <w:rsid w:val="008C510B"/>
    <w:rsid w:val="008C5896"/>
    <w:rsid w:val="008C6447"/>
    <w:rsid w:val="008C6CD2"/>
    <w:rsid w:val="008C6D72"/>
    <w:rsid w:val="008C6DF1"/>
    <w:rsid w:val="008C7229"/>
    <w:rsid w:val="008C7524"/>
    <w:rsid w:val="008C7896"/>
    <w:rsid w:val="008D01BD"/>
    <w:rsid w:val="008D01FB"/>
    <w:rsid w:val="008D0239"/>
    <w:rsid w:val="008D030F"/>
    <w:rsid w:val="008D057E"/>
    <w:rsid w:val="008D0763"/>
    <w:rsid w:val="008D09EA"/>
    <w:rsid w:val="008D0F27"/>
    <w:rsid w:val="008D0F75"/>
    <w:rsid w:val="008D0F7A"/>
    <w:rsid w:val="008D1073"/>
    <w:rsid w:val="008D143D"/>
    <w:rsid w:val="008D1444"/>
    <w:rsid w:val="008D173E"/>
    <w:rsid w:val="008D1C0C"/>
    <w:rsid w:val="008D2061"/>
    <w:rsid w:val="008D23AF"/>
    <w:rsid w:val="008D26DD"/>
    <w:rsid w:val="008D29EC"/>
    <w:rsid w:val="008D2B9D"/>
    <w:rsid w:val="008D3023"/>
    <w:rsid w:val="008D30F0"/>
    <w:rsid w:val="008D3372"/>
    <w:rsid w:val="008D3556"/>
    <w:rsid w:val="008D3691"/>
    <w:rsid w:val="008D3BCB"/>
    <w:rsid w:val="008D4021"/>
    <w:rsid w:val="008D4488"/>
    <w:rsid w:val="008D452B"/>
    <w:rsid w:val="008D454B"/>
    <w:rsid w:val="008D4887"/>
    <w:rsid w:val="008D48E4"/>
    <w:rsid w:val="008D4C04"/>
    <w:rsid w:val="008D5100"/>
    <w:rsid w:val="008D52FA"/>
    <w:rsid w:val="008D58F4"/>
    <w:rsid w:val="008D5A32"/>
    <w:rsid w:val="008D5E48"/>
    <w:rsid w:val="008D5F43"/>
    <w:rsid w:val="008D636E"/>
    <w:rsid w:val="008D6778"/>
    <w:rsid w:val="008D68E4"/>
    <w:rsid w:val="008D6D04"/>
    <w:rsid w:val="008D6D7B"/>
    <w:rsid w:val="008D72AB"/>
    <w:rsid w:val="008D7363"/>
    <w:rsid w:val="008D7406"/>
    <w:rsid w:val="008D76D0"/>
    <w:rsid w:val="008D7CEA"/>
    <w:rsid w:val="008D7E68"/>
    <w:rsid w:val="008D7F55"/>
    <w:rsid w:val="008E0506"/>
    <w:rsid w:val="008E0902"/>
    <w:rsid w:val="008E0CFF"/>
    <w:rsid w:val="008E102C"/>
    <w:rsid w:val="008E118E"/>
    <w:rsid w:val="008E1400"/>
    <w:rsid w:val="008E148B"/>
    <w:rsid w:val="008E14B2"/>
    <w:rsid w:val="008E1C97"/>
    <w:rsid w:val="008E1F33"/>
    <w:rsid w:val="008E2C6B"/>
    <w:rsid w:val="008E3334"/>
    <w:rsid w:val="008E35A2"/>
    <w:rsid w:val="008E38C6"/>
    <w:rsid w:val="008E443F"/>
    <w:rsid w:val="008E4AC0"/>
    <w:rsid w:val="008E4C02"/>
    <w:rsid w:val="008E4D31"/>
    <w:rsid w:val="008E4F36"/>
    <w:rsid w:val="008E511E"/>
    <w:rsid w:val="008E56F8"/>
    <w:rsid w:val="008E5D6B"/>
    <w:rsid w:val="008E5DF2"/>
    <w:rsid w:val="008E5E85"/>
    <w:rsid w:val="008E60E8"/>
    <w:rsid w:val="008E624F"/>
    <w:rsid w:val="008E6D2A"/>
    <w:rsid w:val="008E6E31"/>
    <w:rsid w:val="008E73AE"/>
    <w:rsid w:val="008E7497"/>
    <w:rsid w:val="008E75F9"/>
    <w:rsid w:val="008E76F0"/>
    <w:rsid w:val="008E77CA"/>
    <w:rsid w:val="008F002C"/>
    <w:rsid w:val="008F01F6"/>
    <w:rsid w:val="008F05F8"/>
    <w:rsid w:val="008F05FF"/>
    <w:rsid w:val="008F06CB"/>
    <w:rsid w:val="008F0859"/>
    <w:rsid w:val="008F089D"/>
    <w:rsid w:val="008F0BA7"/>
    <w:rsid w:val="008F0CB5"/>
    <w:rsid w:val="008F0D83"/>
    <w:rsid w:val="008F1287"/>
    <w:rsid w:val="008F15FE"/>
    <w:rsid w:val="008F167A"/>
    <w:rsid w:val="008F1D40"/>
    <w:rsid w:val="008F1F23"/>
    <w:rsid w:val="008F22A8"/>
    <w:rsid w:val="008F273C"/>
    <w:rsid w:val="008F2769"/>
    <w:rsid w:val="008F2865"/>
    <w:rsid w:val="008F2C92"/>
    <w:rsid w:val="008F2CAE"/>
    <w:rsid w:val="008F2D29"/>
    <w:rsid w:val="008F2E9A"/>
    <w:rsid w:val="008F376E"/>
    <w:rsid w:val="008F3775"/>
    <w:rsid w:val="008F3E0F"/>
    <w:rsid w:val="008F3E55"/>
    <w:rsid w:val="008F3F0B"/>
    <w:rsid w:val="008F3F0D"/>
    <w:rsid w:val="008F4104"/>
    <w:rsid w:val="008F49D5"/>
    <w:rsid w:val="008F4BF4"/>
    <w:rsid w:val="008F4E1E"/>
    <w:rsid w:val="008F508E"/>
    <w:rsid w:val="008F50FE"/>
    <w:rsid w:val="008F5187"/>
    <w:rsid w:val="008F51CB"/>
    <w:rsid w:val="008F541D"/>
    <w:rsid w:val="008F550E"/>
    <w:rsid w:val="008F5C5E"/>
    <w:rsid w:val="008F5D5C"/>
    <w:rsid w:val="008F60D8"/>
    <w:rsid w:val="008F63E9"/>
    <w:rsid w:val="008F657A"/>
    <w:rsid w:val="008F6A0D"/>
    <w:rsid w:val="008F7041"/>
    <w:rsid w:val="008F7253"/>
    <w:rsid w:val="008F7497"/>
    <w:rsid w:val="008F7903"/>
    <w:rsid w:val="008F793B"/>
    <w:rsid w:val="008F7BD1"/>
    <w:rsid w:val="008F7F99"/>
    <w:rsid w:val="00900174"/>
    <w:rsid w:val="0090017E"/>
    <w:rsid w:val="0090038E"/>
    <w:rsid w:val="00900439"/>
    <w:rsid w:val="009004B0"/>
    <w:rsid w:val="009007F6"/>
    <w:rsid w:val="00900ADD"/>
    <w:rsid w:val="00901253"/>
    <w:rsid w:val="0090149F"/>
    <w:rsid w:val="0090151B"/>
    <w:rsid w:val="009016F4"/>
    <w:rsid w:val="0090178D"/>
    <w:rsid w:val="0090187D"/>
    <w:rsid w:val="00901D32"/>
    <w:rsid w:val="00901DDB"/>
    <w:rsid w:val="0090232C"/>
    <w:rsid w:val="00902727"/>
    <w:rsid w:val="0090312B"/>
    <w:rsid w:val="009031E8"/>
    <w:rsid w:val="00903383"/>
    <w:rsid w:val="0090343A"/>
    <w:rsid w:val="009039D5"/>
    <w:rsid w:val="00903C00"/>
    <w:rsid w:val="00903F24"/>
    <w:rsid w:val="009041E5"/>
    <w:rsid w:val="009042F0"/>
    <w:rsid w:val="0090499E"/>
    <w:rsid w:val="00904FB7"/>
    <w:rsid w:val="009058CA"/>
    <w:rsid w:val="009060AF"/>
    <w:rsid w:val="009061CC"/>
    <w:rsid w:val="009064D0"/>
    <w:rsid w:val="009068B5"/>
    <w:rsid w:val="00906CFB"/>
    <w:rsid w:val="00907348"/>
    <w:rsid w:val="00910317"/>
    <w:rsid w:val="00910B67"/>
    <w:rsid w:val="00910D74"/>
    <w:rsid w:val="00910DBB"/>
    <w:rsid w:val="00910E0C"/>
    <w:rsid w:val="0091107F"/>
    <w:rsid w:val="009110FF"/>
    <w:rsid w:val="00911447"/>
    <w:rsid w:val="009117DD"/>
    <w:rsid w:val="00911E0F"/>
    <w:rsid w:val="009124BB"/>
    <w:rsid w:val="009128AC"/>
    <w:rsid w:val="0091299D"/>
    <w:rsid w:val="00912C3A"/>
    <w:rsid w:val="0091344A"/>
    <w:rsid w:val="00913485"/>
    <w:rsid w:val="00913499"/>
    <w:rsid w:val="00913F1F"/>
    <w:rsid w:val="00914059"/>
    <w:rsid w:val="00914692"/>
    <w:rsid w:val="0091484E"/>
    <w:rsid w:val="00914AD7"/>
    <w:rsid w:val="00914F79"/>
    <w:rsid w:val="00915149"/>
    <w:rsid w:val="009152F2"/>
    <w:rsid w:val="009155F4"/>
    <w:rsid w:val="00915A1D"/>
    <w:rsid w:val="00915E12"/>
    <w:rsid w:val="0091613F"/>
    <w:rsid w:val="00916203"/>
    <w:rsid w:val="009165F4"/>
    <w:rsid w:val="00916BFC"/>
    <w:rsid w:val="00916CBA"/>
    <w:rsid w:val="0091736D"/>
    <w:rsid w:val="009178F1"/>
    <w:rsid w:val="0091797A"/>
    <w:rsid w:val="00920570"/>
    <w:rsid w:val="00920756"/>
    <w:rsid w:val="00920ABB"/>
    <w:rsid w:val="00920AC3"/>
    <w:rsid w:val="00920AED"/>
    <w:rsid w:val="00920B98"/>
    <w:rsid w:val="009211F8"/>
    <w:rsid w:val="00921335"/>
    <w:rsid w:val="0092167E"/>
    <w:rsid w:val="009218CB"/>
    <w:rsid w:val="009223C0"/>
    <w:rsid w:val="009224ED"/>
    <w:rsid w:val="0092279E"/>
    <w:rsid w:val="00922884"/>
    <w:rsid w:val="009229D7"/>
    <w:rsid w:val="00922ECB"/>
    <w:rsid w:val="00922ED3"/>
    <w:rsid w:val="00923138"/>
    <w:rsid w:val="009232E1"/>
    <w:rsid w:val="00923637"/>
    <w:rsid w:val="009237FB"/>
    <w:rsid w:val="00923B6E"/>
    <w:rsid w:val="009240EE"/>
    <w:rsid w:val="00924258"/>
    <w:rsid w:val="0092448F"/>
    <w:rsid w:val="0092466B"/>
    <w:rsid w:val="0092467B"/>
    <w:rsid w:val="009251B7"/>
    <w:rsid w:val="009251DA"/>
    <w:rsid w:val="00925227"/>
    <w:rsid w:val="00925689"/>
    <w:rsid w:val="00925CD3"/>
    <w:rsid w:val="00925D00"/>
    <w:rsid w:val="00926DF6"/>
    <w:rsid w:val="00927027"/>
    <w:rsid w:val="0092797D"/>
    <w:rsid w:val="0093037A"/>
    <w:rsid w:val="009304C0"/>
    <w:rsid w:val="009305C9"/>
    <w:rsid w:val="00930F4C"/>
    <w:rsid w:val="009310FB"/>
    <w:rsid w:val="009315F9"/>
    <w:rsid w:val="009319B0"/>
    <w:rsid w:val="009320A3"/>
    <w:rsid w:val="009324DC"/>
    <w:rsid w:val="009325FC"/>
    <w:rsid w:val="0093271C"/>
    <w:rsid w:val="00932DC0"/>
    <w:rsid w:val="00933002"/>
    <w:rsid w:val="00933491"/>
    <w:rsid w:val="009336BC"/>
    <w:rsid w:val="0093379D"/>
    <w:rsid w:val="00933D5C"/>
    <w:rsid w:val="0093462F"/>
    <w:rsid w:val="00934772"/>
    <w:rsid w:val="009349C0"/>
    <w:rsid w:val="00934AE9"/>
    <w:rsid w:val="00934D34"/>
    <w:rsid w:val="00935570"/>
    <w:rsid w:val="00936073"/>
    <w:rsid w:val="0093626A"/>
    <w:rsid w:val="00936630"/>
    <w:rsid w:val="00936E62"/>
    <w:rsid w:val="00937118"/>
    <w:rsid w:val="00937493"/>
    <w:rsid w:val="00937496"/>
    <w:rsid w:val="009378E2"/>
    <w:rsid w:val="00937E08"/>
    <w:rsid w:val="00937E1E"/>
    <w:rsid w:val="009401E6"/>
    <w:rsid w:val="00940398"/>
    <w:rsid w:val="009407D1"/>
    <w:rsid w:val="009408BD"/>
    <w:rsid w:val="00940BC6"/>
    <w:rsid w:val="0094154D"/>
    <w:rsid w:val="00941F0A"/>
    <w:rsid w:val="00941F3A"/>
    <w:rsid w:val="00941FDE"/>
    <w:rsid w:val="009425E4"/>
    <w:rsid w:val="00942688"/>
    <w:rsid w:val="00942699"/>
    <w:rsid w:val="00942B8C"/>
    <w:rsid w:val="00942E4A"/>
    <w:rsid w:val="00943814"/>
    <w:rsid w:val="009438B5"/>
    <w:rsid w:val="0094395B"/>
    <w:rsid w:val="00943B9E"/>
    <w:rsid w:val="00943BA9"/>
    <w:rsid w:val="00943DEA"/>
    <w:rsid w:val="009443F9"/>
    <w:rsid w:val="009447A9"/>
    <w:rsid w:val="00944AA5"/>
    <w:rsid w:val="00944CF2"/>
    <w:rsid w:val="00944F07"/>
    <w:rsid w:val="00945200"/>
    <w:rsid w:val="00945349"/>
    <w:rsid w:val="009454F6"/>
    <w:rsid w:val="00945553"/>
    <w:rsid w:val="009456FE"/>
    <w:rsid w:val="0094573B"/>
    <w:rsid w:val="009457AF"/>
    <w:rsid w:val="00945934"/>
    <w:rsid w:val="00945CC4"/>
    <w:rsid w:val="00945F70"/>
    <w:rsid w:val="009462A1"/>
    <w:rsid w:val="00946A4C"/>
    <w:rsid w:val="00946C72"/>
    <w:rsid w:val="00947410"/>
    <w:rsid w:val="0094749C"/>
    <w:rsid w:val="00947B53"/>
    <w:rsid w:val="00947F03"/>
    <w:rsid w:val="0095067D"/>
    <w:rsid w:val="009507FB"/>
    <w:rsid w:val="00950A20"/>
    <w:rsid w:val="00950D2B"/>
    <w:rsid w:val="009511BF"/>
    <w:rsid w:val="009512F4"/>
    <w:rsid w:val="0095155F"/>
    <w:rsid w:val="00951606"/>
    <w:rsid w:val="00951685"/>
    <w:rsid w:val="00951978"/>
    <w:rsid w:val="00951BE2"/>
    <w:rsid w:val="00951F78"/>
    <w:rsid w:val="0095236D"/>
    <w:rsid w:val="009523BF"/>
    <w:rsid w:val="00952452"/>
    <w:rsid w:val="00952A51"/>
    <w:rsid w:val="00952A7D"/>
    <w:rsid w:val="00952D63"/>
    <w:rsid w:val="00952E3D"/>
    <w:rsid w:val="00952E95"/>
    <w:rsid w:val="00952FD3"/>
    <w:rsid w:val="009535DD"/>
    <w:rsid w:val="00953C69"/>
    <w:rsid w:val="00953CFB"/>
    <w:rsid w:val="00953EC4"/>
    <w:rsid w:val="0095420E"/>
    <w:rsid w:val="00954429"/>
    <w:rsid w:val="00954CB6"/>
    <w:rsid w:val="00955006"/>
    <w:rsid w:val="009560ED"/>
    <w:rsid w:val="00956162"/>
    <w:rsid w:val="009563CE"/>
    <w:rsid w:val="009567EB"/>
    <w:rsid w:val="009569E0"/>
    <w:rsid w:val="00956C68"/>
    <w:rsid w:val="009574D4"/>
    <w:rsid w:val="0095797D"/>
    <w:rsid w:val="009579F7"/>
    <w:rsid w:val="00957A8E"/>
    <w:rsid w:val="00960034"/>
    <w:rsid w:val="00960984"/>
    <w:rsid w:val="009611D7"/>
    <w:rsid w:val="009615A7"/>
    <w:rsid w:val="00961985"/>
    <w:rsid w:val="009619C2"/>
    <w:rsid w:val="00962BB6"/>
    <w:rsid w:val="00962FEE"/>
    <w:rsid w:val="00963873"/>
    <w:rsid w:val="00963B1C"/>
    <w:rsid w:val="009641E6"/>
    <w:rsid w:val="00964276"/>
    <w:rsid w:val="009645AF"/>
    <w:rsid w:val="00964A06"/>
    <w:rsid w:val="00964AF9"/>
    <w:rsid w:val="00964BB3"/>
    <w:rsid w:val="00964D73"/>
    <w:rsid w:val="009659BE"/>
    <w:rsid w:val="00965CAD"/>
    <w:rsid w:val="00965EED"/>
    <w:rsid w:val="00965F6A"/>
    <w:rsid w:val="009660BE"/>
    <w:rsid w:val="0096611B"/>
    <w:rsid w:val="00966177"/>
    <w:rsid w:val="00966319"/>
    <w:rsid w:val="0096654B"/>
    <w:rsid w:val="00966861"/>
    <w:rsid w:val="00966BE3"/>
    <w:rsid w:val="00967923"/>
    <w:rsid w:val="00967C08"/>
    <w:rsid w:val="00970209"/>
    <w:rsid w:val="00970B86"/>
    <w:rsid w:val="00970D18"/>
    <w:rsid w:val="00971377"/>
    <w:rsid w:val="0097174B"/>
    <w:rsid w:val="009718E4"/>
    <w:rsid w:val="00971D5B"/>
    <w:rsid w:val="009732E3"/>
    <w:rsid w:val="009739BF"/>
    <w:rsid w:val="00973AA6"/>
    <w:rsid w:val="00973AF2"/>
    <w:rsid w:val="00973E32"/>
    <w:rsid w:val="00974288"/>
    <w:rsid w:val="00974423"/>
    <w:rsid w:val="00974A09"/>
    <w:rsid w:val="00974B5E"/>
    <w:rsid w:val="00974D0B"/>
    <w:rsid w:val="00975A33"/>
    <w:rsid w:val="00975CB0"/>
    <w:rsid w:val="009762A7"/>
    <w:rsid w:val="00976328"/>
    <w:rsid w:val="009767DF"/>
    <w:rsid w:val="009767F5"/>
    <w:rsid w:val="0097680D"/>
    <w:rsid w:val="00976810"/>
    <w:rsid w:val="00976848"/>
    <w:rsid w:val="00976C62"/>
    <w:rsid w:val="00976D62"/>
    <w:rsid w:val="00976FA9"/>
    <w:rsid w:val="00977031"/>
    <w:rsid w:val="00977271"/>
    <w:rsid w:val="00977439"/>
    <w:rsid w:val="0097748F"/>
    <w:rsid w:val="009774CB"/>
    <w:rsid w:val="009774DF"/>
    <w:rsid w:val="009777FE"/>
    <w:rsid w:val="009778AE"/>
    <w:rsid w:val="00977A93"/>
    <w:rsid w:val="00977B51"/>
    <w:rsid w:val="00977EA8"/>
    <w:rsid w:val="00977EE0"/>
    <w:rsid w:val="009802BE"/>
    <w:rsid w:val="0098047C"/>
    <w:rsid w:val="00980675"/>
    <w:rsid w:val="00980805"/>
    <w:rsid w:val="00980832"/>
    <w:rsid w:val="00980F5D"/>
    <w:rsid w:val="0098115D"/>
    <w:rsid w:val="009818DE"/>
    <w:rsid w:val="00981D8F"/>
    <w:rsid w:val="00982014"/>
    <w:rsid w:val="00982219"/>
    <w:rsid w:val="009823E6"/>
    <w:rsid w:val="00982438"/>
    <w:rsid w:val="00982AD5"/>
    <w:rsid w:val="00983340"/>
    <w:rsid w:val="0098340F"/>
    <w:rsid w:val="009834A0"/>
    <w:rsid w:val="00983931"/>
    <w:rsid w:val="00983AC6"/>
    <w:rsid w:val="00983BD0"/>
    <w:rsid w:val="0098404C"/>
    <w:rsid w:val="009844AC"/>
    <w:rsid w:val="00984B38"/>
    <w:rsid w:val="00985283"/>
    <w:rsid w:val="0098583D"/>
    <w:rsid w:val="009859A0"/>
    <w:rsid w:val="00985AA9"/>
    <w:rsid w:val="00985CE2"/>
    <w:rsid w:val="00986117"/>
    <w:rsid w:val="00986882"/>
    <w:rsid w:val="009869BC"/>
    <w:rsid w:val="009869C4"/>
    <w:rsid w:val="00986A25"/>
    <w:rsid w:val="00986CFF"/>
    <w:rsid w:val="009879D4"/>
    <w:rsid w:val="00990092"/>
    <w:rsid w:val="009900B0"/>
    <w:rsid w:val="00990204"/>
    <w:rsid w:val="009904C4"/>
    <w:rsid w:val="0099064F"/>
    <w:rsid w:val="009906C6"/>
    <w:rsid w:val="00990CC5"/>
    <w:rsid w:val="00990F8E"/>
    <w:rsid w:val="0099125F"/>
    <w:rsid w:val="0099129E"/>
    <w:rsid w:val="009914A6"/>
    <w:rsid w:val="00991588"/>
    <w:rsid w:val="009916D2"/>
    <w:rsid w:val="009919FE"/>
    <w:rsid w:val="00991A1B"/>
    <w:rsid w:val="00991A2B"/>
    <w:rsid w:val="00992AA8"/>
    <w:rsid w:val="00992EC7"/>
    <w:rsid w:val="00993640"/>
    <w:rsid w:val="00993735"/>
    <w:rsid w:val="009939CD"/>
    <w:rsid w:val="00993AC5"/>
    <w:rsid w:val="00993B0A"/>
    <w:rsid w:val="00993CA2"/>
    <w:rsid w:val="009944B7"/>
    <w:rsid w:val="009947C7"/>
    <w:rsid w:val="00994BF2"/>
    <w:rsid w:val="00994C66"/>
    <w:rsid w:val="00995302"/>
    <w:rsid w:val="009954A3"/>
    <w:rsid w:val="009956E8"/>
    <w:rsid w:val="00995835"/>
    <w:rsid w:val="00995992"/>
    <w:rsid w:val="009959A8"/>
    <w:rsid w:val="00995B83"/>
    <w:rsid w:val="00995CB4"/>
    <w:rsid w:val="00995EF0"/>
    <w:rsid w:val="009960AF"/>
    <w:rsid w:val="00996409"/>
    <w:rsid w:val="00996491"/>
    <w:rsid w:val="00996850"/>
    <w:rsid w:val="009969E0"/>
    <w:rsid w:val="009970AA"/>
    <w:rsid w:val="009970C0"/>
    <w:rsid w:val="00997149"/>
    <w:rsid w:val="00997968"/>
    <w:rsid w:val="009979FE"/>
    <w:rsid w:val="00997A0F"/>
    <w:rsid w:val="009A003D"/>
    <w:rsid w:val="009A0086"/>
    <w:rsid w:val="009A010F"/>
    <w:rsid w:val="009A03E5"/>
    <w:rsid w:val="009A0772"/>
    <w:rsid w:val="009A081B"/>
    <w:rsid w:val="009A0F3B"/>
    <w:rsid w:val="009A0FA7"/>
    <w:rsid w:val="009A1006"/>
    <w:rsid w:val="009A100C"/>
    <w:rsid w:val="009A108E"/>
    <w:rsid w:val="009A1B2D"/>
    <w:rsid w:val="009A1BB4"/>
    <w:rsid w:val="009A1D05"/>
    <w:rsid w:val="009A1E93"/>
    <w:rsid w:val="009A2628"/>
    <w:rsid w:val="009A284F"/>
    <w:rsid w:val="009A2930"/>
    <w:rsid w:val="009A296C"/>
    <w:rsid w:val="009A299F"/>
    <w:rsid w:val="009A2A4F"/>
    <w:rsid w:val="009A2B46"/>
    <w:rsid w:val="009A2C42"/>
    <w:rsid w:val="009A3200"/>
    <w:rsid w:val="009A3340"/>
    <w:rsid w:val="009A3AA3"/>
    <w:rsid w:val="009A3CA0"/>
    <w:rsid w:val="009A43CB"/>
    <w:rsid w:val="009A4AD0"/>
    <w:rsid w:val="009A4B25"/>
    <w:rsid w:val="009A4C87"/>
    <w:rsid w:val="009A4EBD"/>
    <w:rsid w:val="009A52AB"/>
    <w:rsid w:val="009A5468"/>
    <w:rsid w:val="009A569C"/>
    <w:rsid w:val="009A56BF"/>
    <w:rsid w:val="009A6072"/>
    <w:rsid w:val="009A607F"/>
    <w:rsid w:val="009A64CB"/>
    <w:rsid w:val="009A6625"/>
    <w:rsid w:val="009A6729"/>
    <w:rsid w:val="009A6775"/>
    <w:rsid w:val="009A67DF"/>
    <w:rsid w:val="009A6910"/>
    <w:rsid w:val="009A6C4E"/>
    <w:rsid w:val="009A6CB1"/>
    <w:rsid w:val="009A6E1E"/>
    <w:rsid w:val="009A7203"/>
    <w:rsid w:val="009A73AC"/>
    <w:rsid w:val="009A7675"/>
    <w:rsid w:val="009A7957"/>
    <w:rsid w:val="009B07EB"/>
    <w:rsid w:val="009B0897"/>
    <w:rsid w:val="009B0BA1"/>
    <w:rsid w:val="009B180F"/>
    <w:rsid w:val="009B1B11"/>
    <w:rsid w:val="009B1C06"/>
    <w:rsid w:val="009B22C8"/>
    <w:rsid w:val="009B288A"/>
    <w:rsid w:val="009B28BF"/>
    <w:rsid w:val="009B29B9"/>
    <w:rsid w:val="009B29BA"/>
    <w:rsid w:val="009B2AF1"/>
    <w:rsid w:val="009B2B80"/>
    <w:rsid w:val="009B2C0D"/>
    <w:rsid w:val="009B2F67"/>
    <w:rsid w:val="009B3326"/>
    <w:rsid w:val="009B34C5"/>
    <w:rsid w:val="009B36E8"/>
    <w:rsid w:val="009B3726"/>
    <w:rsid w:val="009B37C2"/>
    <w:rsid w:val="009B38CE"/>
    <w:rsid w:val="009B3A2A"/>
    <w:rsid w:val="009B3AFF"/>
    <w:rsid w:val="009B3CEA"/>
    <w:rsid w:val="009B3F2A"/>
    <w:rsid w:val="009B4166"/>
    <w:rsid w:val="009B41E7"/>
    <w:rsid w:val="009B4477"/>
    <w:rsid w:val="009B4696"/>
    <w:rsid w:val="009B49A1"/>
    <w:rsid w:val="009B4AE8"/>
    <w:rsid w:val="009B4EF1"/>
    <w:rsid w:val="009B5923"/>
    <w:rsid w:val="009B5AC0"/>
    <w:rsid w:val="009B5D10"/>
    <w:rsid w:val="009B5E7C"/>
    <w:rsid w:val="009B623C"/>
    <w:rsid w:val="009B63F6"/>
    <w:rsid w:val="009B6544"/>
    <w:rsid w:val="009B66D8"/>
    <w:rsid w:val="009B6CD3"/>
    <w:rsid w:val="009B6F4D"/>
    <w:rsid w:val="009B78A8"/>
    <w:rsid w:val="009B7B58"/>
    <w:rsid w:val="009B7BD9"/>
    <w:rsid w:val="009B7D39"/>
    <w:rsid w:val="009C0048"/>
    <w:rsid w:val="009C01A5"/>
    <w:rsid w:val="009C04C6"/>
    <w:rsid w:val="009C0B93"/>
    <w:rsid w:val="009C0CF9"/>
    <w:rsid w:val="009C0DF6"/>
    <w:rsid w:val="009C0E3B"/>
    <w:rsid w:val="009C1106"/>
    <w:rsid w:val="009C1358"/>
    <w:rsid w:val="009C141B"/>
    <w:rsid w:val="009C1720"/>
    <w:rsid w:val="009C1C71"/>
    <w:rsid w:val="009C225F"/>
    <w:rsid w:val="009C231F"/>
    <w:rsid w:val="009C294D"/>
    <w:rsid w:val="009C2E0A"/>
    <w:rsid w:val="009C2EC1"/>
    <w:rsid w:val="009C2EDD"/>
    <w:rsid w:val="009C3046"/>
    <w:rsid w:val="009C305C"/>
    <w:rsid w:val="009C3074"/>
    <w:rsid w:val="009C3361"/>
    <w:rsid w:val="009C3898"/>
    <w:rsid w:val="009C399A"/>
    <w:rsid w:val="009C3CDC"/>
    <w:rsid w:val="009C3D89"/>
    <w:rsid w:val="009C3E7E"/>
    <w:rsid w:val="009C4002"/>
    <w:rsid w:val="009C4119"/>
    <w:rsid w:val="009C44B7"/>
    <w:rsid w:val="009C49EB"/>
    <w:rsid w:val="009C4BA3"/>
    <w:rsid w:val="009C5209"/>
    <w:rsid w:val="009C5A87"/>
    <w:rsid w:val="009C5B07"/>
    <w:rsid w:val="009C5C8E"/>
    <w:rsid w:val="009C6001"/>
    <w:rsid w:val="009C6339"/>
    <w:rsid w:val="009C6480"/>
    <w:rsid w:val="009C696B"/>
    <w:rsid w:val="009C6B75"/>
    <w:rsid w:val="009C6BD2"/>
    <w:rsid w:val="009C6CE7"/>
    <w:rsid w:val="009C740E"/>
    <w:rsid w:val="009C7585"/>
    <w:rsid w:val="009C7607"/>
    <w:rsid w:val="009C777B"/>
    <w:rsid w:val="009C7BE4"/>
    <w:rsid w:val="009C7D9B"/>
    <w:rsid w:val="009C7DD5"/>
    <w:rsid w:val="009D0089"/>
    <w:rsid w:val="009D07CF"/>
    <w:rsid w:val="009D0949"/>
    <w:rsid w:val="009D0B70"/>
    <w:rsid w:val="009D0F59"/>
    <w:rsid w:val="009D1027"/>
    <w:rsid w:val="009D1039"/>
    <w:rsid w:val="009D1176"/>
    <w:rsid w:val="009D13EF"/>
    <w:rsid w:val="009D1883"/>
    <w:rsid w:val="009D1CBC"/>
    <w:rsid w:val="009D1E0C"/>
    <w:rsid w:val="009D2690"/>
    <w:rsid w:val="009D27A4"/>
    <w:rsid w:val="009D2DFE"/>
    <w:rsid w:val="009D302A"/>
    <w:rsid w:val="009D33B1"/>
    <w:rsid w:val="009D34CC"/>
    <w:rsid w:val="009D3563"/>
    <w:rsid w:val="009D3869"/>
    <w:rsid w:val="009D3E38"/>
    <w:rsid w:val="009D3F40"/>
    <w:rsid w:val="009D3F47"/>
    <w:rsid w:val="009D4407"/>
    <w:rsid w:val="009D45DC"/>
    <w:rsid w:val="009D4CF5"/>
    <w:rsid w:val="009D514E"/>
    <w:rsid w:val="009D5170"/>
    <w:rsid w:val="009D54DF"/>
    <w:rsid w:val="009D5E91"/>
    <w:rsid w:val="009D6065"/>
    <w:rsid w:val="009D6150"/>
    <w:rsid w:val="009D61EF"/>
    <w:rsid w:val="009D65F5"/>
    <w:rsid w:val="009D6DE3"/>
    <w:rsid w:val="009D7441"/>
    <w:rsid w:val="009D7474"/>
    <w:rsid w:val="009D7B61"/>
    <w:rsid w:val="009D7C14"/>
    <w:rsid w:val="009D7C1C"/>
    <w:rsid w:val="009D7FC1"/>
    <w:rsid w:val="009E01B7"/>
    <w:rsid w:val="009E0579"/>
    <w:rsid w:val="009E05CE"/>
    <w:rsid w:val="009E0C5E"/>
    <w:rsid w:val="009E1312"/>
    <w:rsid w:val="009E19A7"/>
    <w:rsid w:val="009E1C26"/>
    <w:rsid w:val="009E1C5F"/>
    <w:rsid w:val="009E1D84"/>
    <w:rsid w:val="009E1E58"/>
    <w:rsid w:val="009E227D"/>
    <w:rsid w:val="009E2604"/>
    <w:rsid w:val="009E2745"/>
    <w:rsid w:val="009E28C1"/>
    <w:rsid w:val="009E2901"/>
    <w:rsid w:val="009E2A27"/>
    <w:rsid w:val="009E2CF4"/>
    <w:rsid w:val="009E2EFD"/>
    <w:rsid w:val="009E312F"/>
    <w:rsid w:val="009E3665"/>
    <w:rsid w:val="009E38E1"/>
    <w:rsid w:val="009E3AF2"/>
    <w:rsid w:val="009E3C02"/>
    <w:rsid w:val="009E3D81"/>
    <w:rsid w:val="009E41BC"/>
    <w:rsid w:val="009E4232"/>
    <w:rsid w:val="009E4A00"/>
    <w:rsid w:val="009E4A94"/>
    <w:rsid w:val="009E5019"/>
    <w:rsid w:val="009E544D"/>
    <w:rsid w:val="009E57FF"/>
    <w:rsid w:val="009E5941"/>
    <w:rsid w:val="009E598B"/>
    <w:rsid w:val="009E5D6C"/>
    <w:rsid w:val="009E61A4"/>
    <w:rsid w:val="009E7141"/>
    <w:rsid w:val="009E7F2D"/>
    <w:rsid w:val="009F034C"/>
    <w:rsid w:val="009F03B2"/>
    <w:rsid w:val="009F0AA5"/>
    <w:rsid w:val="009F0AE4"/>
    <w:rsid w:val="009F1144"/>
    <w:rsid w:val="009F18A9"/>
    <w:rsid w:val="009F1B38"/>
    <w:rsid w:val="009F1D38"/>
    <w:rsid w:val="009F1DAE"/>
    <w:rsid w:val="009F1E78"/>
    <w:rsid w:val="009F1F14"/>
    <w:rsid w:val="009F209E"/>
    <w:rsid w:val="009F2B9B"/>
    <w:rsid w:val="009F2C23"/>
    <w:rsid w:val="009F2ECF"/>
    <w:rsid w:val="009F373E"/>
    <w:rsid w:val="009F38AC"/>
    <w:rsid w:val="009F39A3"/>
    <w:rsid w:val="009F39B2"/>
    <w:rsid w:val="009F3F87"/>
    <w:rsid w:val="009F416E"/>
    <w:rsid w:val="009F4A83"/>
    <w:rsid w:val="009F4CF0"/>
    <w:rsid w:val="009F4EFC"/>
    <w:rsid w:val="009F52A4"/>
    <w:rsid w:val="009F54E7"/>
    <w:rsid w:val="009F55C9"/>
    <w:rsid w:val="009F59CC"/>
    <w:rsid w:val="009F5B21"/>
    <w:rsid w:val="009F5DAE"/>
    <w:rsid w:val="009F5FF1"/>
    <w:rsid w:val="009F620B"/>
    <w:rsid w:val="009F6223"/>
    <w:rsid w:val="009F64F7"/>
    <w:rsid w:val="009F6818"/>
    <w:rsid w:val="009F68DC"/>
    <w:rsid w:val="009F6D08"/>
    <w:rsid w:val="009F6DAB"/>
    <w:rsid w:val="009F6EF9"/>
    <w:rsid w:val="009F7283"/>
    <w:rsid w:val="009F7391"/>
    <w:rsid w:val="009F7588"/>
    <w:rsid w:val="009F75A0"/>
    <w:rsid w:val="009F7BEC"/>
    <w:rsid w:val="00A00068"/>
    <w:rsid w:val="00A00465"/>
    <w:rsid w:val="00A00664"/>
    <w:rsid w:val="00A00E63"/>
    <w:rsid w:val="00A013F3"/>
    <w:rsid w:val="00A01693"/>
    <w:rsid w:val="00A01D27"/>
    <w:rsid w:val="00A02260"/>
    <w:rsid w:val="00A02301"/>
    <w:rsid w:val="00A024C1"/>
    <w:rsid w:val="00A02567"/>
    <w:rsid w:val="00A02E84"/>
    <w:rsid w:val="00A03641"/>
    <w:rsid w:val="00A038E5"/>
    <w:rsid w:val="00A03B60"/>
    <w:rsid w:val="00A03EF6"/>
    <w:rsid w:val="00A03F43"/>
    <w:rsid w:val="00A04174"/>
    <w:rsid w:val="00A04205"/>
    <w:rsid w:val="00A048EC"/>
    <w:rsid w:val="00A04A48"/>
    <w:rsid w:val="00A04B58"/>
    <w:rsid w:val="00A04F1B"/>
    <w:rsid w:val="00A0501B"/>
    <w:rsid w:val="00A0555D"/>
    <w:rsid w:val="00A055EC"/>
    <w:rsid w:val="00A056AD"/>
    <w:rsid w:val="00A063A0"/>
    <w:rsid w:val="00A0643D"/>
    <w:rsid w:val="00A065BA"/>
    <w:rsid w:val="00A06875"/>
    <w:rsid w:val="00A06958"/>
    <w:rsid w:val="00A06987"/>
    <w:rsid w:val="00A06DBC"/>
    <w:rsid w:val="00A06EF9"/>
    <w:rsid w:val="00A0759E"/>
    <w:rsid w:val="00A0768C"/>
    <w:rsid w:val="00A078D6"/>
    <w:rsid w:val="00A079FC"/>
    <w:rsid w:val="00A07C7E"/>
    <w:rsid w:val="00A07FA2"/>
    <w:rsid w:val="00A10221"/>
    <w:rsid w:val="00A10335"/>
    <w:rsid w:val="00A11075"/>
    <w:rsid w:val="00A11194"/>
    <w:rsid w:val="00A11243"/>
    <w:rsid w:val="00A11793"/>
    <w:rsid w:val="00A11832"/>
    <w:rsid w:val="00A12506"/>
    <w:rsid w:val="00A1252F"/>
    <w:rsid w:val="00A126BB"/>
    <w:rsid w:val="00A12B85"/>
    <w:rsid w:val="00A12C05"/>
    <w:rsid w:val="00A12CC3"/>
    <w:rsid w:val="00A12F29"/>
    <w:rsid w:val="00A13071"/>
    <w:rsid w:val="00A13F93"/>
    <w:rsid w:val="00A14574"/>
    <w:rsid w:val="00A148B4"/>
    <w:rsid w:val="00A14947"/>
    <w:rsid w:val="00A15475"/>
    <w:rsid w:val="00A15547"/>
    <w:rsid w:val="00A1578A"/>
    <w:rsid w:val="00A15FC7"/>
    <w:rsid w:val="00A16566"/>
    <w:rsid w:val="00A16572"/>
    <w:rsid w:val="00A16730"/>
    <w:rsid w:val="00A16968"/>
    <w:rsid w:val="00A171AD"/>
    <w:rsid w:val="00A174BA"/>
    <w:rsid w:val="00A17671"/>
    <w:rsid w:val="00A17844"/>
    <w:rsid w:val="00A17A85"/>
    <w:rsid w:val="00A17AC9"/>
    <w:rsid w:val="00A17C21"/>
    <w:rsid w:val="00A17C4E"/>
    <w:rsid w:val="00A20176"/>
    <w:rsid w:val="00A20374"/>
    <w:rsid w:val="00A2056D"/>
    <w:rsid w:val="00A20585"/>
    <w:rsid w:val="00A20882"/>
    <w:rsid w:val="00A209B4"/>
    <w:rsid w:val="00A20D1A"/>
    <w:rsid w:val="00A21CFE"/>
    <w:rsid w:val="00A21EF9"/>
    <w:rsid w:val="00A22108"/>
    <w:rsid w:val="00A2242B"/>
    <w:rsid w:val="00A22513"/>
    <w:rsid w:val="00A22585"/>
    <w:rsid w:val="00A22757"/>
    <w:rsid w:val="00A228C4"/>
    <w:rsid w:val="00A229EC"/>
    <w:rsid w:val="00A22EA5"/>
    <w:rsid w:val="00A22F73"/>
    <w:rsid w:val="00A22FE8"/>
    <w:rsid w:val="00A23864"/>
    <w:rsid w:val="00A23881"/>
    <w:rsid w:val="00A239C7"/>
    <w:rsid w:val="00A23E33"/>
    <w:rsid w:val="00A2404B"/>
    <w:rsid w:val="00A2438D"/>
    <w:rsid w:val="00A247B4"/>
    <w:rsid w:val="00A24A93"/>
    <w:rsid w:val="00A24C74"/>
    <w:rsid w:val="00A24CFE"/>
    <w:rsid w:val="00A24D0C"/>
    <w:rsid w:val="00A25449"/>
    <w:rsid w:val="00A255FD"/>
    <w:rsid w:val="00A257EF"/>
    <w:rsid w:val="00A25ABE"/>
    <w:rsid w:val="00A263CE"/>
    <w:rsid w:val="00A268CE"/>
    <w:rsid w:val="00A26BB1"/>
    <w:rsid w:val="00A26D52"/>
    <w:rsid w:val="00A276E2"/>
    <w:rsid w:val="00A27C55"/>
    <w:rsid w:val="00A3044A"/>
    <w:rsid w:val="00A30E8B"/>
    <w:rsid w:val="00A31433"/>
    <w:rsid w:val="00A3160C"/>
    <w:rsid w:val="00A31F23"/>
    <w:rsid w:val="00A32147"/>
    <w:rsid w:val="00A323E0"/>
    <w:rsid w:val="00A32424"/>
    <w:rsid w:val="00A324D1"/>
    <w:rsid w:val="00A3296E"/>
    <w:rsid w:val="00A32A83"/>
    <w:rsid w:val="00A32B01"/>
    <w:rsid w:val="00A338E8"/>
    <w:rsid w:val="00A33DFF"/>
    <w:rsid w:val="00A33EC9"/>
    <w:rsid w:val="00A34015"/>
    <w:rsid w:val="00A346C6"/>
    <w:rsid w:val="00A3475B"/>
    <w:rsid w:val="00A34CA4"/>
    <w:rsid w:val="00A34DC5"/>
    <w:rsid w:val="00A34EC1"/>
    <w:rsid w:val="00A351C6"/>
    <w:rsid w:val="00A354F9"/>
    <w:rsid w:val="00A358D9"/>
    <w:rsid w:val="00A35CF2"/>
    <w:rsid w:val="00A35D08"/>
    <w:rsid w:val="00A35E89"/>
    <w:rsid w:val="00A36014"/>
    <w:rsid w:val="00A36324"/>
    <w:rsid w:val="00A368DB"/>
    <w:rsid w:val="00A36C69"/>
    <w:rsid w:val="00A37423"/>
    <w:rsid w:val="00A3747F"/>
    <w:rsid w:val="00A37616"/>
    <w:rsid w:val="00A37ABF"/>
    <w:rsid w:val="00A37F5A"/>
    <w:rsid w:val="00A37F71"/>
    <w:rsid w:val="00A4034C"/>
    <w:rsid w:val="00A405A5"/>
    <w:rsid w:val="00A41526"/>
    <w:rsid w:val="00A4188B"/>
    <w:rsid w:val="00A41B36"/>
    <w:rsid w:val="00A41E6B"/>
    <w:rsid w:val="00A41FD7"/>
    <w:rsid w:val="00A4200F"/>
    <w:rsid w:val="00A423AA"/>
    <w:rsid w:val="00A425EA"/>
    <w:rsid w:val="00A428E4"/>
    <w:rsid w:val="00A42E22"/>
    <w:rsid w:val="00A43007"/>
    <w:rsid w:val="00A4372F"/>
    <w:rsid w:val="00A445EB"/>
    <w:rsid w:val="00A4483C"/>
    <w:rsid w:val="00A44844"/>
    <w:rsid w:val="00A44ECD"/>
    <w:rsid w:val="00A4540D"/>
    <w:rsid w:val="00A4551F"/>
    <w:rsid w:val="00A4552D"/>
    <w:rsid w:val="00A45842"/>
    <w:rsid w:val="00A45845"/>
    <w:rsid w:val="00A45FC2"/>
    <w:rsid w:val="00A460CC"/>
    <w:rsid w:val="00A4638C"/>
    <w:rsid w:val="00A46577"/>
    <w:rsid w:val="00A468C4"/>
    <w:rsid w:val="00A46973"/>
    <w:rsid w:val="00A47986"/>
    <w:rsid w:val="00A47EDD"/>
    <w:rsid w:val="00A5000E"/>
    <w:rsid w:val="00A50267"/>
    <w:rsid w:val="00A50400"/>
    <w:rsid w:val="00A506A6"/>
    <w:rsid w:val="00A5076C"/>
    <w:rsid w:val="00A50ED3"/>
    <w:rsid w:val="00A50FB2"/>
    <w:rsid w:val="00A50FCD"/>
    <w:rsid w:val="00A50FF9"/>
    <w:rsid w:val="00A51040"/>
    <w:rsid w:val="00A5125F"/>
    <w:rsid w:val="00A513D5"/>
    <w:rsid w:val="00A51761"/>
    <w:rsid w:val="00A51E04"/>
    <w:rsid w:val="00A51FC9"/>
    <w:rsid w:val="00A523C3"/>
    <w:rsid w:val="00A53055"/>
    <w:rsid w:val="00A53813"/>
    <w:rsid w:val="00A53841"/>
    <w:rsid w:val="00A53EC6"/>
    <w:rsid w:val="00A53F9C"/>
    <w:rsid w:val="00A5449A"/>
    <w:rsid w:val="00A544D4"/>
    <w:rsid w:val="00A54918"/>
    <w:rsid w:val="00A54955"/>
    <w:rsid w:val="00A54A9A"/>
    <w:rsid w:val="00A54BC9"/>
    <w:rsid w:val="00A54D6F"/>
    <w:rsid w:val="00A54F80"/>
    <w:rsid w:val="00A5519E"/>
    <w:rsid w:val="00A553E9"/>
    <w:rsid w:val="00A559C1"/>
    <w:rsid w:val="00A55AF4"/>
    <w:rsid w:val="00A55B64"/>
    <w:rsid w:val="00A55C0F"/>
    <w:rsid w:val="00A55DA7"/>
    <w:rsid w:val="00A56CCA"/>
    <w:rsid w:val="00A56F35"/>
    <w:rsid w:val="00A572FA"/>
    <w:rsid w:val="00A5752B"/>
    <w:rsid w:val="00A57C55"/>
    <w:rsid w:val="00A57C67"/>
    <w:rsid w:val="00A57F22"/>
    <w:rsid w:val="00A57FEA"/>
    <w:rsid w:val="00A60077"/>
    <w:rsid w:val="00A60141"/>
    <w:rsid w:val="00A60300"/>
    <w:rsid w:val="00A60921"/>
    <w:rsid w:val="00A6093A"/>
    <w:rsid w:val="00A60DD8"/>
    <w:rsid w:val="00A611BD"/>
    <w:rsid w:val="00A615A1"/>
    <w:rsid w:val="00A61C91"/>
    <w:rsid w:val="00A61CED"/>
    <w:rsid w:val="00A61F25"/>
    <w:rsid w:val="00A621F8"/>
    <w:rsid w:val="00A625D6"/>
    <w:rsid w:val="00A62A27"/>
    <w:rsid w:val="00A62F38"/>
    <w:rsid w:val="00A637B0"/>
    <w:rsid w:val="00A63B27"/>
    <w:rsid w:val="00A63BD2"/>
    <w:rsid w:val="00A642B7"/>
    <w:rsid w:val="00A643AA"/>
    <w:rsid w:val="00A645E2"/>
    <w:rsid w:val="00A647CE"/>
    <w:rsid w:val="00A648E9"/>
    <w:rsid w:val="00A64A0E"/>
    <w:rsid w:val="00A64F5D"/>
    <w:rsid w:val="00A65022"/>
    <w:rsid w:val="00A6503A"/>
    <w:rsid w:val="00A65ACE"/>
    <w:rsid w:val="00A65CD9"/>
    <w:rsid w:val="00A65ED6"/>
    <w:rsid w:val="00A66923"/>
    <w:rsid w:val="00A66D91"/>
    <w:rsid w:val="00A66E9B"/>
    <w:rsid w:val="00A67089"/>
    <w:rsid w:val="00A6724E"/>
    <w:rsid w:val="00A67305"/>
    <w:rsid w:val="00A673C5"/>
    <w:rsid w:val="00A67A01"/>
    <w:rsid w:val="00A67A7C"/>
    <w:rsid w:val="00A67AC8"/>
    <w:rsid w:val="00A67F68"/>
    <w:rsid w:val="00A7055F"/>
    <w:rsid w:val="00A7063A"/>
    <w:rsid w:val="00A7067D"/>
    <w:rsid w:val="00A70716"/>
    <w:rsid w:val="00A707C4"/>
    <w:rsid w:val="00A70F94"/>
    <w:rsid w:val="00A712FB"/>
    <w:rsid w:val="00A7180C"/>
    <w:rsid w:val="00A71918"/>
    <w:rsid w:val="00A71A4A"/>
    <w:rsid w:val="00A71B7C"/>
    <w:rsid w:val="00A71EBB"/>
    <w:rsid w:val="00A724D5"/>
    <w:rsid w:val="00A72634"/>
    <w:rsid w:val="00A729D1"/>
    <w:rsid w:val="00A72AE2"/>
    <w:rsid w:val="00A72D5D"/>
    <w:rsid w:val="00A72FCB"/>
    <w:rsid w:val="00A735A7"/>
    <w:rsid w:val="00A73841"/>
    <w:rsid w:val="00A73BE3"/>
    <w:rsid w:val="00A73C94"/>
    <w:rsid w:val="00A73D77"/>
    <w:rsid w:val="00A74248"/>
    <w:rsid w:val="00A74899"/>
    <w:rsid w:val="00A74991"/>
    <w:rsid w:val="00A749E6"/>
    <w:rsid w:val="00A74F2C"/>
    <w:rsid w:val="00A7543D"/>
    <w:rsid w:val="00A754DE"/>
    <w:rsid w:val="00A755C4"/>
    <w:rsid w:val="00A75691"/>
    <w:rsid w:val="00A75835"/>
    <w:rsid w:val="00A759F0"/>
    <w:rsid w:val="00A75A62"/>
    <w:rsid w:val="00A75FA4"/>
    <w:rsid w:val="00A76019"/>
    <w:rsid w:val="00A7668A"/>
    <w:rsid w:val="00A76943"/>
    <w:rsid w:val="00A769A6"/>
    <w:rsid w:val="00A76DE1"/>
    <w:rsid w:val="00A76E7B"/>
    <w:rsid w:val="00A77282"/>
    <w:rsid w:val="00A7752F"/>
    <w:rsid w:val="00A77AC2"/>
    <w:rsid w:val="00A77F25"/>
    <w:rsid w:val="00A80366"/>
    <w:rsid w:val="00A80ACD"/>
    <w:rsid w:val="00A810A3"/>
    <w:rsid w:val="00A8147B"/>
    <w:rsid w:val="00A8153C"/>
    <w:rsid w:val="00A8193D"/>
    <w:rsid w:val="00A81ADC"/>
    <w:rsid w:val="00A81FED"/>
    <w:rsid w:val="00A82579"/>
    <w:rsid w:val="00A82666"/>
    <w:rsid w:val="00A8267E"/>
    <w:rsid w:val="00A828C7"/>
    <w:rsid w:val="00A82B87"/>
    <w:rsid w:val="00A82FC9"/>
    <w:rsid w:val="00A838B0"/>
    <w:rsid w:val="00A83CBD"/>
    <w:rsid w:val="00A842F3"/>
    <w:rsid w:val="00A8431A"/>
    <w:rsid w:val="00A84836"/>
    <w:rsid w:val="00A84C5A"/>
    <w:rsid w:val="00A84D42"/>
    <w:rsid w:val="00A84F83"/>
    <w:rsid w:val="00A85161"/>
    <w:rsid w:val="00A852A2"/>
    <w:rsid w:val="00A8532E"/>
    <w:rsid w:val="00A85A0F"/>
    <w:rsid w:val="00A85A20"/>
    <w:rsid w:val="00A85ED5"/>
    <w:rsid w:val="00A85FC2"/>
    <w:rsid w:val="00A8633C"/>
    <w:rsid w:val="00A8668A"/>
    <w:rsid w:val="00A86F66"/>
    <w:rsid w:val="00A8713F"/>
    <w:rsid w:val="00A872DD"/>
    <w:rsid w:val="00A873B7"/>
    <w:rsid w:val="00A875AB"/>
    <w:rsid w:val="00A87651"/>
    <w:rsid w:val="00A878B6"/>
    <w:rsid w:val="00A87924"/>
    <w:rsid w:val="00A87BB1"/>
    <w:rsid w:val="00A900CB"/>
    <w:rsid w:val="00A90668"/>
    <w:rsid w:val="00A907E8"/>
    <w:rsid w:val="00A907ED"/>
    <w:rsid w:val="00A90879"/>
    <w:rsid w:val="00A90BA1"/>
    <w:rsid w:val="00A90E4A"/>
    <w:rsid w:val="00A90ECD"/>
    <w:rsid w:val="00A911AA"/>
    <w:rsid w:val="00A91600"/>
    <w:rsid w:val="00A91685"/>
    <w:rsid w:val="00A91752"/>
    <w:rsid w:val="00A91AC5"/>
    <w:rsid w:val="00A91F3D"/>
    <w:rsid w:val="00A92307"/>
    <w:rsid w:val="00A9258F"/>
    <w:rsid w:val="00A9280D"/>
    <w:rsid w:val="00A92C30"/>
    <w:rsid w:val="00A92CAF"/>
    <w:rsid w:val="00A92F0D"/>
    <w:rsid w:val="00A93453"/>
    <w:rsid w:val="00A93C65"/>
    <w:rsid w:val="00A93DDA"/>
    <w:rsid w:val="00A9407D"/>
    <w:rsid w:val="00A94134"/>
    <w:rsid w:val="00A94446"/>
    <w:rsid w:val="00A94591"/>
    <w:rsid w:val="00A949A9"/>
    <w:rsid w:val="00A950F4"/>
    <w:rsid w:val="00A95161"/>
    <w:rsid w:val="00A95221"/>
    <w:rsid w:val="00A95361"/>
    <w:rsid w:val="00A955E2"/>
    <w:rsid w:val="00A9572A"/>
    <w:rsid w:val="00A958A7"/>
    <w:rsid w:val="00A95A21"/>
    <w:rsid w:val="00A965CC"/>
    <w:rsid w:val="00A965E2"/>
    <w:rsid w:val="00A96953"/>
    <w:rsid w:val="00A96C20"/>
    <w:rsid w:val="00A96F9E"/>
    <w:rsid w:val="00A97805"/>
    <w:rsid w:val="00A97A9A"/>
    <w:rsid w:val="00AA016C"/>
    <w:rsid w:val="00AA0337"/>
    <w:rsid w:val="00AA0435"/>
    <w:rsid w:val="00AA0671"/>
    <w:rsid w:val="00AA0698"/>
    <w:rsid w:val="00AA0735"/>
    <w:rsid w:val="00AA0749"/>
    <w:rsid w:val="00AA19A6"/>
    <w:rsid w:val="00AA19D4"/>
    <w:rsid w:val="00AA2531"/>
    <w:rsid w:val="00AA273A"/>
    <w:rsid w:val="00AA2A28"/>
    <w:rsid w:val="00AA2D03"/>
    <w:rsid w:val="00AA2D37"/>
    <w:rsid w:val="00AA2D5D"/>
    <w:rsid w:val="00AA2E8A"/>
    <w:rsid w:val="00AA2EFC"/>
    <w:rsid w:val="00AA355B"/>
    <w:rsid w:val="00AA3E0D"/>
    <w:rsid w:val="00AA44E5"/>
    <w:rsid w:val="00AA47A0"/>
    <w:rsid w:val="00AA4A1E"/>
    <w:rsid w:val="00AA4C9D"/>
    <w:rsid w:val="00AA4D0E"/>
    <w:rsid w:val="00AA4E34"/>
    <w:rsid w:val="00AA4EB6"/>
    <w:rsid w:val="00AA5648"/>
    <w:rsid w:val="00AA5699"/>
    <w:rsid w:val="00AA5735"/>
    <w:rsid w:val="00AA5780"/>
    <w:rsid w:val="00AA58F9"/>
    <w:rsid w:val="00AA59DC"/>
    <w:rsid w:val="00AA61BE"/>
    <w:rsid w:val="00AA621A"/>
    <w:rsid w:val="00AA628D"/>
    <w:rsid w:val="00AA6BAD"/>
    <w:rsid w:val="00AA6D1A"/>
    <w:rsid w:val="00AA6FD1"/>
    <w:rsid w:val="00AA7440"/>
    <w:rsid w:val="00AA7A56"/>
    <w:rsid w:val="00AA7FBF"/>
    <w:rsid w:val="00AB01B3"/>
    <w:rsid w:val="00AB04AC"/>
    <w:rsid w:val="00AB0B01"/>
    <w:rsid w:val="00AB0F92"/>
    <w:rsid w:val="00AB1125"/>
    <w:rsid w:val="00AB1592"/>
    <w:rsid w:val="00AB15C9"/>
    <w:rsid w:val="00AB17A5"/>
    <w:rsid w:val="00AB1B79"/>
    <w:rsid w:val="00AB1E09"/>
    <w:rsid w:val="00AB201A"/>
    <w:rsid w:val="00AB2093"/>
    <w:rsid w:val="00AB2179"/>
    <w:rsid w:val="00AB219C"/>
    <w:rsid w:val="00AB2382"/>
    <w:rsid w:val="00AB2614"/>
    <w:rsid w:val="00AB2B9A"/>
    <w:rsid w:val="00AB2BBF"/>
    <w:rsid w:val="00AB2D51"/>
    <w:rsid w:val="00AB3136"/>
    <w:rsid w:val="00AB35F8"/>
    <w:rsid w:val="00AB36B9"/>
    <w:rsid w:val="00AB3E83"/>
    <w:rsid w:val="00AB4392"/>
    <w:rsid w:val="00AB4AD9"/>
    <w:rsid w:val="00AB4AEB"/>
    <w:rsid w:val="00AB4C7E"/>
    <w:rsid w:val="00AB513A"/>
    <w:rsid w:val="00AB5330"/>
    <w:rsid w:val="00AB5439"/>
    <w:rsid w:val="00AB5F5C"/>
    <w:rsid w:val="00AB5FF8"/>
    <w:rsid w:val="00AB6422"/>
    <w:rsid w:val="00AB6445"/>
    <w:rsid w:val="00AB64BA"/>
    <w:rsid w:val="00AB6529"/>
    <w:rsid w:val="00AB6790"/>
    <w:rsid w:val="00AB697C"/>
    <w:rsid w:val="00AB6C2C"/>
    <w:rsid w:val="00AB6E8A"/>
    <w:rsid w:val="00AB71B6"/>
    <w:rsid w:val="00AB73AF"/>
    <w:rsid w:val="00AB76EB"/>
    <w:rsid w:val="00AB7747"/>
    <w:rsid w:val="00AB7AE6"/>
    <w:rsid w:val="00AB7BE5"/>
    <w:rsid w:val="00AC0A78"/>
    <w:rsid w:val="00AC0ADB"/>
    <w:rsid w:val="00AC0C3E"/>
    <w:rsid w:val="00AC1086"/>
    <w:rsid w:val="00AC10D0"/>
    <w:rsid w:val="00AC134A"/>
    <w:rsid w:val="00AC14AE"/>
    <w:rsid w:val="00AC14CE"/>
    <w:rsid w:val="00AC15A0"/>
    <w:rsid w:val="00AC1C63"/>
    <w:rsid w:val="00AC1D17"/>
    <w:rsid w:val="00AC2381"/>
    <w:rsid w:val="00AC2862"/>
    <w:rsid w:val="00AC2A56"/>
    <w:rsid w:val="00AC3236"/>
    <w:rsid w:val="00AC332A"/>
    <w:rsid w:val="00AC3FFB"/>
    <w:rsid w:val="00AC4180"/>
    <w:rsid w:val="00AC42D0"/>
    <w:rsid w:val="00AC4698"/>
    <w:rsid w:val="00AC4AE6"/>
    <w:rsid w:val="00AC4D9C"/>
    <w:rsid w:val="00AC4DB2"/>
    <w:rsid w:val="00AC5425"/>
    <w:rsid w:val="00AC5BF5"/>
    <w:rsid w:val="00AC5C1B"/>
    <w:rsid w:val="00AC5C1C"/>
    <w:rsid w:val="00AC61AD"/>
    <w:rsid w:val="00AC6570"/>
    <w:rsid w:val="00AC6701"/>
    <w:rsid w:val="00AC67BB"/>
    <w:rsid w:val="00AC6838"/>
    <w:rsid w:val="00AC6985"/>
    <w:rsid w:val="00AC6A09"/>
    <w:rsid w:val="00AC6F5A"/>
    <w:rsid w:val="00AC6F97"/>
    <w:rsid w:val="00AC7624"/>
    <w:rsid w:val="00AC7711"/>
    <w:rsid w:val="00AC77CB"/>
    <w:rsid w:val="00AC7895"/>
    <w:rsid w:val="00AC7B30"/>
    <w:rsid w:val="00AC7D2C"/>
    <w:rsid w:val="00AD055E"/>
    <w:rsid w:val="00AD058C"/>
    <w:rsid w:val="00AD0981"/>
    <w:rsid w:val="00AD09BE"/>
    <w:rsid w:val="00AD10E3"/>
    <w:rsid w:val="00AD13DC"/>
    <w:rsid w:val="00AD147D"/>
    <w:rsid w:val="00AD14A8"/>
    <w:rsid w:val="00AD1C5D"/>
    <w:rsid w:val="00AD1C93"/>
    <w:rsid w:val="00AD1D30"/>
    <w:rsid w:val="00AD207B"/>
    <w:rsid w:val="00AD21AC"/>
    <w:rsid w:val="00AD2C57"/>
    <w:rsid w:val="00AD2C71"/>
    <w:rsid w:val="00AD37FC"/>
    <w:rsid w:val="00AD3CEE"/>
    <w:rsid w:val="00AD4284"/>
    <w:rsid w:val="00AD456F"/>
    <w:rsid w:val="00AD475F"/>
    <w:rsid w:val="00AD47A7"/>
    <w:rsid w:val="00AD4CDF"/>
    <w:rsid w:val="00AD4DE4"/>
    <w:rsid w:val="00AD4E82"/>
    <w:rsid w:val="00AD518F"/>
    <w:rsid w:val="00AD5520"/>
    <w:rsid w:val="00AD5641"/>
    <w:rsid w:val="00AD5C83"/>
    <w:rsid w:val="00AD67E2"/>
    <w:rsid w:val="00AD69E9"/>
    <w:rsid w:val="00AD6FAC"/>
    <w:rsid w:val="00AD703E"/>
    <w:rsid w:val="00AD72DF"/>
    <w:rsid w:val="00AD730D"/>
    <w:rsid w:val="00AD7665"/>
    <w:rsid w:val="00AD794D"/>
    <w:rsid w:val="00AD798F"/>
    <w:rsid w:val="00AD7DBD"/>
    <w:rsid w:val="00AD7E14"/>
    <w:rsid w:val="00AE060C"/>
    <w:rsid w:val="00AE0E31"/>
    <w:rsid w:val="00AE14BF"/>
    <w:rsid w:val="00AE1806"/>
    <w:rsid w:val="00AE1A9A"/>
    <w:rsid w:val="00AE1D0A"/>
    <w:rsid w:val="00AE2282"/>
    <w:rsid w:val="00AE2448"/>
    <w:rsid w:val="00AE2C75"/>
    <w:rsid w:val="00AE2C86"/>
    <w:rsid w:val="00AE3523"/>
    <w:rsid w:val="00AE363F"/>
    <w:rsid w:val="00AE3AAA"/>
    <w:rsid w:val="00AE3F83"/>
    <w:rsid w:val="00AE40C4"/>
    <w:rsid w:val="00AE417D"/>
    <w:rsid w:val="00AE41E9"/>
    <w:rsid w:val="00AE4200"/>
    <w:rsid w:val="00AE43EB"/>
    <w:rsid w:val="00AE4404"/>
    <w:rsid w:val="00AE4516"/>
    <w:rsid w:val="00AE4899"/>
    <w:rsid w:val="00AE4A70"/>
    <w:rsid w:val="00AE4EEF"/>
    <w:rsid w:val="00AE4FC6"/>
    <w:rsid w:val="00AE511C"/>
    <w:rsid w:val="00AE51FE"/>
    <w:rsid w:val="00AE541C"/>
    <w:rsid w:val="00AE56CD"/>
    <w:rsid w:val="00AE579C"/>
    <w:rsid w:val="00AE585E"/>
    <w:rsid w:val="00AE5E45"/>
    <w:rsid w:val="00AE608F"/>
    <w:rsid w:val="00AE6AAA"/>
    <w:rsid w:val="00AE6B69"/>
    <w:rsid w:val="00AE73E2"/>
    <w:rsid w:val="00AE758D"/>
    <w:rsid w:val="00AE768F"/>
    <w:rsid w:val="00AE7821"/>
    <w:rsid w:val="00AE7965"/>
    <w:rsid w:val="00AE7B3B"/>
    <w:rsid w:val="00AF05B7"/>
    <w:rsid w:val="00AF05C8"/>
    <w:rsid w:val="00AF0CBF"/>
    <w:rsid w:val="00AF0E33"/>
    <w:rsid w:val="00AF1750"/>
    <w:rsid w:val="00AF1E69"/>
    <w:rsid w:val="00AF20EB"/>
    <w:rsid w:val="00AF22CC"/>
    <w:rsid w:val="00AF257F"/>
    <w:rsid w:val="00AF25AD"/>
    <w:rsid w:val="00AF2E5F"/>
    <w:rsid w:val="00AF31DC"/>
    <w:rsid w:val="00AF33CF"/>
    <w:rsid w:val="00AF364D"/>
    <w:rsid w:val="00AF3AA3"/>
    <w:rsid w:val="00AF3B09"/>
    <w:rsid w:val="00AF416D"/>
    <w:rsid w:val="00AF44D9"/>
    <w:rsid w:val="00AF4530"/>
    <w:rsid w:val="00AF4D50"/>
    <w:rsid w:val="00AF52DB"/>
    <w:rsid w:val="00AF533C"/>
    <w:rsid w:val="00AF5671"/>
    <w:rsid w:val="00AF5A99"/>
    <w:rsid w:val="00AF5B8B"/>
    <w:rsid w:val="00AF5E84"/>
    <w:rsid w:val="00AF6179"/>
    <w:rsid w:val="00AF6317"/>
    <w:rsid w:val="00AF631E"/>
    <w:rsid w:val="00AF6395"/>
    <w:rsid w:val="00AF66A8"/>
    <w:rsid w:val="00AF6795"/>
    <w:rsid w:val="00AF67B2"/>
    <w:rsid w:val="00AF6D2A"/>
    <w:rsid w:val="00AF726E"/>
    <w:rsid w:val="00AF752B"/>
    <w:rsid w:val="00AF7845"/>
    <w:rsid w:val="00AF7A27"/>
    <w:rsid w:val="00AF7AB5"/>
    <w:rsid w:val="00AF7AD0"/>
    <w:rsid w:val="00AF7D05"/>
    <w:rsid w:val="00B00323"/>
    <w:rsid w:val="00B00CED"/>
    <w:rsid w:val="00B010C0"/>
    <w:rsid w:val="00B0111D"/>
    <w:rsid w:val="00B01164"/>
    <w:rsid w:val="00B01873"/>
    <w:rsid w:val="00B01CEF"/>
    <w:rsid w:val="00B01E09"/>
    <w:rsid w:val="00B01FAF"/>
    <w:rsid w:val="00B025F5"/>
    <w:rsid w:val="00B0281E"/>
    <w:rsid w:val="00B02EC2"/>
    <w:rsid w:val="00B0323C"/>
    <w:rsid w:val="00B0371B"/>
    <w:rsid w:val="00B0386B"/>
    <w:rsid w:val="00B03D49"/>
    <w:rsid w:val="00B040A1"/>
    <w:rsid w:val="00B044A9"/>
    <w:rsid w:val="00B04506"/>
    <w:rsid w:val="00B046C2"/>
    <w:rsid w:val="00B047FF"/>
    <w:rsid w:val="00B048EA"/>
    <w:rsid w:val="00B048FB"/>
    <w:rsid w:val="00B049D9"/>
    <w:rsid w:val="00B04DDB"/>
    <w:rsid w:val="00B0507E"/>
    <w:rsid w:val="00B05776"/>
    <w:rsid w:val="00B0601D"/>
    <w:rsid w:val="00B06048"/>
    <w:rsid w:val="00B06071"/>
    <w:rsid w:val="00B06107"/>
    <w:rsid w:val="00B065BF"/>
    <w:rsid w:val="00B06703"/>
    <w:rsid w:val="00B067C3"/>
    <w:rsid w:val="00B0689B"/>
    <w:rsid w:val="00B06A18"/>
    <w:rsid w:val="00B06E50"/>
    <w:rsid w:val="00B06EF5"/>
    <w:rsid w:val="00B07207"/>
    <w:rsid w:val="00B072AB"/>
    <w:rsid w:val="00B07BC5"/>
    <w:rsid w:val="00B07EB5"/>
    <w:rsid w:val="00B10151"/>
    <w:rsid w:val="00B10473"/>
    <w:rsid w:val="00B104E5"/>
    <w:rsid w:val="00B1083F"/>
    <w:rsid w:val="00B10861"/>
    <w:rsid w:val="00B10BF3"/>
    <w:rsid w:val="00B10C80"/>
    <w:rsid w:val="00B110E9"/>
    <w:rsid w:val="00B11374"/>
    <w:rsid w:val="00B1178B"/>
    <w:rsid w:val="00B11F32"/>
    <w:rsid w:val="00B11FFF"/>
    <w:rsid w:val="00B1226C"/>
    <w:rsid w:val="00B1234B"/>
    <w:rsid w:val="00B124D8"/>
    <w:rsid w:val="00B127E6"/>
    <w:rsid w:val="00B1295A"/>
    <w:rsid w:val="00B131C6"/>
    <w:rsid w:val="00B13533"/>
    <w:rsid w:val="00B136D7"/>
    <w:rsid w:val="00B140E7"/>
    <w:rsid w:val="00B14344"/>
    <w:rsid w:val="00B14351"/>
    <w:rsid w:val="00B14573"/>
    <w:rsid w:val="00B14A5C"/>
    <w:rsid w:val="00B14B9B"/>
    <w:rsid w:val="00B14F3D"/>
    <w:rsid w:val="00B15175"/>
    <w:rsid w:val="00B1530C"/>
    <w:rsid w:val="00B15318"/>
    <w:rsid w:val="00B1537C"/>
    <w:rsid w:val="00B1563F"/>
    <w:rsid w:val="00B156D0"/>
    <w:rsid w:val="00B158E6"/>
    <w:rsid w:val="00B15A6E"/>
    <w:rsid w:val="00B15AEB"/>
    <w:rsid w:val="00B15BF6"/>
    <w:rsid w:val="00B15DCD"/>
    <w:rsid w:val="00B16014"/>
    <w:rsid w:val="00B168BA"/>
    <w:rsid w:val="00B16B01"/>
    <w:rsid w:val="00B16BFF"/>
    <w:rsid w:val="00B16CDA"/>
    <w:rsid w:val="00B16F47"/>
    <w:rsid w:val="00B16FB7"/>
    <w:rsid w:val="00B17A1C"/>
    <w:rsid w:val="00B17A8D"/>
    <w:rsid w:val="00B17B84"/>
    <w:rsid w:val="00B2027D"/>
    <w:rsid w:val="00B202A9"/>
    <w:rsid w:val="00B20A45"/>
    <w:rsid w:val="00B20A77"/>
    <w:rsid w:val="00B20A89"/>
    <w:rsid w:val="00B20D66"/>
    <w:rsid w:val="00B210D1"/>
    <w:rsid w:val="00B21978"/>
    <w:rsid w:val="00B21B58"/>
    <w:rsid w:val="00B21CF9"/>
    <w:rsid w:val="00B21CFA"/>
    <w:rsid w:val="00B21E78"/>
    <w:rsid w:val="00B22090"/>
    <w:rsid w:val="00B22113"/>
    <w:rsid w:val="00B22143"/>
    <w:rsid w:val="00B226F0"/>
    <w:rsid w:val="00B2276B"/>
    <w:rsid w:val="00B22C41"/>
    <w:rsid w:val="00B22C5C"/>
    <w:rsid w:val="00B23241"/>
    <w:rsid w:val="00B23358"/>
    <w:rsid w:val="00B2389B"/>
    <w:rsid w:val="00B23C0C"/>
    <w:rsid w:val="00B24446"/>
    <w:rsid w:val="00B24DA4"/>
    <w:rsid w:val="00B24E54"/>
    <w:rsid w:val="00B24F30"/>
    <w:rsid w:val="00B24F5F"/>
    <w:rsid w:val="00B25574"/>
    <w:rsid w:val="00B26114"/>
    <w:rsid w:val="00B26273"/>
    <w:rsid w:val="00B26D53"/>
    <w:rsid w:val="00B27A9F"/>
    <w:rsid w:val="00B27B36"/>
    <w:rsid w:val="00B30237"/>
    <w:rsid w:val="00B3033B"/>
    <w:rsid w:val="00B30373"/>
    <w:rsid w:val="00B31046"/>
    <w:rsid w:val="00B312FE"/>
    <w:rsid w:val="00B313C3"/>
    <w:rsid w:val="00B31ABF"/>
    <w:rsid w:val="00B3243B"/>
    <w:rsid w:val="00B326DA"/>
    <w:rsid w:val="00B32A0A"/>
    <w:rsid w:val="00B33640"/>
    <w:rsid w:val="00B3378B"/>
    <w:rsid w:val="00B33A1F"/>
    <w:rsid w:val="00B33B61"/>
    <w:rsid w:val="00B33BE3"/>
    <w:rsid w:val="00B33D79"/>
    <w:rsid w:val="00B34207"/>
    <w:rsid w:val="00B3448A"/>
    <w:rsid w:val="00B34BF6"/>
    <w:rsid w:val="00B34CDD"/>
    <w:rsid w:val="00B34F8A"/>
    <w:rsid w:val="00B351B7"/>
    <w:rsid w:val="00B35B64"/>
    <w:rsid w:val="00B367A4"/>
    <w:rsid w:val="00B36BDA"/>
    <w:rsid w:val="00B36DF3"/>
    <w:rsid w:val="00B36FF8"/>
    <w:rsid w:val="00B3704A"/>
    <w:rsid w:val="00B37067"/>
    <w:rsid w:val="00B3717F"/>
    <w:rsid w:val="00B37326"/>
    <w:rsid w:val="00B37759"/>
    <w:rsid w:val="00B37A60"/>
    <w:rsid w:val="00B37AFE"/>
    <w:rsid w:val="00B37D57"/>
    <w:rsid w:val="00B40866"/>
    <w:rsid w:val="00B4099B"/>
    <w:rsid w:val="00B40B4C"/>
    <w:rsid w:val="00B40D64"/>
    <w:rsid w:val="00B40E15"/>
    <w:rsid w:val="00B41036"/>
    <w:rsid w:val="00B4186E"/>
    <w:rsid w:val="00B41CAF"/>
    <w:rsid w:val="00B42360"/>
    <w:rsid w:val="00B42555"/>
    <w:rsid w:val="00B427DB"/>
    <w:rsid w:val="00B42832"/>
    <w:rsid w:val="00B4283E"/>
    <w:rsid w:val="00B42F3F"/>
    <w:rsid w:val="00B43033"/>
    <w:rsid w:val="00B4324C"/>
    <w:rsid w:val="00B4359C"/>
    <w:rsid w:val="00B4375E"/>
    <w:rsid w:val="00B43870"/>
    <w:rsid w:val="00B43D8D"/>
    <w:rsid w:val="00B43F20"/>
    <w:rsid w:val="00B44DE0"/>
    <w:rsid w:val="00B450E8"/>
    <w:rsid w:val="00B45129"/>
    <w:rsid w:val="00B4521B"/>
    <w:rsid w:val="00B45293"/>
    <w:rsid w:val="00B45C3A"/>
    <w:rsid w:val="00B45CA5"/>
    <w:rsid w:val="00B45E44"/>
    <w:rsid w:val="00B45EBC"/>
    <w:rsid w:val="00B45F11"/>
    <w:rsid w:val="00B463EA"/>
    <w:rsid w:val="00B469CE"/>
    <w:rsid w:val="00B46AB8"/>
    <w:rsid w:val="00B46E8A"/>
    <w:rsid w:val="00B47062"/>
    <w:rsid w:val="00B470AA"/>
    <w:rsid w:val="00B47477"/>
    <w:rsid w:val="00B500AE"/>
    <w:rsid w:val="00B500FC"/>
    <w:rsid w:val="00B50161"/>
    <w:rsid w:val="00B501B7"/>
    <w:rsid w:val="00B507D2"/>
    <w:rsid w:val="00B50887"/>
    <w:rsid w:val="00B50B0F"/>
    <w:rsid w:val="00B50F12"/>
    <w:rsid w:val="00B51084"/>
    <w:rsid w:val="00B513DE"/>
    <w:rsid w:val="00B51656"/>
    <w:rsid w:val="00B51B4E"/>
    <w:rsid w:val="00B51CAA"/>
    <w:rsid w:val="00B51CF5"/>
    <w:rsid w:val="00B52A69"/>
    <w:rsid w:val="00B52B99"/>
    <w:rsid w:val="00B52BC1"/>
    <w:rsid w:val="00B52E89"/>
    <w:rsid w:val="00B537E2"/>
    <w:rsid w:val="00B53B5D"/>
    <w:rsid w:val="00B53CAC"/>
    <w:rsid w:val="00B53F23"/>
    <w:rsid w:val="00B53FD6"/>
    <w:rsid w:val="00B5405B"/>
    <w:rsid w:val="00B540C6"/>
    <w:rsid w:val="00B5418D"/>
    <w:rsid w:val="00B541D7"/>
    <w:rsid w:val="00B5487B"/>
    <w:rsid w:val="00B54889"/>
    <w:rsid w:val="00B54E57"/>
    <w:rsid w:val="00B5535B"/>
    <w:rsid w:val="00B55445"/>
    <w:rsid w:val="00B55B48"/>
    <w:rsid w:val="00B56083"/>
    <w:rsid w:val="00B56C44"/>
    <w:rsid w:val="00B56CB8"/>
    <w:rsid w:val="00B56FC5"/>
    <w:rsid w:val="00B56FEC"/>
    <w:rsid w:val="00B571DC"/>
    <w:rsid w:val="00B57809"/>
    <w:rsid w:val="00B579F4"/>
    <w:rsid w:val="00B57D38"/>
    <w:rsid w:val="00B6055E"/>
    <w:rsid w:val="00B60B20"/>
    <w:rsid w:val="00B60F39"/>
    <w:rsid w:val="00B619EE"/>
    <w:rsid w:val="00B61D44"/>
    <w:rsid w:val="00B61ED5"/>
    <w:rsid w:val="00B61FCC"/>
    <w:rsid w:val="00B623F1"/>
    <w:rsid w:val="00B62951"/>
    <w:rsid w:val="00B63041"/>
    <w:rsid w:val="00B630C9"/>
    <w:rsid w:val="00B6317D"/>
    <w:rsid w:val="00B63307"/>
    <w:rsid w:val="00B639A5"/>
    <w:rsid w:val="00B63B8A"/>
    <w:rsid w:val="00B63E60"/>
    <w:rsid w:val="00B640BE"/>
    <w:rsid w:val="00B64344"/>
    <w:rsid w:val="00B64448"/>
    <w:rsid w:val="00B64607"/>
    <w:rsid w:val="00B648B2"/>
    <w:rsid w:val="00B6528D"/>
    <w:rsid w:val="00B653B1"/>
    <w:rsid w:val="00B653C7"/>
    <w:rsid w:val="00B655BB"/>
    <w:rsid w:val="00B6588F"/>
    <w:rsid w:val="00B65A80"/>
    <w:rsid w:val="00B65FF1"/>
    <w:rsid w:val="00B66442"/>
    <w:rsid w:val="00B66554"/>
    <w:rsid w:val="00B667D6"/>
    <w:rsid w:val="00B66BF1"/>
    <w:rsid w:val="00B66C5E"/>
    <w:rsid w:val="00B66F50"/>
    <w:rsid w:val="00B6717E"/>
    <w:rsid w:val="00B67277"/>
    <w:rsid w:val="00B67280"/>
    <w:rsid w:val="00B67377"/>
    <w:rsid w:val="00B67C9D"/>
    <w:rsid w:val="00B67D83"/>
    <w:rsid w:val="00B70051"/>
    <w:rsid w:val="00B705D7"/>
    <w:rsid w:val="00B705DC"/>
    <w:rsid w:val="00B70AEC"/>
    <w:rsid w:val="00B7147E"/>
    <w:rsid w:val="00B71A24"/>
    <w:rsid w:val="00B71D24"/>
    <w:rsid w:val="00B71E46"/>
    <w:rsid w:val="00B7229C"/>
    <w:rsid w:val="00B72340"/>
    <w:rsid w:val="00B72A5D"/>
    <w:rsid w:val="00B73009"/>
    <w:rsid w:val="00B731B4"/>
    <w:rsid w:val="00B73D2F"/>
    <w:rsid w:val="00B73EA1"/>
    <w:rsid w:val="00B742E2"/>
    <w:rsid w:val="00B74335"/>
    <w:rsid w:val="00B74432"/>
    <w:rsid w:val="00B74709"/>
    <w:rsid w:val="00B74FDC"/>
    <w:rsid w:val="00B7503C"/>
    <w:rsid w:val="00B7510D"/>
    <w:rsid w:val="00B75236"/>
    <w:rsid w:val="00B75734"/>
    <w:rsid w:val="00B757F3"/>
    <w:rsid w:val="00B7594D"/>
    <w:rsid w:val="00B75A29"/>
    <w:rsid w:val="00B75E13"/>
    <w:rsid w:val="00B76437"/>
    <w:rsid w:val="00B76627"/>
    <w:rsid w:val="00B76906"/>
    <w:rsid w:val="00B76A13"/>
    <w:rsid w:val="00B76C72"/>
    <w:rsid w:val="00B76D30"/>
    <w:rsid w:val="00B7723F"/>
    <w:rsid w:val="00B77684"/>
    <w:rsid w:val="00B777CF"/>
    <w:rsid w:val="00B779CC"/>
    <w:rsid w:val="00B77AE6"/>
    <w:rsid w:val="00B80534"/>
    <w:rsid w:val="00B8055B"/>
    <w:rsid w:val="00B80848"/>
    <w:rsid w:val="00B808F0"/>
    <w:rsid w:val="00B80915"/>
    <w:rsid w:val="00B80FB4"/>
    <w:rsid w:val="00B8168D"/>
    <w:rsid w:val="00B81690"/>
    <w:rsid w:val="00B818F5"/>
    <w:rsid w:val="00B8199C"/>
    <w:rsid w:val="00B820A9"/>
    <w:rsid w:val="00B82405"/>
    <w:rsid w:val="00B8250B"/>
    <w:rsid w:val="00B82666"/>
    <w:rsid w:val="00B82669"/>
    <w:rsid w:val="00B827FB"/>
    <w:rsid w:val="00B82DB3"/>
    <w:rsid w:val="00B830D0"/>
    <w:rsid w:val="00B83699"/>
    <w:rsid w:val="00B83904"/>
    <w:rsid w:val="00B8433C"/>
    <w:rsid w:val="00B84377"/>
    <w:rsid w:val="00B84B12"/>
    <w:rsid w:val="00B84C19"/>
    <w:rsid w:val="00B84CA3"/>
    <w:rsid w:val="00B84F5B"/>
    <w:rsid w:val="00B85200"/>
    <w:rsid w:val="00B853D3"/>
    <w:rsid w:val="00B85486"/>
    <w:rsid w:val="00B85603"/>
    <w:rsid w:val="00B8562A"/>
    <w:rsid w:val="00B85675"/>
    <w:rsid w:val="00B856F1"/>
    <w:rsid w:val="00B85D4E"/>
    <w:rsid w:val="00B85F22"/>
    <w:rsid w:val="00B85F3C"/>
    <w:rsid w:val="00B86142"/>
    <w:rsid w:val="00B86516"/>
    <w:rsid w:val="00B86877"/>
    <w:rsid w:val="00B86D50"/>
    <w:rsid w:val="00B87377"/>
    <w:rsid w:val="00B8742B"/>
    <w:rsid w:val="00B87490"/>
    <w:rsid w:val="00B87491"/>
    <w:rsid w:val="00B902AA"/>
    <w:rsid w:val="00B902B7"/>
    <w:rsid w:val="00B90C1A"/>
    <w:rsid w:val="00B90D9E"/>
    <w:rsid w:val="00B90DBB"/>
    <w:rsid w:val="00B910DA"/>
    <w:rsid w:val="00B914EB"/>
    <w:rsid w:val="00B919EA"/>
    <w:rsid w:val="00B92396"/>
    <w:rsid w:val="00B92433"/>
    <w:rsid w:val="00B92472"/>
    <w:rsid w:val="00B926DA"/>
    <w:rsid w:val="00B92A3A"/>
    <w:rsid w:val="00B92AED"/>
    <w:rsid w:val="00B92C8B"/>
    <w:rsid w:val="00B93262"/>
    <w:rsid w:val="00B936FE"/>
    <w:rsid w:val="00B93FC8"/>
    <w:rsid w:val="00B94250"/>
    <w:rsid w:val="00B9460A"/>
    <w:rsid w:val="00B94623"/>
    <w:rsid w:val="00B9464A"/>
    <w:rsid w:val="00B94698"/>
    <w:rsid w:val="00B946A7"/>
    <w:rsid w:val="00B94E1D"/>
    <w:rsid w:val="00B950A9"/>
    <w:rsid w:val="00B95175"/>
    <w:rsid w:val="00B95382"/>
    <w:rsid w:val="00B9574D"/>
    <w:rsid w:val="00B95796"/>
    <w:rsid w:val="00B95859"/>
    <w:rsid w:val="00B95A04"/>
    <w:rsid w:val="00B95C18"/>
    <w:rsid w:val="00B95FED"/>
    <w:rsid w:val="00B961C2"/>
    <w:rsid w:val="00B96375"/>
    <w:rsid w:val="00B964BB"/>
    <w:rsid w:val="00B96B53"/>
    <w:rsid w:val="00B96BAC"/>
    <w:rsid w:val="00B96F0C"/>
    <w:rsid w:val="00B9721D"/>
    <w:rsid w:val="00B97539"/>
    <w:rsid w:val="00B977C7"/>
    <w:rsid w:val="00B977ED"/>
    <w:rsid w:val="00B97891"/>
    <w:rsid w:val="00B97C98"/>
    <w:rsid w:val="00BA011B"/>
    <w:rsid w:val="00BA06F5"/>
    <w:rsid w:val="00BA0D32"/>
    <w:rsid w:val="00BA18CD"/>
    <w:rsid w:val="00BA1D13"/>
    <w:rsid w:val="00BA25ED"/>
    <w:rsid w:val="00BA29DC"/>
    <w:rsid w:val="00BA29E9"/>
    <w:rsid w:val="00BA2EF7"/>
    <w:rsid w:val="00BA307C"/>
    <w:rsid w:val="00BA342D"/>
    <w:rsid w:val="00BA3442"/>
    <w:rsid w:val="00BA38CE"/>
    <w:rsid w:val="00BA3B7D"/>
    <w:rsid w:val="00BA3FFC"/>
    <w:rsid w:val="00BA4081"/>
    <w:rsid w:val="00BA4ABC"/>
    <w:rsid w:val="00BA4BE6"/>
    <w:rsid w:val="00BA5301"/>
    <w:rsid w:val="00BA5362"/>
    <w:rsid w:val="00BA5C23"/>
    <w:rsid w:val="00BA5D4A"/>
    <w:rsid w:val="00BA5DA1"/>
    <w:rsid w:val="00BA5E0A"/>
    <w:rsid w:val="00BA632B"/>
    <w:rsid w:val="00BA64F2"/>
    <w:rsid w:val="00BA6769"/>
    <w:rsid w:val="00BA6B11"/>
    <w:rsid w:val="00BA6ED8"/>
    <w:rsid w:val="00BA7142"/>
    <w:rsid w:val="00BA73FC"/>
    <w:rsid w:val="00BA75DA"/>
    <w:rsid w:val="00BA7625"/>
    <w:rsid w:val="00BA7B40"/>
    <w:rsid w:val="00BA7CEA"/>
    <w:rsid w:val="00BB020B"/>
    <w:rsid w:val="00BB05BD"/>
    <w:rsid w:val="00BB08B8"/>
    <w:rsid w:val="00BB0A1B"/>
    <w:rsid w:val="00BB0D3F"/>
    <w:rsid w:val="00BB0E46"/>
    <w:rsid w:val="00BB119E"/>
    <w:rsid w:val="00BB12D7"/>
    <w:rsid w:val="00BB180C"/>
    <w:rsid w:val="00BB1A7A"/>
    <w:rsid w:val="00BB1BB9"/>
    <w:rsid w:val="00BB1FAA"/>
    <w:rsid w:val="00BB204A"/>
    <w:rsid w:val="00BB237C"/>
    <w:rsid w:val="00BB255B"/>
    <w:rsid w:val="00BB259F"/>
    <w:rsid w:val="00BB3586"/>
    <w:rsid w:val="00BB36B4"/>
    <w:rsid w:val="00BB3C40"/>
    <w:rsid w:val="00BB3C46"/>
    <w:rsid w:val="00BB3D2A"/>
    <w:rsid w:val="00BB3F4B"/>
    <w:rsid w:val="00BB41A3"/>
    <w:rsid w:val="00BB4586"/>
    <w:rsid w:val="00BB4814"/>
    <w:rsid w:val="00BB4C35"/>
    <w:rsid w:val="00BB4D48"/>
    <w:rsid w:val="00BB5546"/>
    <w:rsid w:val="00BB57EF"/>
    <w:rsid w:val="00BB5843"/>
    <w:rsid w:val="00BB638C"/>
    <w:rsid w:val="00BB6398"/>
    <w:rsid w:val="00BB677F"/>
    <w:rsid w:val="00BB6795"/>
    <w:rsid w:val="00BB6B85"/>
    <w:rsid w:val="00BB6C74"/>
    <w:rsid w:val="00BB6D15"/>
    <w:rsid w:val="00BB7505"/>
    <w:rsid w:val="00BB757C"/>
    <w:rsid w:val="00BB77A5"/>
    <w:rsid w:val="00BB78F1"/>
    <w:rsid w:val="00BB7E7B"/>
    <w:rsid w:val="00BB7F04"/>
    <w:rsid w:val="00BC02FE"/>
    <w:rsid w:val="00BC042A"/>
    <w:rsid w:val="00BC053A"/>
    <w:rsid w:val="00BC0B95"/>
    <w:rsid w:val="00BC0C6F"/>
    <w:rsid w:val="00BC0CB4"/>
    <w:rsid w:val="00BC138B"/>
    <w:rsid w:val="00BC1695"/>
    <w:rsid w:val="00BC1A58"/>
    <w:rsid w:val="00BC1D90"/>
    <w:rsid w:val="00BC1E22"/>
    <w:rsid w:val="00BC1FD0"/>
    <w:rsid w:val="00BC1FDA"/>
    <w:rsid w:val="00BC2802"/>
    <w:rsid w:val="00BC2EB4"/>
    <w:rsid w:val="00BC3125"/>
    <w:rsid w:val="00BC32DC"/>
    <w:rsid w:val="00BC353C"/>
    <w:rsid w:val="00BC35B6"/>
    <w:rsid w:val="00BC3735"/>
    <w:rsid w:val="00BC3CF9"/>
    <w:rsid w:val="00BC3E87"/>
    <w:rsid w:val="00BC3ECB"/>
    <w:rsid w:val="00BC3FED"/>
    <w:rsid w:val="00BC40B6"/>
    <w:rsid w:val="00BC42BC"/>
    <w:rsid w:val="00BC4396"/>
    <w:rsid w:val="00BC43A4"/>
    <w:rsid w:val="00BC4951"/>
    <w:rsid w:val="00BC4B79"/>
    <w:rsid w:val="00BC4E29"/>
    <w:rsid w:val="00BC4EF2"/>
    <w:rsid w:val="00BC52C1"/>
    <w:rsid w:val="00BC53DD"/>
    <w:rsid w:val="00BC5894"/>
    <w:rsid w:val="00BC5BB3"/>
    <w:rsid w:val="00BC5E3C"/>
    <w:rsid w:val="00BC5EA2"/>
    <w:rsid w:val="00BC60B1"/>
    <w:rsid w:val="00BC6176"/>
    <w:rsid w:val="00BC6743"/>
    <w:rsid w:val="00BC6AFB"/>
    <w:rsid w:val="00BC6C1D"/>
    <w:rsid w:val="00BC6C9E"/>
    <w:rsid w:val="00BC6D75"/>
    <w:rsid w:val="00BC7DC3"/>
    <w:rsid w:val="00BD031B"/>
    <w:rsid w:val="00BD0BF9"/>
    <w:rsid w:val="00BD0CC6"/>
    <w:rsid w:val="00BD0FDD"/>
    <w:rsid w:val="00BD19E7"/>
    <w:rsid w:val="00BD1B51"/>
    <w:rsid w:val="00BD1ED7"/>
    <w:rsid w:val="00BD2274"/>
    <w:rsid w:val="00BD26F8"/>
    <w:rsid w:val="00BD2A6C"/>
    <w:rsid w:val="00BD2C4D"/>
    <w:rsid w:val="00BD2D36"/>
    <w:rsid w:val="00BD2DC9"/>
    <w:rsid w:val="00BD3334"/>
    <w:rsid w:val="00BD36FD"/>
    <w:rsid w:val="00BD4051"/>
    <w:rsid w:val="00BD4596"/>
    <w:rsid w:val="00BD46F3"/>
    <w:rsid w:val="00BD4BB0"/>
    <w:rsid w:val="00BD5070"/>
    <w:rsid w:val="00BD5089"/>
    <w:rsid w:val="00BD509C"/>
    <w:rsid w:val="00BD5446"/>
    <w:rsid w:val="00BD553F"/>
    <w:rsid w:val="00BD5AE8"/>
    <w:rsid w:val="00BD66E4"/>
    <w:rsid w:val="00BD6A54"/>
    <w:rsid w:val="00BD6B25"/>
    <w:rsid w:val="00BD6DC5"/>
    <w:rsid w:val="00BD7078"/>
    <w:rsid w:val="00BD715A"/>
    <w:rsid w:val="00BD7474"/>
    <w:rsid w:val="00BD74C2"/>
    <w:rsid w:val="00BE093A"/>
    <w:rsid w:val="00BE0A4A"/>
    <w:rsid w:val="00BE0C14"/>
    <w:rsid w:val="00BE1162"/>
    <w:rsid w:val="00BE1361"/>
    <w:rsid w:val="00BE1405"/>
    <w:rsid w:val="00BE1442"/>
    <w:rsid w:val="00BE1642"/>
    <w:rsid w:val="00BE18FA"/>
    <w:rsid w:val="00BE1B07"/>
    <w:rsid w:val="00BE26FB"/>
    <w:rsid w:val="00BE312D"/>
    <w:rsid w:val="00BE33F2"/>
    <w:rsid w:val="00BE3412"/>
    <w:rsid w:val="00BE3A88"/>
    <w:rsid w:val="00BE3DAA"/>
    <w:rsid w:val="00BE4231"/>
    <w:rsid w:val="00BE4610"/>
    <w:rsid w:val="00BE462A"/>
    <w:rsid w:val="00BE49A8"/>
    <w:rsid w:val="00BE50D8"/>
    <w:rsid w:val="00BE59F0"/>
    <w:rsid w:val="00BE5B37"/>
    <w:rsid w:val="00BE5B81"/>
    <w:rsid w:val="00BE5F67"/>
    <w:rsid w:val="00BE5F97"/>
    <w:rsid w:val="00BE5FF0"/>
    <w:rsid w:val="00BE604F"/>
    <w:rsid w:val="00BE622A"/>
    <w:rsid w:val="00BE6270"/>
    <w:rsid w:val="00BE6535"/>
    <w:rsid w:val="00BE6BF7"/>
    <w:rsid w:val="00BE6ECE"/>
    <w:rsid w:val="00BE71F3"/>
    <w:rsid w:val="00BE74EE"/>
    <w:rsid w:val="00BE7B57"/>
    <w:rsid w:val="00BE7BA8"/>
    <w:rsid w:val="00BE7DDB"/>
    <w:rsid w:val="00BE7E68"/>
    <w:rsid w:val="00BF0463"/>
    <w:rsid w:val="00BF1228"/>
    <w:rsid w:val="00BF1282"/>
    <w:rsid w:val="00BF172A"/>
    <w:rsid w:val="00BF1976"/>
    <w:rsid w:val="00BF1B84"/>
    <w:rsid w:val="00BF1C20"/>
    <w:rsid w:val="00BF1CD0"/>
    <w:rsid w:val="00BF2296"/>
    <w:rsid w:val="00BF22CB"/>
    <w:rsid w:val="00BF25FF"/>
    <w:rsid w:val="00BF2702"/>
    <w:rsid w:val="00BF2867"/>
    <w:rsid w:val="00BF29A5"/>
    <w:rsid w:val="00BF2AE6"/>
    <w:rsid w:val="00BF2B66"/>
    <w:rsid w:val="00BF2BCE"/>
    <w:rsid w:val="00BF313C"/>
    <w:rsid w:val="00BF3697"/>
    <w:rsid w:val="00BF3E10"/>
    <w:rsid w:val="00BF3E7A"/>
    <w:rsid w:val="00BF4316"/>
    <w:rsid w:val="00BF45BF"/>
    <w:rsid w:val="00BF4610"/>
    <w:rsid w:val="00BF4776"/>
    <w:rsid w:val="00BF48D8"/>
    <w:rsid w:val="00BF4A6F"/>
    <w:rsid w:val="00BF4CFA"/>
    <w:rsid w:val="00BF5103"/>
    <w:rsid w:val="00BF5126"/>
    <w:rsid w:val="00BF5245"/>
    <w:rsid w:val="00BF5344"/>
    <w:rsid w:val="00BF5D22"/>
    <w:rsid w:val="00BF5DCA"/>
    <w:rsid w:val="00BF5EC2"/>
    <w:rsid w:val="00BF61E8"/>
    <w:rsid w:val="00BF6504"/>
    <w:rsid w:val="00BF65D0"/>
    <w:rsid w:val="00BF6FE9"/>
    <w:rsid w:val="00BF732B"/>
    <w:rsid w:val="00BF76F8"/>
    <w:rsid w:val="00BF77E2"/>
    <w:rsid w:val="00BF7B28"/>
    <w:rsid w:val="00BF7C28"/>
    <w:rsid w:val="00BF7D6F"/>
    <w:rsid w:val="00C0009B"/>
    <w:rsid w:val="00C00101"/>
    <w:rsid w:val="00C00CF3"/>
    <w:rsid w:val="00C00E83"/>
    <w:rsid w:val="00C00F5A"/>
    <w:rsid w:val="00C0149B"/>
    <w:rsid w:val="00C01A2E"/>
    <w:rsid w:val="00C0228A"/>
    <w:rsid w:val="00C02588"/>
    <w:rsid w:val="00C026F1"/>
    <w:rsid w:val="00C030B8"/>
    <w:rsid w:val="00C032EB"/>
    <w:rsid w:val="00C03505"/>
    <w:rsid w:val="00C0395C"/>
    <w:rsid w:val="00C03DCC"/>
    <w:rsid w:val="00C045E1"/>
    <w:rsid w:val="00C046FB"/>
    <w:rsid w:val="00C04960"/>
    <w:rsid w:val="00C0499C"/>
    <w:rsid w:val="00C049A1"/>
    <w:rsid w:val="00C049A2"/>
    <w:rsid w:val="00C04D1F"/>
    <w:rsid w:val="00C04D64"/>
    <w:rsid w:val="00C04EF2"/>
    <w:rsid w:val="00C04F79"/>
    <w:rsid w:val="00C05331"/>
    <w:rsid w:val="00C05D66"/>
    <w:rsid w:val="00C05F2E"/>
    <w:rsid w:val="00C060B6"/>
    <w:rsid w:val="00C0642C"/>
    <w:rsid w:val="00C06BBE"/>
    <w:rsid w:val="00C06C45"/>
    <w:rsid w:val="00C06E27"/>
    <w:rsid w:val="00C06E9A"/>
    <w:rsid w:val="00C07D9A"/>
    <w:rsid w:val="00C1009A"/>
    <w:rsid w:val="00C1038D"/>
    <w:rsid w:val="00C10459"/>
    <w:rsid w:val="00C10578"/>
    <w:rsid w:val="00C1084B"/>
    <w:rsid w:val="00C109DA"/>
    <w:rsid w:val="00C10B06"/>
    <w:rsid w:val="00C10C38"/>
    <w:rsid w:val="00C10C7C"/>
    <w:rsid w:val="00C110CC"/>
    <w:rsid w:val="00C1160F"/>
    <w:rsid w:val="00C1191D"/>
    <w:rsid w:val="00C11CE4"/>
    <w:rsid w:val="00C11F18"/>
    <w:rsid w:val="00C121D1"/>
    <w:rsid w:val="00C12A0E"/>
    <w:rsid w:val="00C12A7E"/>
    <w:rsid w:val="00C12C1D"/>
    <w:rsid w:val="00C135BC"/>
    <w:rsid w:val="00C13D2F"/>
    <w:rsid w:val="00C13D47"/>
    <w:rsid w:val="00C14289"/>
    <w:rsid w:val="00C1430E"/>
    <w:rsid w:val="00C14329"/>
    <w:rsid w:val="00C14689"/>
    <w:rsid w:val="00C146A4"/>
    <w:rsid w:val="00C14F3B"/>
    <w:rsid w:val="00C14FE2"/>
    <w:rsid w:val="00C1525A"/>
    <w:rsid w:val="00C15263"/>
    <w:rsid w:val="00C1559D"/>
    <w:rsid w:val="00C1593F"/>
    <w:rsid w:val="00C15C95"/>
    <w:rsid w:val="00C15F54"/>
    <w:rsid w:val="00C17277"/>
    <w:rsid w:val="00C175CB"/>
    <w:rsid w:val="00C175DE"/>
    <w:rsid w:val="00C17607"/>
    <w:rsid w:val="00C17858"/>
    <w:rsid w:val="00C178C5"/>
    <w:rsid w:val="00C17BC4"/>
    <w:rsid w:val="00C17C35"/>
    <w:rsid w:val="00C20062"/>
    <w:rsid w:val="00C202D7"/>
    <w:rsid w:val="00C20308"/>
    <w:rsid w:val="00C20389"/>
    <w:rsid w:val="00C204B7"/>
    <w:rsid w:val="00C20681"/>
    <w:rsid w:val="00C2075C"/>
    <w:rsid w:val="00C20894"/>
    <w:rsid w:val="00C20AD8"/>
    <w:rsid w:val="00C20C2F"/>
    <w:rsid w:val="00C20D3E"/>
    <w:rsid w:val="00C21240"/>
    <w:rsid w:val="00C21642"/>
    <w:rsid w:val="00C2164C"/>
    <w:rsid w:val="00C2193E"/>
    <w:rsid w:val="00C21E16"/>
    <w:rsid w:val="00C224E4"/>
    <w:rsid w:val="00C227DE"/>
    <w:rsid w:val="00C23066"/>
    <w:rsid w:val="00C230DB"/>
    <w:rsid w:val="00C23151"/>
    <w:rsid w:val="00C23571"/>
    <w:rsid w:val="00C236B0"/>
    <w:rsid w:val="00C2377B"/>
    <w:rsid w:val="00C23D01"/>
    <w:rsid w:val="00C23E81"/>
    <w:rsid w:val="00C2434C"/>
    <w:rsid w:val="00C243AE"/>
    <w:rsid w:val="00C2441E"/>
    <w:rsid w:val="00C248A8"/>
    <w:rsid w:val="00C24BB6"/>
    <w:rsid w:val="00C250E5"/>
    <w:rsid w:val="00C253E6"/>
    <w:rsid w:val="00C2596A"/>
    <w:rsid w:val="00C26160"/>
    <w:rsid w:val="00C264A6"/>
    <w:rsid w:val="00C26590"/>
    <w:rsid w:val="00C2661A"/>
    <w:rsid w:val="00C272F6"/>
    <w:rsid w:val="00C273D2"/>
    <w:rsid w:val="00C274F9"/>
    <w:rsid w:val="00C27537"/>
    <w:rsid w:val="00C278DC"/>
    <w:rsid w:val="00C27907"/>
    <w:rsid w:val="00C27A24"/>
    <w:rsid w:val="00C30087"/>
    <w:rsid w:val="00C304A8"/>
    <w:rsid w:val="00C30C74"/>
    <w:rsid w:val="00C3179F"/>
    <w:rsid w:val="00C317AE"/>
    <w:rsid w:val="00C317D5"/>
    <w:rsid w:val="00C319ED"/>
    <w:rsid w:val="00C31C24"/>
    <w:rsid w:val="00C3211C"/>
    <w:rsid w:val="00C322E1"/>
    <w:rsid w:val="00C32509"/>
    <w:rsid w:val="00C3270F"/>
    <w:rsid w:val="00C3272E"/>
    <w:rsid w:val="00C3276D"/>
    <w:rsid w:val="00C328FE"/>
    <w:rsid w:val="00C32BCA"/>
    <w:rsid w:val="00C33028"/>
    <w:rsid w:val="00C333B9"/>
    <w:rsid w:val="00C33507"/>
    <w:rsid w:val="00C337EC"/>
    <w:rsid w:val="00C3397F"/>
    <w:rsid w:val="00C33A6E"/>
    <w:rsid w:val="00C33C0A"/>
    <w:rsid w:val="00C33C1F"/>
    <w:rsid w:val="00C33E1A"/>
    <w:rsid w:val="00C33FFC"/>
    <w:rsid w:val="00C3426C"/>
    <w:rsid w:val="00C34643"/>
    <w:rsid w:val="00C3464A"/>
    <w:rsid w:val="00C346FF"/>
    <w:rsid w:val="00C3489E"/>
    <w:rsid w:val="00C348DA"/>
    <w:rsid w:val="00C349AC"/>
    <w:rsid w:val="00C34BAD"/>
    <w:rsid w:val="00C34E2B"/>
    <w:rsid w:val="00C35241"/>
    <w:rsid w:val="00C352E3"/>
    <w:rsid w:val="00C3537C"/>
    <w:rsid w:val="00C35442"/>
    <w:rsid w:val="00C35631"/>
    <w:rsid w:val="00C35928"/>
    <w:rsid w:val="00C35F90"/>
    <w:rsid w:val="00C36113"/>
    <w:rsid w:val="00C361F3"/>
    <w:rsid w:val="00C367F4"/>
    <w:rsid w:val="00C36AA4"/>
    <w:rsid w:val="00C36ABB"/>
    <w:rsid w:val="00C36B5B"/>
    <w:rsid w:val="00C36D41"/>
    <w:rsid w:val="00C36F02"/>
    <w:rsid w:val="00C36F74"/>
    <w:rsid w:val="00C36FC5"/>
    <w:rsid w:val="00C37074"/>
    <w:rsid w:val="00C374A5"/>
    <w:rsid w:val="00C375EA"/>
    <w:rsid w:val="00C37A36"/>
    <w:rsid w:val="00C37CE5"/>
    <w:rsid w:val="00C401DE"/>
    <w:rsid w:val="00C403DB"/>
    <w:rsid w:val="00C40A9B"/>
    <w:rsid w:val="00C40B11"/>
    <w:rsid w:val="00C40D3F"/>
    <w:rsid w:val="00C40DB9"/>
    <w:rsid w:val="00C412FD"/>
    <w:rsid w:val="00C4130B"/>
    <w:rsid w:val="00C41454"/>
    <w:rsid w:val="00C41672"/>
    <w:rsid w:val="00C4191B"/>
    <w:rsid w:val="00C41A38"/>
    <w:rsid w:val="00C4201D"/>
    <w:rsid w:val="00C422A7"/>
    <w:rsid w:val="00C4292F"/>
    <w:rsid w:val="00C43296"/>
    <w:rsid w:val="00C436C9"/>
    <w:rsid w:val="00C438E2"/>
    <w:rsid w:val="00C43AF5"/>
    <w:rsid w:val="00C43C47"/>
    <w:rsid w:val="00C43CC5"/>
    <w:rsid w:val="00C43D99"/>
    <w:rsid w:val="00C43F29"/>
    <w:rsid w:val="00C4409D"/>
    <w:rsid w:val="00C441A8"/>
    <w:rsid w:val="00C44579"/>
    <w:rsid w:val="00C448D8"/>
    <w:rsid w:val="00C44E72"/>
    <w:rsid w:val="00C44F80"/>
    <w:rsid w:val="00C453F2"/>
    <w:rsid w:val="00C45523"/>
    <w:rsid w:val="00C45629"/>
    <w:rsid w:val="00C4593D"/>
    <w:rsid w:val="00C45A06"/>
    <w:rsid w:val="00C45F8A"/>
    <w:rsid w:val="00C465CF"/>
    <w:rsid w:val="00C46AD7"/>
    <w:rsid w:val="00C474A0"/>
    <w:rsid w:val="00C47736"/>
    <w:rsid w:val="00C477E1"/>
    <w:rsid w:val="00C47A30"/>
    <w:rsid w:val="00C47C2E"/>
    <w:rsid w:val="00C47CBB"/>
    <w:rsid w:val="00C47E57"/>
    <w:rsid w:val="00C47E5B"/>
    <w:rsid w:val="00C50423"/>
    <w:rsid w:val="00C505CF"/>
    <w:rsid w:val="00C506E8"/>
    <w:rsid w:val="00C50816"/>
    <w:rsid w:val="00C50ACE"/>
    <w:rsid w:val="00C50B3D"/>
    <w:rsid w:val="00C50DEA"/>
    <w:rsid w:val="00C513F1"/>
    <w:rsid w:val="00C513F7"/>
    <w:rsid w:val="00C51979"/>
    <w:rsid w:val="00C51B88"/>
    <w:rsid w:val="00C51C85"/>
    <w:rsid w:val="00C51C9F"/>
    <w:rsid w:val="00C51CFE"/>
    <w:rsid w:val="00C51EC1"/>
    <w:rsid w:val="00C52091"/>
    <w:rsid w:val="00C52932"/>
    <w:rsid w:val="00C52BDC"/>
    <w:rsid w:val="00C52C4B"/>
    <w:rsid w:val="00C52ED5"/>
    <w:rsid w:val="00C5336B"/>
    <w:rsid w:val="00C535D4"/>
    <w:rsid w:val="00C5380B"/>
    <w:rsid w:val="00C53A2A"/>
    <w:rsid w:val="00C53F8D"/>
    <w:rsid w:val="00C54143"/>
    <w:rsid w:val="00C55020"/>
    <w:rsid w:val="00C553E4"/>
    <w:rsid w:val="00C5551E"/>
    <w:rsid w:val="00C556FE"/>
    <w:rsid w:val="00C562E2"/>
    <w:rsid w:val="00C562F7"/>
    <w:rsid w:val="00C56364"/>
    <w:rsid w:val="00C567F8"/>
    <w:rsid w:val="00C569A4"/>
    <w:rsid w:val="00C569FE"/>
    <w:rsid w:val="00C57426"/>
    <w:rsid w:val="00C5770C"/>
    <w:rsid w:val="00C57AFD"/>
    <w:rsid w:val="00C57FB4"/>
    <w:rsid w:val="00C60930"/>
    <w:rsid w:val="00C60E44"/>
    <w:rsid w:val="00C61860"/>
    <w:rsid w:val="00C61DA4"/>
    <w:rsid w:val="00C61E4B"/>
    <w:rsid w:val="00C61F4D"/>
    <w:rsid w:val="00C620A5"/>
    <w:rsid w:val="00C620DA"/>
    <w:rsid w:val="00C62591"/>
    <w:rsid w:val="00C625EC"/>
    <w:rsid w:val="00C62E02"/>
    <w:rsid w:val="00C62E75"/>
    <w:rsid w:val="00C62EBF"/>
    <w:rsid w:val="00C62F25"/>
    <w:rsid w:val="00C6320A"/>
    <w:rsid w:val="00C6367A"/>
    <w:rsid w:val="00C63858"/>
    <w:rsid w:val="00C639DD"/>
    <w:rsid w:val="00C63CD2"/>
    <w:rsid w:val="00C63D1E"/>
    <w:rsid w:val="00C63D94"/>
    <w:rsid w:val="00C63DD4"/>
    <w:rsid w:val="00C63ED4"/>
    <w:rsid w:val="00C6441E"/>
    <w:rsid w:val="00C64767"/>
    <w:rsid w:val="00C64792"/>
    <w:rsid w:val="00C64BFF"/>
    <w:rsid w:val="00C65587"/>
    <w:rsid w:val="00C65734"/>
    <w:rsid w:val="00C657B2"/>
    <w:rsid w:val="00C659C7"/>
    <w:rsid w:val="00C65A3C"/>
    <w:rsid w:val="00C65CC7"/>
    <w:rsid w:val="00C660E2"/>
    <w:rsid w:val="00C6692F"/>
    <w:rsid w:val="00C66C69"/>
    <w:rsid w:val="00C66D79"/>
    <w:rsid w:val="00C66DB2"/>
    <w:rsid w:val="00C670E5"/>
    <w:rsid w:val="00C6714D"/>
    <w:rsid w:val="00C6721B"/>
    <w:rsid w:val="00C67330"/>
    <w:rsid w:val="00C67401"/>
    <w:rsid w:val="00C6770B"/>
    <w:rsid w:val="00C67913"/>
    <w:rsid w:val="00C67C25"/>
    <w:rsid w:val="00C67E4F"/>
    <w:rsid w:val="00C67ED7"/>
    <w:rsid w:val="00C704E9"/>
    <w:rsid w:val="00C708D2"/>
    <w:rsid w:val="00C70915"/>
    <w:rsid w:val="00C70CD5"/>
    <w:rsid w:val="00C70F0E"/>
    <w:rsid w:val="00C7183D"/>
    <w:rsid w:val="00C71870"/>
    <w:rsid w:val="00C71E22"/>
    <w:rsid w:val="00C7264E"/>
    <w:rsid w:val="00C7282C"/>
    <w:rsid w:val="00C729E4"/>
    <w:rsid w:val="00C72BED"/>
    <w:rsid w:val="00C72CC0"/>
    <w:rsid w:val="00C72CE7"/>
    <w:rsid w:val="00C73065"/>
    <w:rsid w:val="00C73228"/>
    <w:rsid w:val="00C733F2"/>
    <w:rsid w:val="00C73B77"/>
    <w:rsid w:val="00C73B7F"/>
    <w:rsid w:val="00C73C54"/>
    <w:rsid w:val="00C73D5B"/>
    <w:rsid w:val="00C73D96"/>
    <w:rsid w:val="00C73EF8"/>
    <w:rsid w:val="00C740A1"/>
    <w:rsid w:val="00C744AF"/>
    <w:rsid w:val="00C744BB"/>
    <w:rsid w:val="00C749C0"/>
    <w:rsid w:val="00C74CF4"/>
    <w:rsid w:val="00C74D63"/>
    <w:rsid w:val="00C750F0"/>
    <w:rsid w:val="00C75621"/>
    <w:rsid w:val="00C75A27"/>
    <w:rsid w:val="00C75A44"/>
    <w:rsid w:val="00C75EAA"/>
    <w:rsid w:val="00C75FDD"/>
    <w:rsid w:val="00C763C9"/>
    <w:rsid w:val="00C768A1"/>
    <w:rsid w:val="00C76B54"/>
    <w:rsid w:val="00C76D94"/>
    <w:rsid w:val="00C76F9B"/>
    <w:rsid w:val="00C77092"/>
    <w:rsid w:val="00C77208"/>
    <w:rsid w:val="00C7731C"/>
    <w:rsid w:val="00C773B2"/>
    <w:rsid w:val="00C778A4"/>
    <w:rsid w:val="00C779DA"/>
    <w:rsid w:val="00C77A9E"/>
    <w:rsid w:val="00C77FCF"/>
    <w:rsid w:val="00C80057"/>
    <w:rsid w:val="00C80070"/>
    <w:rsid w:val="00C801B8"/>
    <w:rsid w:val="00C80207"/>
    <w:rsid w:val="00C8062C"/>
    <w:rsid w:val="00C80981"/>
    <w:rsid w:val="00C80C0E"/>
    <w:rsid w:val="00C8156F"/>
    <w:rsid w:val="00C81676"/>
    <w:rsid w:val="00C8189A"/>
    <w:rsid w:val="00C81B64"/>
    <w:rsid w:val="00C81C73"/>
    <w:rsid w:val="00C81D6C"/>
    <w:rsid w:val="00C82232"/>
    <w:rsid w:val="00C82913"/>
    <w:rsid w:val="00C82A54"/>
    <w:rsid w:val="00C82C01"/>
    <w:rsid w:val="00C82D43"/>
    <w:rsid w:val="00C82EE5"/>
    <w:rsid w:val="00C831E1"/>
    <w:rsid w:val="00C8385D"/>
    <w:rsid w:val="00C8448B"/>
    <w:rsid w:val="00C845F5"/>
    <w:rsid w:val="00C848C8"/>
    <w:rsid w:val="00C8493C"/>
    <w:rsid w:val="00C84B21"/>
    <w:rsid w:val="00C850F4"/>
    <w:rsid w:val="00C85C0B"/>
    <w:rsid w:val="00C85F1C"/>
    <w:rsid w:val="00C85F6A"/>
    <w:rsid w:val="00C864E4"/>
    <w:rsid w:val="00C8682D"/>
    <w:rsid w:val="00C86AD5"/>
    <w:rsid w:val="00C8716A"/>
    <w:rsid w:val="00C874DD"/>
    <w:rsid w:val="00C87719"/>
    <w:rsid w:val="00C87AA8"/>
    <w:rsid w:val="00C87EA2"/>
    <w:rsid w:val="00C90158"/>
    <w:rsid w:val="00C9048F"/>
    <w:rsid w:val="00C9089B"/>
    <w:rsid w:val="00C910FD"/>
    <w:rsid w:val="00C91366"/>
    <w:rsid w:val="00C91AC9"/>
    <w:rsid w:val="00C91B45"/>
    <w:rsid w:val="00C9232D"/>
    <w:rsid w:val="00C927D2"/>
    <w:rsid w:val="00C92890"/>
    <w:rsid w:val="00C92A29"/>
    <w:rsid w:val="00C92B30"/>
    <w:rsid w:val="00C92B70"/>
    <w:rsid w:val="00C92CCF"/>
    <w:rsid w:val="00C92FF8"/>
    <w:rsid w:val="00C9303D"/>
    <w:rsid w:val="00C932F4"/>
    <w:rsid w:val="00C93B70"/>
    <w:rsid w:val="00C93E07"/>
    <w:rsid w:val="00C93EC1"/>
    <w:rsid w:val="00C9402A"/>
    <w:rsid w:val="00C9474C"/>
    <w:rsid w:val="00C947C1"/>
    <w:rsid w:val="00C94937"/>
    <w:rsid w:val="00C9499E"/>
    <w:rsid w:val="00C94C55"/>
    <w:rsid w:val="00C94D90"/>
    <w:rsid w:val="00C95169"/>
    <w:rsid w:val="00C95338"/>
    <w:rsid w:val="00C956B7"/>
    <w:rsid w:val="00C956C5"/>
    <w:rsid w:val="00C956FA"/>
    <w:rsid w:val="00C957FF"/>
    <w:rsid w:val="00C95953"/>
    <w:rsid w:val="00C964B5"/>
    <w:rsid w:val="00C96528"/>
    <w:rsid w:val="00C96760"/>
    <w:rsid w:val="00C97056"/>
    <w:rsid w:val="00C9717B"/>
    <w:rsid w:val="00C972A3"/>
    <w:rsid w:val="00C972B1"/>
    <w:rsid w:val="00C97C6B"/>
    <w:rsid w:val="00C97EB0"/>
    <w:rsid w:val="00CA0A47"/>
    <w:rsid w:val="00CA0B2E"/>
    <w:rsid w:val="00CA119A"/>
    <w:rsid w:val="00CA23C4"/>
    <w:rsid w:val="00CA2820"/>
    <w:rsid w:val="00CA2CCE"/>
    <w:rsid w:val="00CA2E21"/>
    <w:rsid w:val="00CA3003"/>
    <w:rsid w:val="00CA323B"/>
    <w:rsid w:val="00CA32CC"/>
    <w:rsid w:val="00CA3532"/>
    <w:rsid w:val="00CA3A61"/>
    <w:rsid w:val="00CA3AFD"/>
    <w:rsid w:val="00CA3B16"/>
    <w:rsid w:val="00CA4246"/>
    <w:rsid w:val="00CA42E9"/>
    <w:rsid w:val="00CA43FD"/>
    <w:rsid w:val="00CA4420"/>
    <w:rsid w:val="00CA450D"/>
    <w:rsid w:val="00CA4843"/>
    <w:rsid w:val="00CA4BAB"/>
    <w:rsid w:val="00CA5270"/>
    <w:rsid w:val="00CA542B"/>
    <w:rsid w:val="00CA555F"/>
    <w:rsid w:val="00CA56B0"/>
    <w:rsid w:val="00CA57C8"/>
    <w:rsid w:val="00CA593D"/>
    <w:rsid w:val="00CA5DFF"/>
    <w:rsid w:val="00CA5E79"/>
    <w:rsid w:val="00CA6094"/>
    <w:rsid w:val="00CA62D1"/>
    <w:rsid w:val="00CA6AE3"/>
    <w:rsid w:val="00CA6E7A"/>
    <w:rsid w:val="00CA7067"/>
    <w:rsid w:val="00CA725C"/>
    <w:rsid w:val="00CA72E8"/>
    <w:rsid w:val="00CA75C7"/>
    <w:rsid w:val="00CA7EF8"/>
    <w:rsid w:val="00CB0207"/>
    <w:rsid w:val="00CB0235"/>
    <w:rsid w:val="00CB0371"/>
    <w:rsid w:val="00CB0679"/>
    <w:rsid w:val="00CB06AC"/>
    <w:rsid w:val="00CB0D7C"/>
    <w:rsid w:val="00CB0FF6"/>
    <w:rsid w:val="00CB12F3"/>
    <w:rsid w:val="00CB175A"/>
    <w:rsid w:val="00CB192C"/>
    <w:rsid w:val="00CB1932"/>
    <w:rsid w:val="00CB19C0"/>
    <w:rsid w:val="00CB1E05"/>
    <w:rsid w:val="00CB2627"/>
    <w:rsid w:val="00CB28C3"/>
    <w:rsid w:val="00CB2D3C"/>
    <w:rsid w:val="00CB2E5A"/>
    <w:rsid w:val="00CB33CC"/>
    <w:rsid w:val="00CB3427"/>
    <w:rsid w:val="00CB3497"/>
    <w:rsid w:val="00CB3626"/>
    <w:rsid w:val="00CB3684"/>
    <w:rsid w:val="00CB3766"/>
    <w:rsid w:val="00CB3A68"/>
    <w:rsid w:val="00CB3B89"/>
    <w:rsid w:val="00CB3C5C"/>
    <w:rsid w:val="00CB3D05"/>
    <w:rsid w:val="00CB3DD6"/>
    <w:rsid w:val="00CB3E44"/>
    <w:rsid w:val="00CB44EE"/>
    <w:rsid w:val="00CB467C"/>
    <w:rsid w:val="00CB4D46"/>
    <w:rsid w:val="00CB4E7A"/>
    <w:rsid w:val="00CB5308"/>
    <w:rsid w:val="00CB5333"/>
    <w:rsid w:val="00CB550D"/>
    <w:rsid w:val="00CB5A43"/>
    <w:rsid w:val="00CB5E36"/>
    <w:rsid w:val="00CB65BB"/>
    <w:rsid w:val="00CB6A2B"/>
    <w:rsid w:val="00CB6B3B"/>
    <w:rsid w:val="00CB6E37"/>
    <w:rsid w:val="00CB7A9C"/>
    <w:rsid w:val="00CB7F5D"/>
    <w:rsid w:val="00CC02CA"/>
    <w:rsid w:val="00CC12A6"/>
    <w:rsid w:val="00CC1C4D"/>
    <w:rsid w:val="00CC1DD4"/>
    <w:rsid w:val="00CC2405"/>
    <w:rsid w:val="00CC259B"/>
    <w:rsid w:val="00CC2635"/>
    <w:rsid w:val="00CC2828"/>
    <w:rsid w:val="00CC2F23"/>
    <w:rsid w:val="00CC38B9"/>
    <w:rsid w:val="00CC3FDC"/>
    <w:rsid w:val="00CC41AD"/>
    <w:rsid w:val="00CC455B"/>
    <w:rsid w:val="00CC489B"/>
    <w:rsid w:val="00CC4922"/>
    <w:rsid w:val="00CC4A2F"/>
    <w:rsid w:val="00CC4BBF"/>
    <w:rsid w:val="00CC4EA8"/>
    <w:rsid w:val="00CC4EC2"/>
    <w:rsid w:val="00CC551B"/>
    <w:rsid w:val="00CC59D0"/>
    <w:rsid w:val="00CC5D93"/>
    <w:rsid w:val="00CC5FD1"/>
    <w:rsid w:val="00CC623F"/>
    <w:rsid w:val="00CC664C"/>
    <w:rsid w:val="00CC6967"/>
    <w:rsid w:val="00CC6AF7"/>
    <w:rsid w:val="00CC6C01"/>
    <w:rsid w:val="00CC6E13"/>
    <w:rsid w:val="00CC6E3F"/>
    <w:rsid w:val="00CC71E7"/>
    <w:rsid w:val="00CC72AD"/>
    <w:rsid w:val="00CC7456"/>
    <w:rsid w:val="00CC7779"/>
    <w:rsid w:val="00CC794F"/>
    <w:rsid w:val="00CC7BBE"/>
    <w:rsid w:val="00CC7FC1"/>
    <w:rsid w:val="00CD055B"/>
    <w:rsid w:val="00CD08A1"/>
    <w:rsid w:val="00CD09FC"/>
    <w:rsid w:val="00CD0EFA"/>
    <w:rsid w:val="00CD0FA9"/>
    <w:rsid w:val="00CD13BD"/>
    <w:rsid w:val="00CD1D21"/>
    <w:rsid w:val="00CD1EB1"/>
    <w:rsid w:val="00CD1EF3"/>
    <w:rsid w:val="00CD1F82"/>
    <w:rsid w:val="00CD20D3"/>
    <w:rsid w:val="00CD270A"/>
    <w:rsid w:val="00CD286F"/>
    <w:rsid w:val="00CD2BCD"/>
    <w:rsid w:val="00CD2C21"/>
    <w:rsid w:val="00CD308E"/>
    <w:rsid w:val="00CD30EF"/>
    <w:rsid w:val="00CD357A"/>
    <w:rsid w:val="00CD3A4C"/>
    <w:rsid w:val="00CD47F2"/>
    <w:rsid w:val="00CD4C9C"/>
    <w:rsid w:val="00CD4E99"/>
    <w:rsid w:val="00CD59D1"/>
    <w:rsid w:val="00CD6203"/>
    <w:rsid w:val="00CD64D5"/>
    <w:rsid w:val="00CD6509"/>
    <w:rsid w:val="00CD6814"/>
    <w:rsid w:val="00CD691D"/>
    <w:rsid w:val="00CD6D66"/>
    <w:rsid w:val="00CD6DE3"/>
    <w:rsid w:val="00CD743E"/>
    <w:rsid w:val="00CD758B"/>
    <w:rsid w:val="00CD7E6C"/>
    <w:rsid w:val="00CE0109"/>
    <w:rsid w:val="00CE0386"/>
    <w:rsid w:val="00CE04B0"/>
    <w:rsid w:val="00CE05AC"/>
    <w:rsid w:val="00CE06EC"/>
    <w:rsid w:val="00CE08C6"/>
    <w:rsid w:val="00CE0A48"/>
    <w:rsid w:val="00CE0DA0"/>
    <w:rsid w:val="00CE10E9"/>
    <w:rsid w:val="00CE135E"/>
    <w:rsid w:val="00CE16E5"/>
    <w:rsid w:val="00CE1FD3"/>
    <w:rsid w:val="00CE1FD7"/>
    <w:rsid w:val="00CE2445"/>
    <w:rsid w:val="00CE24E2"/>
    <w:rsid w:val="00CE2910"/>
    <w:rsid w:val="00CE2C55"/>
    <w:rsid w:val="00CE2D03"/>
    <w:rsid w:val="00CE2D8D"/>
    <w:rsid w:val="00CE37A7"/>
    <w:rsid w:val="00CE3B38"/>
    <w:rsid w:val="00CE3C1E"/>
    <w:rsid w:val="00CE3FB4"/>
    <w:rsid w:val="00CE3FF1"/>
    <w:rsid w:val="00CE40CE"/>
    <w:rsid w:val="00CE40D6"/>
    <w:rsid w:val="00CE42EC"/>
    <w:rsid w:val="00CE4442"/>
    <w:rsid w:val="00CE45DC"/>
    <w:rsid w:val="00CE467D"/>
    <w:rsid w:val="00CE4976"/>
    <w:rsid w:val="00CE4DBD"/>
    <w:rsid w:val="00CE4E1A"/>
    <w:rsid w:val="00CE4EC3"/>
    <w:rsid w:val="00CE4FAD"/>
    <w:rsid w:val="00CE5393"/>
    <w:rsid w:val="00CE54A0"/>
    <w:rsid w:val="00CE55A2"/>
    <w:rsid w:val="00CE55DC"/>
    <w:rsid w:val="00CE6076"/>
    <w:rsid w:val="00CE615F"/>
    <w:rsid w:val="00CE63E9"/>
    <w:rsid w:val="00CE65D7"/>
    <w:rsid w:val="00CE6AEE"/>
    <w:rsid w:val="00CE6EB8"/>
    <w:rsid w:val="00CE76CA"/>
    <w:rsid w:val="00CE77F0"/>
    <w:rsid w:val="00CE7D81"/>
    <w:rsid w:val="00CF03AC"/>
    <w:rsid w:val="00CF04CB"/>
    <w:rsid w:val="00CF0C81"/>
    <w:rsid w:val="00CF0F5E"/>
    <w:rsid w:val="00CF1AF7"/>
    <w:rsid w:val="00CF1E1A"/>
    <w:rsid w:val="00CF24BE"/>
    <w:rsid w:val="00CF3002"/>
    <w:rsid w:val="00CF3062"/>
    <w:rsid w:val="00CF3312"/>
    <w:rsid w:val="00CF33CA"/>
    <w:rsid w:val="00CF3403"/>
    <w:rsid w:val="00CF36BE"/>
    <w:rsid w:val="00CF383E"/>
    <w:rsid w:val="00CF389E"/>
    <w:rsid w:val="00CF3B67"/>
    <w:rsid w:val="00CF4064"/>
    <w:rsid w:val="00CF43DB"/>
    <w:rsid w:val="00CF441C"/>
    <w:rsid w:val="00CF4903"/>
    <w:rsid w:val="00CF4A89"/>
    <w:rsid w:val="00CF4E98"/>
    <w:rsid w:val="00CF5EA6"/>
    <w:rsid w:val="00CF6000"/>
    <w:rsid w:val="00CF60EA"/>
    <w:rsid w:val="00CF6417"/>
    <w:rsid w:val="00CF6587"/>
    <w:rsid w:val="00CF6E02"/>
    <w:rsid w:val="00CF706E"/>
    <w:rsid w:val="00CF722E"/>
    <w:rsid w:val="00CF7462"/>
    <w:rsid w:val="00CF75B0"/>
    <w:rsid w:val="00D00360"/>
    <w:rsid w:val="00D003F3"/>
    <w:rsid w:val="00D00603"/>
    <w:rsid w:val="00D008A1"/>
    <w:rsid w:val="00D00AF2"/>
    <w:rsid w:val="00D00E2A"/>
    <w:rsid w:val="00D0142A"/>
    <w:rsid w:val="00D01EA8"/>
    <w:rsid w:val="00D02D08"/>
    <w:rsid w:val="00D03461"/>
    <w:rsid w:val="00D035C1"/>
    <w:rsid w:val="00D0364F"/>
    <w:rsid w:val="00D03887"/>
    <w:rsid w:val="00D03E8C"/>
    <w:rsid w:val="00D03FD7"/>
    <w:rsid w:val="00D0409B"/>
    <w:rsid w:val="00D04912"/>
    <w:rsid w:val="00D04CF2"/>
    <w:rsid w:val="00D04D42"/>
    <w:rsid w:val="00D04F0D"/>
    <w:rsid w:val="00D055E9"/>
    <w:rsid w:val="00D05716"/>
    <w:rsid w:val="00D05A02"/>
    <w:rsid w:val="00D05ACF"/>
    <w:rsid w:val="00D06207"/>
    <w:rsid w:val="00D06834"/>
    <w:rsid w:val="00D070E9"/>
    <w:rsid w:val="00D073BD"/>
    <w:rsid w:val="00D0750C"/>
    <w:rsid w:val="00D07884"/>
    <w:rsid w:val="00D07ABA"/>
    <w:rsid w:val="00D07B38"/>
    <w:rsid w:val="00D07DB4"/>
    <w:rsid w:val="00D07DF0"/>
    <w:rsid w:val="00D07EF2"/>
    <w:rsid w:val="00D10081"/>
    <w:rsid w:val="00D10364"/>
    <w:rsid w:val="00D1051D"/>
    <w:rsid w:val="00D1052F"/>
    <w:rsid w:val="00D10DCD"/>
    <w:rsid w:val="00D10E3F"/>
    <w:rsid w:val="00D11022"/>
    <w:rsid w:val="00D11D3A"/>
    <w:rsid w:val="00D11E92"/>
    <w:rsid w:val="00D12029"/>
    <w:rsid w:val="00D12150"/>
    <w:rsid w:val="00D1269D"/>
    <w:rsid w:val="00D12C97"/>
    <w:rsid w:val="00D12D76"/>
    <w:rsid w:val="00D1318A"/>
    <w:rsid w:val="00D1345E"/>
    <w:rsid w:val="00D1353E"/>
    <w:rsid w:val="00D137AD"/>
    <w:rsid w:val="00D13F07"/>
    <w:rsid w:val="00D144AA"/>
    <w:rsid w:val="00D14549"/>
    <w:rsid w:val="00D14566"/>
    <w:rsid w:val="00D1480D"/>
    <w:rsid w:val="00D14E45"/>
    <w:rsid w:val="00D14E6D"/>
    <w:rsid w:val="00D15301"/>
    <w:rsid w:val="00D15340"/>
    <w:rsid w:val="00D154C1"/>
    <w:rsid w:val="00D1595D"/>
    <w:rsid w:val="00D15F24"/>
    <w:rsid w:val="00D15F8B"/>
    <w:rsid w:val="00D16161"/>
    <w:rsid w:val="00D1648B"/>
    <w:rsid w:val="00D166D1"/>
    <w:rsid w:val="00D1695E"/>
    <w:rsid w:val="00D16E95"/>
    <w:rsid w:val="00D16F8F"/>
    <w:rsid w:val="00D16FA9"/>
    <w:rsid w:val="00D1706F"/>
    <w:rsid w:val="00D17084"/>
    <w:rsid w:val="00D17705"/>
    <w:rsid w:val="00D20062"/>
    <w:rsid w:val="00D20196"/>
    <w:rsid w:val="00D2025B"/>
    <w:rsid w:val="00D204CA"/>
    <w:rsid w:val="00D20609"/>
    <w:rsid w:val="00D209A4"/>
    <w:rsid w:val="00D20ABD"/>
    <w:rsid w:val="00D20ECA"/>
    <w:rsid w:val="00D21049"/>
    <w:rsid w:val="00D21061"/>
    <w:rsid w:val="00D210E7"/>
    <w:rsid w:val="00D21271"/>
    <w:rsid w:val="00D21330"/>
    <w:rsid w:val="00D2155D"/>
    <w:rsid w:val="00D21D24"/>
    <w:rsid w:val="00D21FDD"/>
    <w:rsid w:val="00D22198"/>
    <w:rsid w:val="00D22359"/>
    <w:rsid w:val="00D2263D"/>
    <w:rsid w:val="00D22B45"/>
    <w:rsid w:val="00D22CFF"/>
    <w:rsid w:val="00D2381E"/>
    <w:rsid w:val="00D23B91"/>
    <w:rsid w:val="00D241E7"/>
    <w:rsid w:val="00D245E8"/>
    <w:rsid w:val="00D246B0"/>
    <w:rsid w:val="00D25413"/>
    <w:rsid w:val="00D25490"/>
    <w:rsid w:val="00D264A9"/>
    <w:rsid w:val="00D267F2"/>
    <w:rsid w:val="00D269AF"/>
    <w:rsid w:val="00D26ABF"/>
    <w:rsid w:val="00D26B55"/>
    <w:rsid w:val="00D26B73"/>
    <w:rsid w:val="00D26C4A"/>
    <w:rsid w:val="00D26DDB"/>
    <w:rsid w:val="00D272DD"/>
    <w:rsid w:val="00D27BCE"/>
    <w:rsid w:val="00D27BE6"/>
    <w:rsid w:val="00D308ED"/>
    <w:rsid w:val="00D30A1D"/>
    <w:rsid w:val="00D30F60"/>
    <w:rsid w:val="00D30FED"/>
    <w:rsid w:val="00D318D8"/>
    <w:rsid w:val="00D31BB2"/>
    <w:rsid w:val="00D31E9A"/>
    <w:rsid w:val="00D3229D"/>
    <w:rsid w:val="00D323A3"/>
    <w:rsid w:val="00D32530"/>
    <w:rsid w:val="00D325E7"/>
    <w:rsid w:val="00D32CD4"/>
    <w:rsid w:val="00D330AE"/>
    <w:rsid w:val="00D332E4"/>
    <w:rsid w:val="00D33DC8"/>
    <w:rsid w:val="00D3456E"/>
    <w:rsid w:val="00D34D86"/>
    <w:rsid w:val="00D350E2"/>
    <w:rsid w:val="00D35585"/>
    <w:rsid w:val="00D35599"/>
    <w:rsid w:val="00D35B68"/>
    <w:rsid w:val="00D36601"/>
    <w:rsid w:val="00D36B15"/>
    <w:rsid w:val="00D36C2B"/>
    <w:rsid w:val="00D36D2D"/>
    <w:rsid w:val="00D36D86"/>
    <w:rsid w:val="00D37285"/>
    <w:rsid w:val="00D37751"/>
    <w:rsid w:val="00D3781B"/>
    <w:rsid w:val="00D40021"/>
    <w:rsid w:val="00D40812"/>
    <w:rsid w:val="00D40A38"/>
    <w:rsid w:val="00D40B14"/>
    <w:rsid w:val="00D40DE0"/>
    <w:rsid w:val="00D41A9D"/>
    <w:rsid w:val="00D41D1C"/>
    <w:rsid w:val="00D42116"/>
    <w:rsid w:val="00D42497"/>
    <w:rsid w:val="00D428AA"/>
    <w:rsid w:val="00D430B0"/>
    <w:rsid w:val="00D434D4"/>
    <w:rsid w:val="00D43652"/>
    <w:rsid w:val="00D43CD2"/>
    <w:rsid w:val="00D43D42"/>
    <w:rsid w:val="00D44126"/>
    <w:rsid w:val="00D441DF"/>
    <w:rsid w:val="00D444DD"/>
    <w:rsid w:val="00D44A7B"/>
    <w:rsid w:val="00D44A88"/>
    <w:rsid w:val="00D44B6D"/>
    <w:rsid w:val="00D45322"/>
    <w:rsid w:val="00D459CA"/>
    <w:rsid w:val="00D45AF0"/>
    <w:rsid w:val="00D45B16"/>
    <w:rsid w:val="00D45BEE"/>
    <w:rsid w:val="00D46205"/>
    <w:rsid w:val="00D4694F"/>
    <w:rsid w:val="00D46D44"/>
    <w:rsid w:val="00D46E6F"/>
    <w:rsid w:val="00D470B2"/>
    <w:rsid w:val="00D47397"/>
    <w:rsid w:val="00D473BD"/>
    <w:rsid w:val="00D4756F"/>
    <w:rsid w:val="00D4786D"/>
    <w:rsid w:val="00D47A8F"/>
    <w:rsid w:val="00D50A34"/>
    <w:rsid w:val="00D50DCC"/>
    <w:rsid w:val="00D51081"/>
    <w:rsid w:val="00D510D1"/>
    <w:rsid w:val="00D512DE"/>
    <w:rsid w:val="00D51BF3"/>
    <w:rsid w:val="00D51C92"/>
    <w:rsid w:val="00D51D84"/>
    <w:rsid w:val="00D520FD"/>
    <w:rsid w:val="00D52192"/>
    <w:rsid w:val="00D52272"/>
    <w:rsid w:val="00D52293"/>
    <w:rsid w:val="00D5264B"/>
    <w:rsid w:val="00D52855"/>
    <w:rsid w:val="00D52A87"/>
    <w:rsid w:val="00D53155"/>
    <w:rsid w:val="00D534D8"/>
    <w:rsid w:val="00D53633"/>
    <w:rsid w:val="00D5372C"/>
    <w:rsid w:val="00D53EFA"/>
    <w:rsid w:val="00D5401D"/>
    <w:rsid w:val="00D54151"/>
    <w:rsid w:val="00D5429A"/>
    <w:rsid w:val="00D545F8"/>
    <w:rsid w:val="00D552F1"/>
    <w:rsid w:val="00D5553E"/>
    <w:rsid w:val="00D5584F"/>
    <w:rsid w:val="00D55919"/>
    <w:rsid w:val="00D55AF6"/>
    <w:rsid w:val="00D55B0E"/>
    <w:rsid w:val="00D55B2E"/>
    <w:rsid w:val="00D55EA0"/>
    <w:rsid w:val="00D563FC"/>
    <w:rsid w:val="00D56439"/>
    <w:rsid w:val="00D568F7"/>
    <w:rsid w:val="00D56A0F"/>
    <w:rsid w:val="00D56BB3"/>
    <w:rsid w:val="00D56F22"/>
    <w:rsid w:val="00D572A7"/>
    <w:rsid w:val="00D574C1"/>
    <w:rsid w:val="00D578FE"/>
    <w:rsid w:val="00D57D3B"/>
    <w:rsid w:val="00D6024A"/>
    <w:rsid w:val="00D602D7"/>
    <w:rsid w:val="00D6034E"/>
    <w:rsid w:val="00D60510"/>
    <w:rsid w:val="00D60643"/>
    <w:rsid w:val="00D6072C"/>
    <w:rsid w:val="00D609DD"/>
    <w:rsid w:val="00D60AFF"/>
    <w:rsid w:val="00D60E6C"/>
    <w:rsid w:val="00D60F47"/>
    <w:rsid w:val="00D61083"/>
    <w:rsid w:val="00D61547"/>
    <w:rsid w:val="00D62528"/>
    <w:rsid w:val="00D63B23"/>
    <w:rsid w:val="00D63FEA"/>
    <w:rsid w:val="00D640E3"/>
    <w:rsid w:val="00D64298"/>
    <w:rsid w:val="00D643A8"/>
    <w:rsid w:val="00D64540"/>
    <w:rsid w:val="00D6455B"/>
    <w:rsid w:val="00D64FAB"/>
    <w:rsid w:val="00D65DC0"/>
    <w:rsid w:val="00D667D2"/>
    <w:rsid w:val="00D668F8"/>
    <w:rsid w:val="00D6698F"/>
    <w:rsid w:val="00D669D5"/>
    <w:rsid w:val="00D66D67"/>
    <w:rsid w:val="00D670B3"/>
    <w:rsid w:val="00D6719C"/>
    <w:rsid w:val="00D67C19"/>
    <w:rsid w:val="00D67C49"/>
    <w:rsid w:val="00D67F83"/>
    <w:rsid w:val="00D704D1"/>
    <w:rsid w:val="00D71225"/>
    <w:rsid w:val="00D712C7"/>
    <w:rsid w:val="00D7134F"/>
    <w:rsid w:val="00D713F2"/>
    <w:rsid w:val="00D71792"/>
    <w:rsid w:val="00D71B7A"/>
    <w:rsid w:val="00D71BF8"/>
    <w:rsid w:val="00D71D86"/>
    <w:rsid w:val="00D71F68"/>
    <w:rsid w:val="00D72189"/>
    <w:rsid w:val="00D72231"/>
    <w:rsid w:val="00D7256F"/>
    <w:rsid w:val="00D725C7"/>
    <w:rsid w:val="00D7277E"/>
    <w:rsid w:val="00D728D7"/>
    <w:rsid w:val="00D73412"/>
    <w:rsid w:val="00D73586"/>
    <w:rsid w:val="00D735AD"/>
    <w:rsid w:val="00D74284"/>
    <w:rsid w:val="00D74FB1"/>
    <w:rsid w:val="00D7518A"/>
    <w:rsid w:val="00D76009"/>
    <w:rsid w:val="00D7669F"/>
    <w:rsid w:val="00D769EE"/>
    <w:rsid w:val="00D76AC6"/>
    <w:rsid w:val="00D77470"/>
    <w:rsid w:val="00D77E79"/>
    <w:rsid w:val="00D77EAE"/>
    <w:rsid w:val="00D80226"/>
    <w:rsid w:val="00D80843"/>
    <w:rsid w:val="00D8087F"/>
    <w:rsid w:val="00D80BCE"/>
    <w:rsid w:val="00D81071"/>
    <w:rsid w:val="00D812D2"/>
    <w:rsid w:val="00D813E1"/>
    <w:rsid w:val="00D81770"/>
    <w:rsid w:val="00D81CDD"/>
    <w:rsid w:val="00D81CE3"/>
    <w:rsid w:val="00D81E29"/>
    <w:rsid w:val="00D82133"/>
    <w:rsid w:val="00D823D6"/>
    <w:rsid w:val="00D824EB"/>
    <w:rsid w:val="00D82515"/>
    <w:rsid w:val="00D82610"/>
    <w:rsid w:val="00D83686"/>
    <w:rsid w:val="00D8376B"/>
    <w:rsid w:val="00D83A65"/>
    <w:rsid w:val="00D83CAF"/>
    <w:rsid w:val="00D83F83"/>
    <w:rsid w:val="00D84074"/>
    <w:rsid w:val="00D8412C"/>
    <w:rsid w:val="00D84C4F"/>
    <w:rsid w:val="00D84EC6"/>
    <w:rsid w:val="00D84EFA"/>
    <w:rsid w:val="00D84F41"/>
    <w:rsid w:val="00D853C2"/>
    <w:rsid w:val="00D85594"/>
    <w:rsid w:val="00D859E5"/>
    <w:rsid w:val="00D85E0B"/>
    <w:rsid w:val="00D85E4A"/>
    <w:rsid w:val="00D8655B"/>
    <w:rsid w:val="00D869C8"/>
    <w:rsid w:val="00D872E6"/>
    <w:rsid w:val="00D87815"/>
    <w:rsid w:val="00D87B35"/>
    <w:rsid w:val="00D87BF2"/>
    <w:rsid w:val="00D87D59"/>
    <w:rsid w:val="00D901F4"/>
    <w:rsid w:val="00D903FB"/>
    <w:rsid w:val="00D9040C"/>
    <w:rsid w:val="00D90D1D"/>
    <w:rsid w:val="00D90E6C"/>
    <w:rsid w:val="00D91449"/>
    <w:rsid w:val="00D918C4"/>
    <w:rsid w:val="00D919B6"/>
    <w:rsid w:val="00D92088"/>
    <w:rsid w:val="00D923EA"/>
    <w:rsid w:val="00D924BE"/>
    <w:rsid w:val="00D927A0"/>
    <w:rsid w:val="00D92813"/>
    <w:rsid w:val="00D92BE3"/>
    <w:rsid w:val="00D92C42"/>
    <w:rsid w:val="00D936F3"/>
    <w:rsid w:val="00D93A51"/>
    <w:rsid w:val="00D93EA6"/>
    <w:rsid w:val="00D93EB2"/>
    <w:rsid w:val="00D9412F"/>
    <w:rsid w:val="00D94219"/>
    <w:rsid w:val="00D94644"/>
    <w:rsid w:val="00D9481F"/>
    <w:rsid w:val="00D94930"/>
    <w:rsid w:val="00D94A7C"/>
    <w:rsid w:val="00D94BC6"/>
    <w:rsid w:val="00D94E78"/>
    <w:rsid w:val="00D95051"/>
    <w:rsid w:val="00D95896"/>
    <w:rsid w:val="00D95ABB"/>
    <w:rsid w:val="00D95ACF"/>
    <w:rsid w:val="00D95DB1"/>
    <w:rsid w:val="00D95E78"/>
    <w:rsid w:val="00D96696"/>
    <w:rsid w:val="00D968A2"/>
    <w:rsid w:val="00D9691C"/>
    <w:rsid w:val="00D96B0F"/>
    <w:rsid w:val="00D96C3B"/>
    <w:rsid w:val="00D96CF4"/>
    <w:rsid w:val="00D96D21"/>
    <w:rsid w:val="00D971AE"/>
    <w:rsid w:val="00D97640"/>
    <w:rsid w:val="00D97EBA"/>
    <w:rsid w:val="00D97F1C"/>
    <w:rsid w:val="00DA06E7"/>
    <w:rsid w:val="00DA0FC3"/>
    <w:rsid w:val="00DA138D"/>
    <w:rsid w:val="00DA1E5E"/>
    <w:rsid w:val="00DA2214"/>
    <w:rsid w:val="00DA344F"/>
    <w:rsid w:val="00DA36CB"/>
    <w:rsid w:val="00DA3703"/>
    <w:rsid w:val="00DA3889"/>
    <w:rsid w:val="00DA39F7"/>
    <w:rsid w:val="00DA3E94"/>
    <w:rsid w:val="00DA3EEB"/>
    <w:rsid w:val="00DA44F6"/>
    <w:rsid w:val="00DA4EB1"/>
    <w:rsid w:val="00DA5053"/>
    <w:rsid w:val="00DA50E5"/>
    <w:rsid w:val="00DA58C4"/>
    <w:rsid w:val="00DA60FA"/>
    <w:rsid w:val="00DA6461"/>
    <w:rsid w:val="00DA6564"/>
    <w:rsid w:val="00DA66B1"/>
    <w:rsid w:val="00DA6B88"/>
    <w:rsid w:val="00DA71DB"/>
    <w:rsid w:val="00DA71F8"/>
    <w:rsid w:val="00DA76EF"/>
    <w:rsid w:val="00DA79F4"/>
    <w:rsid w:val="00DA7E57"/>
    <w:rsid w:val="00DA7FB1"/>
    <w:rsid w:val="00DB02C1"/>
    <w:rsid w:val="00DB0514"/>
    <w:rsid w:val="00DB0619"/>
    <w:rsid w:val="00DB1361"/>
    <w:rsid w:val="00DB154E"/>
    <w:rsid w:val="00DB1676"/>
    <w:rsid w:val="00DB16B7"/>
    <w:rsid w:val="00DB17D5"/>
    <w:rsid w:val="00DB1A6F"/>
    <w:rsid w:val="00DB1AB5"/>
    <w:rsid w:val="00DB264A"/>
    <w:rsid w:val="00DB27C6"/>
    <w:rsid w:val="00DB2966"/>
    <w:rsid w:val="00DB2983"/>
    <w:rsid w:val="00DB2C30"/>
    <w:rsid w:val="00DB2E7F"/>
    <w:rsid w:val="00DB32E7"/>
    <w:rsid w:val="00DB3A6B"/>
    <w:rsid w:val="00DB3B14"/>
    <w:rsid w:val="00DB3F1F"/>
    <w:rsid w:val="00DB4110"/>
    <w:rsid w:val="00DB4198"/>
    <w:rsid w:val="00DB441D"/>
    <w:rsid w:val="00DB4450"/>
    <w:rsid w:val="00DB45D8"/>
    <w:rsid w:val="00DB4750"/>
    <w:rsid w:val="00DB4A13"/>
    <w:rsid w:val="00DB4B76"/>
    <w:rsid w:val="00DB4DB0"/>
    <w:rsid w:val="00DB4EAA"/>
    <w:rsid w:val="00DB5131"/>
    <w:rsid w:val="00DB5524"/>
    <w:rsid w:val="00DB5729"/>
    <w:rsid w:val="00DB5847"/>
    <w:rsid w:val="00DB58FC"/>
    <w:rsid w:val="00DB5BBD"/>
    <w:rsid w:val="00DB60B7"/>
    <w:rsid w:val="00DB6127"/>
    <w:rsid w:val="00DB6387"/>
    <w:rsid w:val="00DB641D"/>
    <w:rsid w:val="00DB66A1"/>
    <w:rsid w:val="00DB673C"/>
    <w:rsid w:val="00DB76FE"/>
    <w:rsid w:val="00DB7B5D"/>
    <w:rsid w:val="00DB7E63"/>
    <w:rsid w:val="00DC0328"/>
    <w:rsid w:val="00DC0F22"/>
    <w:rsid w:val="00DC1085"/>
    <w:rsid w:val="00DC1257"/>
    <w:rsid w:val="00DC14A1"/>
    <w:rsid w:val="00DC1800"/>
    <w:rsid w:val="00DC1C66"/>
    <w:rsid w:val="00DC1EAD"/>
    <w:rsid w:val="00DC23C7"/>
    <w:rsid w:val="00DC2715"/>
    <w:rsid w:val="00DC2AB8"/>
    <w:rsid w:val="00DC314F"/>
    <w:rsid w:val="00DC3740"/>
    <w:rsid w:val="00DC3DC0"/>
    <w:rsid w:val="00DC3E52"/>
    <w:rsid w:val="00DC3FFC"/>
    <w:rsid w:val="00DC417E"/>
    <w:rsid w:val="00DC4397"/>
    <w:rsid w:val="00DC461E"/>
    <w:rsid w:val="00DC4684"/>
    <w:rsid w:val="00DC473E"/>
    <w:rsid w:val="00DC4951"/>
    <w:rsid w:val="00DC49D0"/>
    <w:rsid w:val="00DC4B42"/>
    <w:rsid w:val="00DC4B8B"/>
    <w:rsid w:val="00DC4DE2"/>
    <w:rsid w:val="00DC5134"/>
    <w:rsid w:val="00DC518B"/>
    <w:rsid w:val="00DC51BA"/>
    <w:rsid w:val="00DC5233"/>
    <w:rsid w:val="00DC5333"/>
    <w:rsid w:val="00DC5960"/>
    <w:rsid w:val="00DC59CE"/>
    <w:rsid w:val="00DC5B2B"/>
    <w:rsid w:val="00DC5BB0"/>
    <w:rsid w:val="00DC5DC6"/>
    <w:rsid w:val="00DC5F98"/>
    <w:rsid w:val="00DC608E"/>
    <w:rsid w:val="00DC6222"/>
    <w:rsid w:val="00DC65E9"/>
    <w:rsid w:val="00DC6812"/>
    <w:rsid w:val="00DC70CB"/>
    <w:rsid w:val="00DC72CA"/>
    <w:rsid w:val="00DC7544"/>
    <w:rsid w:val="00DC7C89"/>
    <w:rsid w:val="00DC7D71"/>
    <w:rsid w:val="00DD01AB"/>
    <w:rsid w:val="00DD03EF"/>
    <w:rsid w:val="00DD069A"/>
    <w:rsid w:val="00DD0BDB"/>
    <w:rsid w:val="00DD0CC5"/>
    <w:rsid w:val="00DD0D33"/>
    <w:rsid w:val="00DD108D"/>
    <w:rsid w:val="00DD114E"/>
    <w:rsid w:val="00DD1370"/>
    <w:rsid w:val="00DD14FC"/>
    <w:rsid w:val="00DD167F"/>
    <w:rsid w:val="00DD16A7"/>
    <w:rsid w:val="00DD171E"/>
    <w:rsid w:val="00DD183A"/>
    <w:rsid w:val="00DD22C9"/>
    <w:rsid w:val="00DD266A"/>
    <w:rsid w:val="00DD26F0"/>
    <w:rsid w:val="00DD2C6B"/>
    <w:rsid w:val="00DD2D83"/>
    <w:rsid w:val="00DD2FCB"/>
    <w:rsid w:val="00DD304D"/>
    <w:rsid w:val="00DD318D"/>
    <w:rsid w:val="00DD348E"/>
    <w:rsid w:val="00DD3CBA"/>
    <w:rsid w:val="00DD3D9F"/>
    <w:rsid w:val="00DD3EEC"/>
    <w:rsid w:val="00DD4805"/>
    <w:rsid w:val="00DD4DBD"/>
    <w:rsid w:val="00DD4F63"/>
    <w:rsid w:val="00DD5094"/>
    <w:rsid w:val="00DD534B"/>
    <w:rsid w:val="00DD58CF"/>
    <w:rsid w:val="00DD598B"/>
    <w:rsid w:val="00DD6236"/>
    <w:rsid w:val="00DD62A7"/>
    <w:rsid w:val="00DD6809"/>
    <w:rsid w:val="00DD6C6B"/>
    <w:rsid w:val="00DD6DED"/>
    <w:rsid w:val="00DD76AA"/>
    <w:rsid w:val="00DD7E26"/>
    <w:rsid w:val="00DE01B8"/>
    <w:rsid w:val="00DE0351"/>
    <w:rsid w:val="00DE04F6"/>
    <w:rsid w:val="00DE07A6"/>
    <w:rsid w:val="00DE0908"/>
    <w:rsid w:val="00DE0A18"/>
    <w:rsid w:val="00DE0A30"/>
    <w:rsid w:val="00DE0D1D"/>
    <w:rsid w:val="00DE0DFE"/>
    <w:rsid w:val="00DE1260"/>
    <w:rsid w:val="00DE1837"/>
    <w:rsid w:val="00DE1A3B"/>
    <w:rsid w:val="00DE1B6D"/>
    <w:rsid w:val="00DE1DEB"/>
    <w:rsid w:val="00DE1F92"/>
    <w:rsid w:val="00DE2437"/>
    <w:rsid w:val="00DE26D6"/>
    <w:rsid w:val="00DE29A6"/>
    <w:rsid w:val="00DE2F66"/>
    <w:rsid w:val="00DE3A05"/>
    <w:rsid w:val="00DE3B9A"/>
    <w:rsid w:val="00DE3BB5"/>
    <w:rsid w:val="00DE3C90"/>
    <w:rsid w:val="00DE3D9C"/>
    <w:rsid w:val="00DE3EB2"/>
    <w:rsid w:val="00DE45B0"/>
    <w:rsid w:val="00DE463C"/>
    <w:rsid w:val="00DE4A82"/>
    <w:rsid w:val="00DE4C8E"/>
    <w:rsid w:val="00DE531E"/>
    <w:rsid w:val="00DE5356"/>
    <w:rsid w:val="00DE5C6D"/>
    <w:rsid w:val="00DE6380"/>
    <w:rsid w:val="00DE6661"/>
    <w:rsid w:val="00DE6BB9"/>
    <w:rsid w:val="00DE6C95"/>
    <w:rsid w:val="00DE753F"/>
    <w:rsid w:val="00DE7977"/>
    <w:rsid w:val="00DE7BA6"/>
    <w:rsid w:val="00DF0329"/>
    <w:rsid w:val="00DF085E"/>
    <w:rsid w:val="00DF0AB2"/>
    <w:rsid w:val="00DF0D97"/>
    <w:rsid w:val="00DF116C"/>
    <w:rsid w:val="00DF1190"/>
    <w:rsid w:val="00DF1523"/>
    <w:rsid w:val="00DF171F"/>
    <w:rsid w:val="00DF188C"/>
    <w:rsid w:val="00DF1A2C"/>
    <w:rsid w:val="00DF2346"/>
    <w:rsid w:val="00DF2554"/>
    <w:rsid w:val="00DF271C"/>
    <w:rsid w:val="00DF2948"/>
    <w:rsid w:val="00DF2AEF"/>
    <w:rsid w:val="00DF2B5D"/>
    <w:rsid w:val="00DF2E12"/>
    <w:rsid w:val="00DF2EBE"/>
    <w:rsid w:val="00DF330C"/>
    <w:rsid w:val="00DF378A"/>
    <w:rsid w:val="00DF3924"/>
    <w:rsid w:val="00DF3B6B"/>
    <w:rsid w:val="00DF4100"/>
    <w:rsid w:val="00DF4503"/>
    <w:rsid w:val="00DF4728"/>
    <w:rsid w:val="00DF4CCE"/>
    <w:rsid w:val="00DF4E0C"/>
    <w:rsid w:val="00DF50BB"/>
    <w:rsid w:val="00DF514A"/>
    <w:rsid w:val="00DF51A5"/>
    <w:rsid w:val="00DF52CE"/>
    <w:rsid w:val="00DF550B"/>
    <w:rsid w:val="00DF571F"/>
    <w:rsid w:val="00DF612C"/>
    <w:rsid w:val="00DF6401"/>
    <w:rsid w:val="00DF64F1"/>
    <w:rsid w:val="00DF6690"/>
    <w:rsid w:val="00DF6722"/>
    <w:rsid w:val="00DF6804"/>
    <w:rsid w:val="00DF6F02"/>
    <w:rsid w:val="00DF6F1C"/>
    <w:rsid w:val="00DF7084"/>
    <w:rsid w:val="00DF74C8"/>
    <w:rsid w:val="00DF7570"/>
    <w:rsid w:val="00DF767B"/>
    <w:rsid w:val="00DF778A"/>
    <w:rsid w:val="00DF77B4"/>
    <w:rsid w:val="00E00952"/>
    <w:rsid w:val="00E00994"/>
    <w:rsid w:val="00E00B59"/>
    <w:rsid w:val="00E00CDC"/>
    <w:rsid w:val="00E00CE2"/>
    <w:rsid w:val="00E01F4E"/>
    <w:rsid w:val="00E022CF"/>
    <w:rsid w:val="00E022FB"/>
    <w:rsid w:val="00E024B0"/>
    <w:rsid w:val="00E0290D"/>
    <w:rsid w:val="00E02DB1"/>
    <w:rsid w:val="00E030B9"/>
    <w:rsid w:val="00E0358D"/>
    <w:rsid w:val="00E036D7"/>
    <w:rsid w:val="00E0392B"/>
    <w:rsid w:val="00E03EC5"/>
    <w:rsid w:val="00E03FBB"/>
    <w:rsid w:val="00E042C0"/>
    <w:rsid w:val="00E04323"/>
    <w:rsid w:val="00E04CFB"/>
    <w:rsid w:val="00E04D0D"/>
    <w:rsid w:val="00E04DAD"/>
    <w:rsid w:val="00E04E21"/>
    <w:rsid w:val="00E05177"/>
    <w:rsid w:val="00E05483"/>
    <w:rsid w:val="00E05866"/>
    <w:rsid w:val="00E05D94"/>
    <w:rsid w:val="00E0682C"/>
    <w:rsid w:val="00E06A0A"/>
    <w:rsid w:val="00E06C3C"/>
    <w:rsid w:val="00E070A2"/>
    <w:rsid w:val="00E073B8"/>
    <w:rsid w:val="00E07B84"/>
    <w:rsid w:val="00E07D64"/>
    <w:rsid w:val="00E07ECF"/>
    <w:rsid w:val="00E102C5"/>
    <w:rsid w:val="00E107AC"/>
    <w:rsid w:val="00E107E7"/>
    <w:rsid w:val="00E10BD4"/>
    <w:rsid w:val="00E10E0A"/>
    <w:rsid w:val="00E10EDB"/>
    <w:rsid w:val="00E113D0"/>
    <w:rsid w:val="00E11515"/>
    <w:rsid w:val="00E118A0"/>
    <w:rsid w:val="00E118DF"/>
    <w:rsid w:val="00E11D89"/>
    <w:rsid w:val="00E11E37"/>
    <w:rsid w:val="00E11FD6"/>
    <w:rsid w:val="00E120D0"/>
    <w:rsid w:val="00E1218D"/>
    <w:rsid w:val="00E12E42"/>
    <w:rsid w:val="00E13006"/>
    <w:rsid w:val="00E13074"/>
    <w:rsid w:val="00E133E1"/>
    <w:rsid w:val="00E1357E"/>
    <w:rsid w:val="00E13689"/>
    <w:rsid w:val="00E138CC"/>
    <w:rsid w:val="00E13E67"/>
    <w:rsid w:val="00E13F65"/>
    <w:rsid w:val="00E14548"/>
    <w:rsid w:val="00E1462D"/>
    <w:rsid w:val="00E1468A"/>
    <w:rsid w:val="00E14961"/>
    <w:rsid w:val="00E14995"/>
    <w:rsid w:val="00E14A2B"/>
    <w:rsid w:val="00E14CCE"/>
    <w:rsid w:val="00E14FB4"/>
    <w:rsid w:val="00E15104"/>
    <w:rsid w:val="00E15B77"/>
    <w:rsid w:val="00E15FB7"/>
    <w:rsid w:val="00E1608E"/>
    <w:rsid w:val="00E160B5"/>
    <w:rsid w:val="00E1613D"/>
    <w:rsid w:val="00E1625A"/>
    <w:rsid w:val="00E164F6"/>
    <w:rsid w:val="00E1676B"/>
    <w:rsid w:val="00E171EE"/>
    <w:rsid w:val="00E17472"/>
    <w:rsid w:val="00E176CD"/>
    <w:rsid w:val="00E178DC"/>
    <w:rsid w:val="00E2016F"/>
    <w:rsid w:val="00E2018F"/>
    <w:rsid w:val="00E20394"/>
    <w:rsid w:val="00E20763"/>
    <w:rsid w:val="00E2086A"/>
    <w:rsid w:val="00E20BF9"/>
    <w:rsid w:val="00E20E2E"/>
    <w:rsid w:val="00E20F86"/>
    <w:rsid w:val="00E20FE1"/>
    <w:rsid w:val="00E217A7"/>
    <w:rsid w:val="00E21871"/>
    <w:rsid w:val="00E21D30"/>
    <w:rsid w:val="00E21E09"/>
    <w:rsid w:val="00E21E9C"/>
    <w:rsid w:val="00E22814"/>
    <w:rsid w:val="00E228B2"/>
    <w:rsid w:val="00E22F9A"/>
    <w:rsid w:val="00E22FC1"/>
    <w:rsid w:val="00E23491"/>
    <w:rsid w:val="00E236D3"/>
    <w:rsid w:val="00E2407E"/>
    <w:rsid w:val="00E2411A"/>
    <w:rsid w:val="00E241F9"/>
    <w:rsid w:val="00E24424"/>
    <w:rsid w:val="00E24759"/>
    <w:rsid w:val="00E2496E"/>
    <w:rsid w:val="00E24AA4"/>
    <w:rsid w:val="00E24AB5"/>
    <w:rsid w:val="00E24FF0"/>
    <w:rsid w:val="00E252B4"/>
    <w:rsid w:val="00E25317"/>
    <w:rsid w:val="00E25A3A"/>
    <w:rsid w:val="00E25AB5"/>
    <w:rsid w:val="00E25E0B"/>
    <w:rsid w:val="00E26087"/>
    <w:rsid w:val="00E261BE"/>
    <w:rsid w:val="00E2656A"/>
    <w:rsid w:val="00E26644"/>
    <w:rsid w:val="00E266D4"/>
    <w:rsid w:val="00E26E6F"/>
    <w:rsid w:val="00E27066"/>
    <w:rsid w:val="00E271BE"/>
    <w:rsid w:val="00E2745A"/>
    <w:rsid w:val="00E27488"/>
    <w:rsid w:val="00E27D08"/>
    <w:rsid w:val="00E27D12"/>
    <w:rsid w:val="00E27D88"/>
    <w:rsid w:val="00E30039"/>
    <w:rsid w:val="00E300C8"/>
    <w:rsid w:val="00E302C7"/>
    <w:rsid w:val="00E30761"/>
    <w:rsid w:val="00E3091D"/>
    <w:rsid w:val="00E30A99"/>
    <w:rsid w:val="00E30B14"/>
    <w:rsid w:val="00E30C28"/>
    <w:rsid w:val="00E30D67"/>
    <w:rsid w:val="00E315EE"/>
    <w:rsid w:val="00E3175A"/>
    <w:rsid w:val="00E319F8"/>
    <w:rsid w:val="00E31F50"/>
    <w:rsid w:val="00E32151"/>
    <w:rsid w:val="00E325BD"/>
    <w:rsid w:val="00E327B7"/>
    <w:rsid w:val="00E32D7E"/>
    <w:rsid w:val="00E33092"/>
    <w:rsid w:val="00E331BE"/>
    <w:rsid w:val="00E331EF"/>
    <w:rsid w:val="00E34518"/>
    <w:rsid w:val="00E3495A"/>
    <w:rsid w:val="00E349FC"/>
    <w:rsid w:val="00E34AAC"/>
    <w:rsid w:val="00E34B65"/>
    <w:rsid w:val="00E34FD5"/>
    <w:rsid w:val="00E358FB"/>
    <w:rsid w:val="00E3675B"/>
    <w:rsid w:val="00E36C9B"/>
    <w:rsid w:val="00E37E20"/>
    <w:rsid w:val="00E40729"/>
    <w:rsid w:val="00E40886"/>
    <w:rsid w:val="00E4097A"/>
    <w:rsid w:val="00E40A86"/>
    <w:rsid w:val="00E40AE5"/>
    <w:rsid w:val="00E40BFF"/>
    <w:rsid w:val="00E412D0"/>
    <w:rsid w:val="00E41617"/>
    <w:rsid w:val="00E41684"/>
    <w:rsid w:val="00E417C2"/>
    <w:rsid w:val="00E419CE"/>
    <w:rsid w:val="00E419F2"/>
    <w:rsid w:val="00E41CDC"/>
    <w:rsid w:val="00E41FA2"/>
    <w:rsid w:val="00E424F0"/>
    <w:rsid w:val="00E42664"/>
    <w:rsid w:val="00E42712"/>
    <w:rsid w:val="00E4285E"/>
    <w:rsid w:val="00E434EC"/>
    <w:rsid w:val="00E4369B"/>
    <w:rsid w:val="00E437A0"/>
    <w:rsid w:val="00E437EA"/>
    <w:rsid w:val="00E443CE"/>
    <w:rsid w:val="00E446FA"/>
    <w:rsid w:val="00E4477C"/>
    <w:rsid w:val="00E44C44"/>
    <w:rsid w:val="00E44C62"/>
    <w:rsid w:val="00E44D98"/>
    <w:rsid w:val="00E46164"/>
    <w:rsid w:val="00E46984"/>
    <w:rsid w:val="00E46A08"/>
    <w:rsid w:val="00E46A96"/>
    <w:rsid w:val="00E46DD8"/>
    <w:rsid w:val="00E47190"/>
    <w:rsid w:val="00E47279"/>
    <w:rsid w:val="00E47D9B"/>
    <w:rsid w:val="00E5003E"/>
    <w:rsid w:val="00E5087E"/>
    <w:rsid w:val="00E50931"/>
    <w:rsid w:val="00E50F20"/>
    <w:rsid w:val="00E5124A"/>
    <w:rsid w:val="00E51659"/>
    <w:rsid w:val="00E5177E"/>
    <w:rsid w:val="00E51F23"/>
    <w:rsid w:val="00E5207D"/>
    <w:rsid w:val="00E521AE"/>
    <w:rsid w:val="00E5228B"/>
    <w:rsid w:val="00E52297"/>
    <w:rsid w:val="00E527E9"/>
    <w:rsid w:val="00E528AA"/>
    <w:rsid w:val="00E52D3A"/>
    <w:rsid w:val="00E52D83"/>
    <w:rsid w:val="00E53080"/>
    <w:rsid w:val="00E533B9"/>
    <w:rsid w:val="00E5347F"/>
    <w:rsid w:val="00E539A3"/>
    <w:rsid w:val="00E53A44"/>
    <w:rsid w:val="00E53D6B"/>
    <w:rsid w:val="00E53FA4"/>
    <w:rsid w:val="00E53FA7"/>
    <w:rsid w:val="00E54038"/>
    <w:rsid w:val="00E543E7"/>
    <w:rsid w:val="00E54BA3"/>
    <w:rsid w:val="00E54CB7"/>
    <w:rsid w:val="00E54E10"/>
    <w:rsid w:val="00E557C7"/>
    <w:rsid w:val="00E557D3"/>
    <w:rsid w:val="00E55998"/>
    <w:rsid w:val="00E55DF9"/>
    <w:rsid w:val="00E56322"/>
    <w:rsid w:val="00E56329"/>
    <w:rsid w:val="00E56BC3"/>
    <w:rsid w:val="00E56BC6"/>
    <w:rsid w:val="00E56E5B"/>
    <w:rsid w:val="00E57445"/>
    <w:rsid w:val="00E574C7"/>
    <w:rsid w:val="00E57B24"/>
    <w:rsid w:val="00E60982"/>
    <w:rsid w:val="00E60EA6"/>
    <w:rsid w:val="00E6139E"/>
    <w:rsid w:val="00E61475"/>
    <w:rsid w:val="00E61483"/>
    <w:rsid w:val="00E61A8D"/>
    <w:rsid w:val="00E61C77"/>
    <w:rsid w:val="00E61ECB"/>
    <w:rsid w:val="00E62069"/>
    <w:rsid w:val="00E62282"/>
    <w:rsid w:val="00E6231C"/>
    <w:rsid w:val="00E62757"/>
    <w:rsid w:val="00E62BF8"/>
    <w:rsid w:val="00E62C62"/>
    <w:rsid w:val="00E62D62"/>
    <w:rsid w:val="00E62E96"/>
    <w:rsid w:val="00E6348E"/>
    <w:rsid w:val="00E637CF"/>
    <w:rsid w:val="00E6382F"/>
    <w:rsid w:val="00E638E4"/>
    <w:rsid w:val="00E63D9B"/>
    <w:rsid w:val="00E64430"/>
    <w:rsid w:val="00E644BD"/>
    <w:rsid w:val="00E646AD"/>
    <w:rsid w:val="00E64781"/>
    <w:rsid w:val="00E647CA"/>
    <w:rsid w:val="00E65326"/>
    <w:rsid w:val="00E654C1"/>
    <w:rsid w:val="00E6573A"/>
    <w:rsid w:val="00E6573E"/>
    <w:rsid w:val="00E65C3C"/>
    <w:rsid w:val="00E65D97"/>
    <w:rsid w:val="00E65DF4"/>
    <w:rsid w:val="00E66145"/>
    <w:rsid w:val="00E6619C"/>
    <w:rsid w:val="00E6659A"/>
    <w:rsid w:val="00E66624"/>
    <w:rsid w:val="00E66C07"/>
    <w:rsid w:val="00E66C1A"/>
    <w:rsid w:val="00E66E9B"/>
    <w:rsid w:val="00E66ED8"/>
    <w:rsid w:val="00E67414"/>
    <w:rsid w:val="00E67728"/>
    <w:rsid w:val="00E67986"/>
    <w:rsid w:val="00E67E76"/>
    <w:rsid w:val="00E7006B"/>
    <w:rsid w:val="00E702C3"/>
    <w:rsid w:val="00E70691"/>
    <w:rsid w:val="00E708CF"/>
    <w:rsid w:val="00E70F4A"/>
    <w:rsid w:val="00E71766"/>
    <w:rsid w:val="00E7181F"/>
    <w:rsid w:val="00E71C5B"/>
    <w:rsid w:val="00E71CE7"/>
    <w:rsid w:val="00E71F6E"/>
    <w:rsid w:val="00E72046"/>
    <w:rsid w:val="00E72763"/>
    <w:rsid w:val="00E72A5A"/>
    <w:rsid w:val="00E72D7A"/>
    <w:rsid w:val="00E73354"/>
    <w:rsid w:val="00E7366E"/>
    <w:rsid w:val="00E73A77"/>
    <w:rsid w:val="00E73B63"/>
    <w:rsid w:val="00E73EBB"/>
    <w:rsid w:val="00E74D1A"/>
    <w:rsid w:val="00E75BA4"/>
    <w:rsid w:val="00E75D0D"/>
    <w:rsid w:val="00E763A2"/>
    <w:rsid w:val="00E76558"/>
    <w:rsid w:val="00E7699E"/>
    <w:rsid w:val="00E76B94"/>
    <w:rsid w:val="00E76DC4"/>
    <w:rsid w:val="00E76DEF"/>
    <w:rsid w:val="00E76DFF"/>
    <w:rsid w:val="00E770D6"/>
    <w:rsid w:val="00E7787C"/>
    <w:rsid w:val="00E77970"/>
    <w:rsid w:val="00E77D7C"/>
    <w:rsid w:val="00E8047E"/>
    <w:rsid w:val="00E8055B"/>
    <w:rsid w:val="00E805A4"/>
    <w:rsid w:val="00E8086D"/>
    <w:rsid w:val="00E809DF"/>
    <w:rsid w:val="00E80EB4"/>
    <w:rsid w:val="00E81340"/>
    <w:rsid w:val="00E8144C"/>
    <w:rsid w:val="00E814A4"/>
    <w:rsid w:val="00E814C3"/>
    <w:rsid w:val="00E81719"/>
    <w:rsid w:val="00E81AEE"/>
    <w:rsid w:val="00E81E3E"/>
    <w:rsid w:val="00E81F5D"/>
    <w:rsid w:val="00E825EE"/>
    <w:rsid w:val="00E826FD"/>
    <w:rsid w:val="00E82E6A"/>
    <w:rsid w:val="00E830BD"/>
    <w:rsid w:val="00E834B4"/>
    <w:rsid w:val="00E8379A"/>
    <w:rsid w:val="00E83BB2"/>
    <w:rsid w:val="00E83C19"/>
    <w:rsid w:val="00E83C68"/>
    <w:rsid w:val="00E83CC7"/>
    <w:rsid w:val="00E83DA7"/>
    <w:rsid w:val="00E84D52"/>
    <w:rsid w:val="00E84D7C"/>
    <w:rsid w:val="00E8525B"/>
    <w:rsid w:val="00E853B9"/>
    <w:rsid w:val="00E854A0"/>
    <w:rsid w:val="00E8597A"/>
    <w:rsid w:val="00E86099"/>
    <w:rsid w:val="00E86226"/>
    <w:rsid w:val="00E86748"/>
    <w:rsid w:val="00E86BF4"/>
    <w:rsid w:val="00E86DE9"/>
    <w:rsid w:val="00E86FCB"/>
    <w:rsid w:val="00E87045"/>
    <w:rsid w:val="00E87349"/>
    <w:rsid w:val="00E90075"/>
    <w:rsid w:val="00E90759"/>
    <w:rsid w:val="00E908E3"/>
    <w:rsid w:val="00E909FB"/>
    <w:rsid w:val="00E90F33"/>
    <w:rsid w:val="00E91279"/>
    <w:rsid w:val="00E9163C"/>
    <w:rsid w:val="00E91747"/>
    <w:rsid w:val="00E91CD3"/>
    <w:rsid w:val="00E9200F"/>
    <w:rsid w:val="00E9242D"/>
    <w:rsid w:val="00E924CF"/>
    <w:rsid w:val="00E92646"/>
    <w:rsid w:val="00E92F2A"/>
    <w:rsid w:val="00E9307D"/>
    <w:rsid w:val="00E93B3A"/>
    <w:rsid w:val="00E93BDF"/>
    <w:rsid w:val="00E93D27"/>
    <w:rsid w:val="00E93F4F"/>
    <w:rsid w:val="00E94C6F"/>
    <w:rsid w:val="00E951B4"/>
    <w:rsid w:val="00E952C0"/>
    <w:rsid w:val="00E9581A"/>
    <w:rsid w:val="00E96183"/>
    <w:rsid w:val="00E963F2"/>
    <w:rsid w:val="00E965DF"/>
    <w:rsid w:val="00E96682"/>
    <w:rsid w:val="00E96AC8"/>
    <w:rsid w:val="00E96C25"/>
    <w:rsid w:val="00E96CA8"/>
    <w:rsid w:val="00E96D28"/>
    <w:rsid w:val="00E96DCF"/>
    <w:rsid w:val="00E96F89"/>
    <w:rsid w:val="00E97361"/>
    <w:rsid w:val="00E974DD"/>
    <w:rsid w:val="00E97526"/>
    <w:rsid w:val="00E97946"/>
    <w:rsid w:val="00E97BFB"/>
    <w:rsid w:val="00E97D39"/>
    <w:rsid w:val="00EA00AC"/>
    <w:rsid w:val="00EA00F2"/>
    <w:rsid w:val="00EA03A3"/>
    <w:rsid w:val="00EA06D6"/>
    <w:rsid w:val="00EA0A12"/>
    <w:rsid w:val="00EA0A8D"/>
    <w:rsid w:val="00EA0B37"/>
    <w:rsid w:val="00EA10D2"/>
    <w:rsid w:val="00EA13A9"/>
    <w:rsid w:val="00EA170F"/>
    <w:rsid w:val="00EA2059"/>
    <w:rsid w:val="00EA25AF"/>
    <w:rsid w:val="00EA25BB"/>
    <w:rsid w:val="00EA2ACB"/>
    <w:rsid w:val="00EA2C08"/>
    <w:rsid w:val="00EA2D60"/>
    <w:rsid w:val="00EA2F4E"/>
    <w:rsid w:val="00EA3036"/>
    <w:rsid w:val="00EA34A9"/>
    <w:rsid w:val="00EA368C"/>
    <w:rsid w:val="00EA39FF"/>
    <w:rsid w:val="00EA3F33"/>
    <w:rsid w:val="00EA3F57"/>
    <w:rsid w:val="00EA4A4C"/>
    <w:rsid w:val="00EA4E9B"/>
    <w:rsid w:val="00EA53F1"/>
    <w:rsid w:val="00EA5817"/>
    <w:rsid w:val="00EA5A03"/>
    <w:rsid w:val="00EA5D1A"/>
    <w:rsid w:val="00EA616E"/>
    <w:rsid w:val="00EA6293"/>
    <w:rsid w:val="00EA63F3"/>
    <w:rsid w:val="00EA6409"/>
    <w:rsid w:val="00EA64ED"/>
    <w:rsid w:val="00EA6902"/>
    <w:rsid w:val="00EA6EA0"/>
    <w:rsid w:val="00EA7C1E"/>
    <w:rsid w:val="00EA7E70"/>
    <w:rsid w:val="00EB0070"/>
    <w:rsid w:val="00EB017D"/>
    <w:rsid w:val="00EB063D"/>
    <w:rsid w:val="00EB0A2C"/>
    <w:rsid w:val="00EB0A74"/>
    <w:rsid w:val="00EB0AE0"/>
    <w:rsid w:val="00EB0D4C"/>
    <w:rsid w:val="00EB0DB4"/>
    <w:rsid w:val="00EB1386"/>
    <w:rsid w:val="00EB15B3"/>
    <w:rsid w:val="00EB18CD"/>
    <w:rsid w:val="00EB1CB4"/>
    <w:rsid w:val="00EB1D84"/>
    <w:rsid w:val="00EB1E9D"/>
    <w:rsid w:val="00EB22CA"/>
    <w:rsid w:val="00EB29E6"/>
    <w:rsid w:val="00EB2EDB"/>
    <w:rsid w:val="00EB2F43"/>
    <w:rsid w:val="00EB307D"/>
    <w:rsid w:val="00EB327A"/>
    <w:rsid w:val="00EB32A3"/>
    <w:rsid w:val="00EB35EA"/>
    <w:rsid w:val="00EB3668"/>
    <w:rsid w:val="00EB37F4"/>
    <w:rsid w:val="00EB3F2F"/>
    <w:rsid w:val="00EB408B"/>
    <w:rsid w:val="00EB41CB"/>
    <w:rsid w:val="00EB481B"/>
    <w:rsid w:val="00EB4A2C"/>
    <w:rsid w:val="00EB4B3F"/>
    <w:rsid w:val="00EB4EDF"/>
    <w:rsid w:val="00EB5255"/>
    <w:rsid w:val="00EB5476"/>
    <w:rsid w:val="00EB5742"/>
    <w:rsid w:val="00EB5857"/>
    <w:rsid w:val="00EB5C47"/>
    <w:rsid w:val="00EB5F16"/>
    <w:rsid w:val="00EB5F77"/>
    <w:rsid w:val="00EB6263"/>
    <w:rsid w:val="00EB6854"/>
    <w:rsid w:val="00EB6A2B"/>
    <w:rsid w:val="00EB6ABB"/>
    <w:rsid w:val="00EB6C2B"/>
    <w:rsid w:val="00EB6C56"/>
    <w:rsid w:val="00EB6C6F"/>
    <w:rsid w:val="00EB7651"/>
    <w:rsid w:val="00EB7687"/>
    <w:rsid w:val="00EB7D39"/>
    <w:rsid w:val="00EC043E"/>
    <w:rsid w:val="00EC09D0"/>
    <w:rsid w:val="00EC0AEF"/>
    <w:rsid w:val="00EC0D4B"/>
    <w:rsid w:val="00EC0E17"/>
    <w:rsid w:val="00EC11AC"/>
    <w:rsid w:val="00EC19D3"/>
    <w:rsid w:val="00EC1C1F"/>
    <w:rsid w:val="00EC1CEB"/>
    <w:rsid w:val="00EC21D3"/>
    <w:rsid w:val="00EC2598"/>
    <w:rsid w:val="00EC2679"/>
    <w:rsid w:val="00EC277E"/>
    <w:rsid w:val="00EC2903"/>
    <w:rsid w:val="00EC2FCE"/>
    <w:rsid w:val="00EC311A"/>
    <w:rsid w:val="00EC3341"/>
    <w:rsid w:val="00EC3482"/>
    <w:rsid w:val="00EC36FA"/>
    <w:rsid w:val="00EC3CCC"/>
    <w:rsid w:val="00EC3EED"/>
    <w:rsid w:val="00EC413D"/>
    <w:rsid w:val="00EC4203"/>
    <w:rsid w:val="00EC4866"/>
    <w:rsid w:val="00EC49A2"/>
    <w:rsid w:val="00EC4CB8"/>
    <w:rsid w:val="00EC4DA4"/>
    <w:rsid w:val="00EC51B3"/>
    <w:rsid w:val="00EC5364"/>
    <w:rsid w:val="00EC5393"/>
    <w:rsid w:val="00EC56B8"/>
    <w:rsid w:val="00EC6005"/>
    <w:rsid w:val="00EC6009"/>
    <w:rsid w:val="00EC60CB"/>
    <w:rsid w:val="00EC61C6"/>
    <w:rsid w:val="00EC6528"/>
    <w:rsid w:val="00EC69B4"/>
    <w:rsid w:val="00EC6AF1"/>
    <w:rsid w:val="00EC6D0F"/>
    <w:rsid w:val="00EC6D22"/>
    <w:rsid w:val="00EC6E92"/>
    <w:rsid w:val="00EC6FCD"/>
    <w:rsid w:val="00EC7A69"/>
    <w:rsid w:val="00ED00E2"/>
    <w:rsid w:val="00ED0639"/>
    <w:rsid w:val="00ED07BA"/>
    <w:rsid w:val="00ED0CA4"/>
    <w:rsid w:val="00ED1017"/>
    <w:rsid w:val="00ED130F"/>
    <w:rsid w:val="00ED1A4B"/>
    <w:rsid w:val="00ED1B38"/>
    <w:rsid w:val="00ED1C2C"/>
    <w:rsid w:val="00ED1DC9"/>
    <w:rsid w:val="00ED1E08"/>
    <w:rsid w:val="00ED2A04"/>
    <w:rsid w:val="00ED2EFC"/>
    <w:rsid w:val="00ED2F0E"/>
    <w:rsid w:val="00ED3B68"/>
    <w:rsid w:val="00ED3E78"/>
    <w:rsid w:val="00ED45DD"/>
    <w:rsid w:val="00ED46D2"/>
    <w:rsid w:val="00ED4BA7"/>
    <w:rsid w:val="00ED4FDE"/>
    <w:rsid w:val="00ED52D7"/>
    <w:rsid w:val="00ED5430"/>
    <w:rsid w:val="00ED5810"/>
    <w:rsid w:val="00ED5D74"/>
    <w:rsid w:val="00ED5DF7"/>
    <w:rsid w:val="00ED5F50"/>
    <w:rsid w:val="00ED5F9D"/>
    <w:rsid w:val="00ED60F6"/>
    <w:rsid w:val="00ED61D0"/>
    <w:rsid w:val="00ED6478"/>
    <w:rsid w:val="00ED6690"/>
    <w:rsid w:val="00ED66D5"/>
    <w:rsid w:val="00ED6C11"/>
    <w:rsid w:val="00ED6CB8"/>
    <w:rsid w:val="00ED6F9D"/>
    <w:rsid w:val="00ED6FA8"/>
    <w:rsid w:val="00ED7156"/>
    <w:rsid w:val="00ED7628"/>
    <w:rsid w:val="00ED79ED"/>
    <w:rsid w:val="00ED7B1D"/>
    <w:rsid w:val="00EE01A0"/>
    <w:rsid w:val="00EE0370"/>
    <w:rsid w:val="00EE03AF"/>
    <w:rsid w:val="00EE0CBA"/>
    <w:rsid w:val="00EE11E8"/>
    <w:rsid w:val="00EE1294"/>
    <w:rsid w:val="00EE1309"/>
    <w:rsid w:val="00EE1627"/>
    <w:rsid w:val="00EE165C"/>
    <w:rsid w:val="00EE1D2D"/>
    <w:rsid w:val="00EE1F16"/>
    <w:rsid w:val="00EE1FA6"/>
    <w:rsid w:val="00EE216E"/>
    <w:rsid w:val="00EE2241"/>
    <w:rsid w:val="00EE2836"/>
    <w:rsid w:val="00EE28C3"/>
    <w:rsid w:val="00EE2A29"/>
    <w:rsid w:val="00EE2BDC"/>
    <w:rsid w:val="00EE2E52"/>
    <w:rsid w:val="00EE305A"/>
    <w:rsid w:val="00EE328A"/>
    <w:rsid w:val="00EE3435"/>
    <w:rsid w:val="00EE355B"/>
    <w:rsid w:val="00EE35AE"/>
    <w:rsid w:val="00EE3643"/>
    <w:rsid w:val="00EE3B4A"/>
    <w:rsid w:val="00EE3C6C"/>
    <w:rsid w:val="00EE42D4"/>
    <w:rsid w:val="00EE4601"/>
    <w:rsid w:val="00EE4B51"/>
    <w:rsid w:val="00EE5881"/>
    <w:rsid w:val="00EE58C7"/>
    <w:rsid w:val="00EE597D"/>
    <w:rsid w:val="00EE5A2D"/>
    <w:rsid w:val="00EE5A90"/>
    <w:rsid w:val="00EE5DF5"/>
    <w:rsid w:val="00EE5EA5"/>
    <w:rsid w:val="00EE5FC8"/>
    <w:rsid w:val="00EE62B3"/>
    <w:rsid w:val="00EE655F"/>
    <w:rsid w:val="00EE6A4F"/>
    <w:rsid w:val="00EE6BD1"/>
    <w:rsid w:val="00EE6C92"/>
    <w:rsid w:val="00EE744C"/>
    <w:rsid w:val="00EE7450"/>
    <w:rsid w:val="00EE75A2"/>
    <w:rsid w:val="00EE7834"/>
    <w:rsid w:val="00EE794C"/>
    <w:rsid w:val="00EE7BA3"/>
    <w:rsid w:val="00EE7BDF"/>
    <w:rsid w:val="00EE7CAF"/>
    <w:rsid w:val="00EF02F7"/>
    <w:rsid w:val="00EF04E1"/>
    <w:rsid w:val="00EF05D6"/>
    <w:rsid w:val="00EF0877"/>
    <w:rsid w:val="00EF0A92"/>
    <w:rsid w:val="00EF0B6D"/>
    <w:rsid w:val="00EF0EDE"/>
    <w:rsid w:val="00EF0EE5"/>
    <w:rsid w:val="00EF1193"/>
    <w:rsid w:val="00EF193B"/>
    <w:rsid w:val="00EF1B64"/>
    <w:rsid w:val="00EF1DB9"/>
    <w:rsid w:val="00EF1EBA"/>
    <w:rsid w:val="00EF1F4F"/>
    <w:rsid w:val="00EF22CF"/>
    <w:rsid w:val="00EF23D6"/>
    <w:rsid w:val="00EF2FB1"/>
    <w:rsid w:val="00EF309E"/>
    <w:rsid w:val="00EF32E8"/>
    <w:rsid w:val="00EF36FA"/>
    <w:rsid w:val="00EF3AC9"/>
    <w:rsid w:val="00EF3F2E"/>
    <w:rsid w:val="00EF3F82"/>
    <w:rsid w:val="00EF41DD"/>
    <w:rsid w:val="00EF41E2"/>
    <w:rsid w:val="00EF4755"/>
    <w:rsid w:val="00EF4762"/>
    <w:rsid w:val="00EF47CF"/>
    <w:rsid w:val="00EF4BDD"/>
    <w:rsid w:val="00EF4C54"/>
    <w:rsid w:val="00EF4C9F"/>
    <w:rsid w:val="00EF5143"/>
    <w:rsid w:val="00EF52F3"/>
    <w:rsid w:val="00EF5C62"/>
    <w:rsid w:val="00EF6116"/>
    <w:rsid w:val="00EF6401"/>
    <w:rsid w:val="00EF653A"/>
    <w:rsid w:val="00EF6AB7"/>
    <w:rsid w:val="00EF6B94"/>
    <w:rsid w:val="00EF6BBB"/>
    <w:rsid w:val="00EF6D9F"/>
    <w:rsid w:val="00EF6E5F"/>
    <w:rsid w:val="00EF70C3"/>
    <w:rsid w:val="00EF7135"/>
    <w:rsid w:val="00EF74CB"/>
    <w:rsid w:val="00EF7A43"/>
    <w:rsid w:val="00EF7BB6"/>
    <w:rsid w:val="00EF7CB5"/>
    <w:rsid w:val="00EF7DF6"/>
    <w:rsid w:val="00EF7E80"/>
    <w:rsid w:val="00F00165"/>
    <w:rsid w:val="00F0047E"/>
    <w:rsid w:val="00F006FA"/>
    <w:rsid w:val="00F007D7"/>
    <w:rsid w:val="00F00B58"/>
    <w:rsid w:val="00F00C43"/>
    <w:rsid w:val="00F00F6A"/>
    <w:rsid w:val="00F0113E"/>
    <w:rsid w:val="00F01245"/>
    <w:rsid w:val="00F015E9"/>
    <w:rsid w:val="00F016C9"/>
    <w:rsid w:val="00F0173C"/>
    <w:rsid w:val="00F01BDA"/>
    <w:rsid w:val="00F01F78"/>
    <w:rsid w:val="00F0205A"/>
    <w:rsid w:val="00F02637"/>
    <w:rsid w:val="00F027DB"/>
    <w:rsid w:val="00F02911"/>
    <w:rsid w:val="00F033D1"/>
    <w:rsid w:val="00F03C43"/>
    <w:rsid w:val="00F03FDA"/>
    <w:rsid w:val="00F04232"/>
    <w:rsid w:val="00F0440C"/>
    <w:rsid w:val="00F048C7"/>
    <w:rsid w:val="00F04AAA"/>
    <w:rsid w:val="00F04D95"/>
    <w:rsid w:val="00F04E5D"/>
    <w:rsid w:val="00F04F36"/>
    <w:rsid w:val="00F04FA4"/>
    <w:rsid w:val="00F05109"/>
    <w:rsid w:val="00F051A9"/>
    <w:rsid w:val="00F059F7"/>
    <w:rsid w:val="00F064F1"/>
    <w:rsid w:val="00F06B0E"/>
    <w:rsid w:val="00F074FA"/>
    <w:rsid w:val="00F07608"/>
    <w:rsid w:val="00F10396"/>
    <w:rsid w:val="00F10747"/>
    <w:rsid w:val="00F10B9B"/>
    <w:rsid w:val="00F10D38"/>
    <w:rsid w:val="00F10D9B"/>
    <w:rsid w:val="00F1131A"/>
    <w:rsid w:val="00F114DB"/>
    <w:rsid w:val="00F11997"/>
    <w:rsid w:val="00F11B16"/>
    <w:rsid w:val="00F11EBE"/>
    <w:rsid w:val="00F11F24"/>
    <w:rsid w:val="00F11F2A"/>
    <w:rsid w:val="00F11FD4"/>
    <w:rsid w:val="00F12174"/>
    <w:rsid w:val="00F125D3"/>
    <w:rsid w:val="00F126DF"/>
    <w:rsid w:val="00F12933"/>
    <w:rsid w:val="00F12DDA"/>
    <w:rsid w:val="00F1313C"/>
    <w:rsid w:val="00F131C5"/>
    <w:rsid w:val="00F13829"/>
    <w:rsid w:val="00F13922"/>
    <w:rsid w:val="00F13B6A"/>
    <w:rsid w:val="00F14302"/>
    <w:rsid w:val="00F14621"/>
    <w:rsid w:val="00F14A7A"/>
    <w:rsid w:val="00F150E7"/>
    <w:rsid w:val="00F1518E"/>
    <w:rsid w:val="00F15260"/>
    <w:rsid w:val="00F152CE"/>
    <w:rsid w:val="00F159FF"/>
    <w:rsid w:val="00F15A37"/>
    <w:rsid w:val="00F15B0E"/>
    <w:rsid w:val="00F15C4B"/>
    <w:rsid w:val="00F15E1F"/>
    <w:rsid w:val="00F1602B"/>
    <w:rsid w:val="00F1654E"/>
    <w:rsid w:val="00F16956"/>
    <w:rsid w:val="00F16F7B"/>
    <w:rsid w:val="00F175CF"/>
    <w:rsid w:val="00F17880"/>
    <w:rsid w:val="00F17A3E"/>
    <w:rsid w:val="00F17C84"/>
    <w:rsid w:val="00F201EF"/>
    <w:rsid w:val="00F207F3"/>
    <w:rsid w:val="00F20860"/>
    <w:rsid w:val="00F20892"/>
    <w:rsid w:val="00F20999"/>
    <w:rsid w:val="00F209CE"/>
    <w:rsid w:val="00F20EA7"/>
    <w:rsid w:val="00F21546"/>
    <w:rsid w:val="00F217A1"/>
    <w:rsid w:val="00F218D0"/>
    <w:rsid w:val="00F21CB3"/>
    <w:rsid w:val="00F21DD9"/>
    <w:rsid w:val="00F21EB9"/>
    <w:rsid w:val="00F225D2"/>
    <w:rsid w:val="00F22793"/>
    <w:rsid w:val="00F22985"/>
    <w:rsid w:val="00F22A26"/>
    <w:rsid w:val="00F22B38"/>
    <w:rsid w:val="00F22F00"/>
    <w:rsid w:val="00F236B6"/>
    <w:rsid w:val="00F23D5C"/>
    <w:rsid w:val="00F24081"/>
    <w:rsid w:val="00F24182"/>
    <w:rsid w:val="00F243F1"/>
    <w:rsid w:val="00F2470E"/>
    <w:rsid w:val="00F24BA0"/>
    <w:rsid w:val="00F25014"/>
    <w:rsid w:val="00F25371"/>
    <w:rsid w:val="00F254FC"/>
    <w:rsid w:val="00F25E83"/>
    <w:rsid w:val="00F25EDE"/>
    <w:rsid w:val="00F26040"/>
    <w:rsid w:val="00F26ACD"/>
    <w:rsid w:val="00F26ED4"/>
    <w:rsid w:val="00F277BF"/>
    <w:rsid w:val="00F27AEE"/>
    <w:rsid w:val="00F27CA2"/>
    <w:rsid w:val="00F305E9"/>
    <w:rsid w:val="00F30729"/>
    <w:rsid w:val="00F30A8F"/>
    <w:rsid w:val="00F30ABD"/>
    <w:rsid w:val="00F318AB"/>
    <w:rsid w:val="00F31AA5"/>
    <w:rsid w:val="00F32091"/>
    <w:rsid w:val="00F3217A"/>
    <w:rsid w:val="00F32269"/>
    <w:rsid w:val="00F3230C"/>
    <w:rsid w:val="00F32835"/>
    <w:rsid w:val="00F32C02"/>
    <w:rsid w:val="00F32C18"/>
    <w:rsid w:val="00F32C50"/>
    <w:rsid w:val="00F3360A"/>
    <w:rsid w:val="00F337B7"/>
    <w:rsid w:val="00F33814"/>
    <w:rsid w:val="00F3383E"/>
    <w:rsid w:val="00F33931"/>
    <w:rsid w:val="00F33AA7"/>
    <w:rsid w:val="00F33AEC"/>
    <w:rsid w:val="00F3446A"/>
    <w:rsid w:val="00F34BBF"/>
    <w:rsid w:val="00F355DD"/>
    <w:rsid w:val="00F35EE4"/>
    <w:rsid w:val="00F36589"/>
    <w:rsid w:val="00F36CA4"/>
    <w:rsid w:val="00F3790F"/>
    <w:rsid w:val="00F3792C"/>
    <w:rsid w:val="00F37A2A"/>
    <w:rsid w:val="00F37C31"/>
    <w:rsid w:val="00F37EE1"/>
    <w:rsid w:val="00F37F75"/>
    <w:rsid w:val="00F400FD"/>
    <w:rsid w:val="00F402A4"/>
    <w:rsid w:val="00F402C0"/>
    <w:rsid w:val="00F402D1"/>
    <w:rsid w:val="00F408FE"/>
    <w:rsid w:val="00F40AA1"/>
    <w:rsid w:val="00F40F51"/>
    <w:rsid w:val="00F410AE"/>
    <w:rsid w:val="00F410F6"/>
    <w:rsid w:val="00F4158B"/>
    <w:rsid w:val="00F415E2"/>
    <w:rsid w:val="00F41A10"/>
    <w:rsid w:val="00F41C83"/>
    <w:rsid w:val="00F41D3C"/>
    <w:rsid w:val="00F41F5C"/>
    <w:rsid w:val="00F42464"/>
    <w:rsid w:val="00F42658"/>
    <w:rsid w:val="00F42975"/>
    <w:rsid w:val="00F429A2"/>
    <w:rsid w:val="00F42E61"/>
    <w:rsid w:val="00F42FF0"/>
    <w:rsid w:val="00F430B3"/>
    <w:rsid w:val="00F436B6"/>
    <w:rsid w:val="00F436E6"/>
    <w:rsid w:val="00F43E1C"/>
    <w:rsid w:val="00F43E5D"/>
    <w:rsid w:val="00F44919"/>
    <w:rsid w:val="00F44B9D"/>
    <w:rsid w:val="00F44D7E"/>
    <w:rsid w:val="00F452D4"/>
    <w:rsid w:val="00F456BB"/>
    <w:rsid w:val="00F456E5"/>
    <w:rsid w:val="00F45B8F"/>
    <w:rsid w:val="00F45EFF"/>
    <w:rsid w:val="00F46044"/>
    <w:rsid w:val="00F46251"/>
    <w:rsid w:val="00F465A7"/>
    <w:rsid w:val="00F4689D"/>
    <w:rsid w:val="00F46E64"/>
    <w:rsid w:val="00F4711A"/>
    <w:rsid w:val="00F471A8"/>
    <w:rsid w:val="00F4775D"/>
    <w:rsid w:val="00F477D9"/>
    <w:rsid w:val="00F47A7B"/>
    <w:rsid w:val="00F47E8E"/>
    <w:rsid w:val="00F47EEC"/>
    <w:rsid w:val="00F50479"/>
    <w:rsid w:val="00F506C0"/>
    <w:rsid w:val="00F5072E"/>
    <w:rsid w:val="00F50B7C"/>
    <w:rsid w:val="00F50CB1"/>
    <w:rsid w:val="00F50DD9"/>
    <w:rsid w:val="00F50F4E"/>
    <w:rsid w:val="00F50FCF"/>
    <w:rsid w:val="00F5141D"/>
    <w:rsid w:val="00F51A59"/>
    <w:rsid w:val="00F51BF9"/>
    <w:rsid w:val="00F523CF"/>
    <w:rsid w:val="00F52478"/>
    <w:rsid w:val="00F52587"/>
    <w:rsid w:val="00F5273F"/>
    <w:rsid w:val="00F52AE3"/>
    <w:rsid w:val="00F52DF6"/>
    <w:rsid w:val="00F52F5B"/>
    <w:rsid w:val="00F52FD2"/>
    <w:rsid w:val="00F5310F"/>
    <w:rsid w:val="00F53223"/>
    <w:rsid w:val="00F5342A"/>
    <w:rsid w:val="00F534DF"/>
    <w:rsid w:val="00F538FC"/>
    <w:rsid w:val="00F539DE"/>
    <w:rsid w:val="00F53A21"/>
    <w:rsid w:val="00F53D9B"/>
    <w:rsid w:val="00F53EA6"/>
    <w:rsid w:val="00F53EF9"/>
    <w:rsid w:val="00F541C4"/>
    <w:rsid w:val="00F544F9"/>
    <w:rsid w:val="00F545CC"/>
    <w:rsid w:val="00F546D9"/>
    <w:rsid w:val="00F54C30"/>
    <w:rsid w:val="00F54F56"/>
    <w:rsid w:val="00F550E6"/>
    <w:rsid w:val="00F55101"/>
    <w:rsid w:val="00F55C8C"/>
    <w:rsid w:val="00F55C9D"/>
    <w:rsid w:val="00F560FB"/>
    <w:rsid w:val="00F56233"/>
    <w:rsid w:val="00F567C0"/>
    <w:rsid w:val="00F56833"/>
    <w:rsid w:val="00F5729C"/>
    <w:rsid w:val="00F578FD"/>
    <w:rsid w:val="00F57AB7"/>
    <w:rsid w:val="00F57C18"/>
    <w:rsid w:val="00F57C69"/>
    <w:rsid w:val="00F57D5A"/>
    <w:rsid w:val="00F57DF7"/>
    <w:rsid w:val="00F60329"/>
    <w:rsid w:val="00F60540"/>
    <w:rsid w:val="00F605CB"/>
    <w:rsid w:val="00F606FC"/>
    <w:rsid w:val="00F60735"/>
    <w:rsid w:val="00F6090D"/>
    <w:rsid w:val="00F60A16"/>
    <w:rsid w:val="00F60ACF"/>
    <w:rsid w:val="00F60AF1"/>
    <w:rsid w:val="00F60BD0"/>
    <w:rsid w:val="00F60FCB"/>
    <w:rsid w:val="00F6153C"/>
    <w:rsid w:val="00F618A6"/>
    <w:rsid w:val="00F61A3E"/>
    <w:rsid w:val="00F61D61"/>
    <w:rsid w:val="00F61EDC"/>
    <w:rsid w:val="00F62050"/>
    <w:rsid w:val="00F62292"/>
    <w:rsid w:val="00F62A66"/>
    <w:rsid w:val="00F62D96"/>
    <w:rsid w:val="00F63430"/>
    <w:rsid w:val="00F63B03"/>
    <w:rsid w:val="00F63C92"/>
    <w:rsid w:val="00F63E5A"/>
    <w:rsid w:val="00F64343"/>
    <w:rsid w:val="00F64CF8"/>
    <w:rsid w:val="00F64DB8"/>
    <w:rsid w:val="00F6511B"/>
    <w:rsid w:val="00F657E9"/>
    <w:rsid w:val="00F663BA"/>
    <w:rsid w:val="00F66887"/>
    <w:rsid w:val="00F671D3"/>
    <w:rsid w:val="00F67450"/>
    <w:rsid w:val="00F67476"/>
    <w:rsid w:val="00F676F1"/>
    <w:rsid w:val="00F6794E"/>
    <w:rsid w:val="00F67F50"/>
    <w:rsid w:val="00F70474"/>
    <w:rsid w:val="00F70A87"/>
    <w:rsid w:val="00F70BCA"/>
    <w:rsid w:val="00F70C1C"/>
    <w:rsid w:val="00F70E55"/>
    <w:rsid w:val="00F71038"/>
    <w:rsid w:val="00F711D1"/>
    <w:rsid w:val="00F71553"/>
    <w:rsid w:val="00F72282"/>
    <w:rsid w:val="00F7251F"/>
    <w:rsid w:val="00F72A00"/>
    <w:rsid w:val="00F72E2E"/>
    <w:rsid w:val="00F731F4"/>
    <w:rsid w:val="00F73399"/>
    <w:rsid w:val="00F73BB5"/>
    <w:rsid w:val="00F73DBC"/>
    <w:rsid w:val="00F74086"/>
    <w:rsid w:val="00F74134"/>
    <w:rsid w:val="00F74345"/>
    <w:rsid w:val="00F744BA"/>
    <w:rsid w:val="00F74ACC"/>
    <w:rsid w:val="00F74C7F"/>
    <w:rsid w:val="00F74E4E"/>
    <w:rsid w:val="00F74EA0"/>
    <w:rsid w:val="00F75031"/>
    <w:rsid w:val="00F75118"/>
    <w:rsid w:val="00F75623"/>
    <w:rsid w:val="00F75643"/>
    <w:rsid w:val="00F7572C"/>
    <w:rsid w:val="00F75C85"/>
    <w:rsid w:val="00F75CA5"/>
    <w:rsid w:val="00F76358"/>
    <w:rsid w:val="00F763C2"/>
    <w:rsid w:val="00F7663A"/>
    <w:rsid w:val="00F767DC"/>
    <w:rsid w:val="00F76ACD"/>
    <w:rsid w:val="00F76FAC"/>
    <w:rsid w:val="00F770DB"/>
    <w:rsid w:val="00F7728B"/>
    <w:rsid w:val="00F774A0"/>
    <w:rsid w:val="00F776E6"/>
    <w:rsid w:val="00F777F9"/>
    <w:rsid w:val="00F77A67"/>
    <w:rsid w:val="00F77BE8"/>
    <w:rsid w:val="00F77C92"/>
    <w:rsid w:val="00F77D48"/>
    <w:rsid w:val="00F77F00"/>
    <w:rsid w:val="00F804E2"/>
    <w:rsid w:val="00F80A0A"/>
    <w:rsid w:val="00F80D78"/>
    <w:rsid w:val="00F80F91"/>
    <w:rsid w:val="00F81224"/>
    <w:rsid w:val="00F81485"/>
    <w:rsid w:val="00F815F4"/>
    <w:rsid w:val="00F81880"/>
    <w:rsid w:val="00F82278"/>
    <w:rsid w:val="00F82779"/>
    <w:rsid w:val="00F82A19"/>
    <w:rsid w:val="00F82B19"/>
    <w:rsid w:val="00F830E4"/>
    <w:rsid w:val="00F832C0"/>
    <w:rsid w:val="00F837F3"/>
    <w:rsid w:val="00F8404B"/>
    <w:rsid w:val="00F84994"/>
    <w:rsid w:val="00F84B60"/>
    <w:rsid w:val="00F84BB5"/>
    <w:rsid w:val="00F84FE4"/>
    <w:rsid w:val="00F85504"/>
    <w:rsid w:val="00F85DB0"/>
    <w:rsid w:val="00F85F35"/>
    <w:rsid w:val="00F85F84"/>
    <w:rsid w:val="00F86341"/>
    <w:rsid w:val="00F87150"/>
    <w:rsid w:val="00F87E2B"/>
    <w:rsid w:val="00F9005A"/>
    <w:rsid w:val="00F900D5"/>
    <w:rsid w:val="00F902C5"/>
    <w:rsid w:val="00F903E1"/>
    <w:rsid w:val="00F907B9"/>
    <w:rsid w:val="00F90AA3"/>
    <w:rsid w:val="00F9188A"/>
    <w:rsid w:val="00F91AE9"/>
    <w:rsid w:val="00F91B89"/>
    <w:rsid w:val="00F91D5E"/>
    <w:rsid w:val="00F9212D"/>
    <w:rsid w:val="00F921F0"/>
    <w:rsid w:val="00F925E8"/>
    <w:rsid w:val="00F92B24"/>
    <w:rsid w:val="00F92D5A"/>
    <w:rsid w:val="00F9300E"/>
    <w:rsid w:val="00F93056"/>
    <w:rsid w:val="00F933DD"/>
    <w:rsid w:val="00F934AE"/>
    <w:rsid w:val="00F93538"/>
    <w:rsid w:val="00F937BF"/>
    <w:rsid w:val="00F94338"/>
    <w:rsid w:val="00F94579"/>
    <w:rsid w:val="00F9468B"/>
    <w:rsid w:val="00F94695"/>
    <w:rsid w:val="00F94A3B"/>
    <w:rsid w:val="00F94C7F"/>
    <w:rsid w:val="00F94EF8"/>
    <w:rsid w:val="00F95125"/>
    <w:rsid w:val="00F95153"/>
    <w:rsid w:val="00F9525F"/>
    <w:rsid w:val="00F95675"/>
    <w:rsid w:val="00F95751"/>
    <w:rsid w:val="00F95B45"/>
    <w:rsid w:val="00F960E2"/>
    <w:rsid w:val="00F9630B"/>
    <w:rsid w:val="00F965DA"/>
    <w:rsid w:val="00F9673F"/>
    <w:rsid w:val="00F96B5D"/>
    <w:rsid w:val="00F9731F"/>
    <w:rsid w:val="00F97874"/>
    <w:rsid w:val="00F97FB4"/>
    <w:rsid w:val="00FA0342"/>
    <w:rsid w:val="00FA049A"/>
    <w:rsid w:val="00FA0829"/>
    <w:rsid w:val="00FA0FF1"/>
    <w:rsid w:val="00FA10C3"/>
    <w:rsid w:val="00FA12D1"/>
    <w:rsid w:val="00FA1424"/>
    <w:rsid w:val="00FA169B"/>
    <w:rsid w:val="00FA171C"/>
    <w:rsid w:val="00FA1B1B"/>
    <w:rsid w:val="00FA226E"/>
    <w:rsid w:val="00FA25B0"/>
    <w:rsid w:val="00FA28C8"/>
    <w:rsid w:val="00FA2ECD"/>
    <w:rsid w:val="00FA2F80"/>
    <w:rsid w:val="00FA308E"/>
    <w:rsid w:val="00FA333E"/>
    <w:rsid w:val="00FA3508"/>
    <w:rsid w:val="00FA361D"/>
    <w:rsid w:val="00FA3688"/>
    <w:rsid w:val="00FA370C"/>
    <w:rsid w:val="00FA3829"/>
    <w:rsid w:val="00FA384F"/>
    <w:rsid w:val="00FA406A"/>
    <w:rsid w:val="00FA4371"/>
    <w:rsid w:val="00FA43BB"/>
    <w:rsid w:val="00FA44F6"/>
    <w:rsid w:val="00FA4984"/>
    <w:rsid w:val="00FA5375"/>
    <w:rsid w:val="00FA541A"/>
    <w:rsid w:val="00FA5420"/>
    <w:rsid w:val="00FA560B"/>
    <w:rsid w:val="00FA5719"/>
    <w:rsid w:val="00FA57FA"/>
    <w:rsid w:val="00FA59C7"/>
    <w:rsid w:val="00FA5D33"/>
    <w:rsid w:val="00FA5F89"/>
    <w:rsid w:val="00FA5FB1"/>
    <w:rsid w:val="00FA6500"/>
    <w:rsid w:val="00FA675F"/>
    <w:rsid w:val="00FB0051"/>
    <w:rsid w:val="00FB0225"/>
    <w:rsid w:val="00FB023A"/>
    <w:rsid w:val="00FB0CF8"/>
    <w:rsid w:val="00FB0E8A"/>
    <w:rsid w:val="00FB123E"/>
    <w:rsid w:val="00FB1273"/>
    <w:rsid w:val="00FB23BB"/>
    <w:rsid w:val="00FB2709"/>
    <w:rsid w:val="00FB279A"/>
    <w:rsid w:val="00FB2898"/>
    <w:rsid w:val="00FB290F"/>
    <w:rsid w:val="00FB2ABF"/>
    <w:rsid w:val="00FB2B20"/>
    <w:rsid w:val="00FB3051"/>
    <w:rsid w:val="00FB32B4"/>
    <w:rsid w:val="00FB32BF"/>
    <w:rsid w:val="00FB33D3"/>
    <w:rsid w:val="00FB377D"/>
    <w:rsid w:val="00FB39C3"/>
    <w:rsid w:val="00FB3A5E"/>
    <w:rsid w:val="00FB3B06"/>
    <w:rsid w:val="00FB3C6D"/>
    <w:rsid w:val="00FB3CAA"/>
    <w:rsid w:val="00FB41F9"/>
    <w:rsid w:val="00FB503A"/>
    <w:rsid w:val="00FB516C"/>
    <w:rsid w:val="00FB537D"/>
    <w:rsid w:val="00FB5780"/>
    <w:rsid w:val="00FB584D"/>
    <w:rsid w:val="00FB5CC6"/>
    <w:rsid w:val="00FB6B15"/>
    <w:rsid w:val="00FB6D02"/>
    <w:rsid w:val="00FB72DE"/>
    <w:rsid w:val="00FB7706"/>
    <w:rsid w:val="00FB7798"/>
    <w:rsid w:val="00FB7947"/>
    <w:rsid w:val="00FB7E05"/>
    <w:rsid w:val="00FC02F3"/>
    <w:rsid w:val="00FC04FE"/>
    <w:rsid w:val="00FC06BB"/>
    <w:rsid w:val="00FC06E5"/>
    <w:rsid w:val="00FC0AD2"/>
    <w:rsid w:val="00FC0B38"/>
    <w:rsid w:val="00FC0BA9"/>
    <w:rsid w:val="00FC0C67"/>
    <w:rsid w:val="00FC0DF5"/>
    <w:rsid w:val="00FC0F07"/>
    <w:rsid w:val="00FC13CD"/>
    <w:rsid w:val="00FC1713"/>
    <w:rsid w:val="00FC187E"/>
    <w:rsid w:val="00FC18DC"/>
    <w:rsid w:val="00FC2181"/>
    <w:rsid w:val="00FC23AB"/>
    <w:rsid w:val="00FC24D6"/>
    <w:rsid w:val="00FC2895"/>
    <w:rsid w:val="00FC2E70"/>
    <w:rsid w:val="00FC2F4E"/>
    <w:rsid w:val="00FC3387"/>
    <w:rsid w:val="00FC35F8"/>
    <w:rsid w:val="00FC3B76"/>
    <w:rsid w:val="00FC3D08"/>
    <w:rsid w:val="00FC3D97"/>
    <w:rsid w:val="00FC3DC3"/>
    <w:rsid w:val="00FC3EF3"/>
    <w:rsid w:val="00FC40C1"/>
    <w:rsid w:val="00FC40DF"/>
    <w:rsid w:val="00FC410D"/>
    <w:rsid w:val="00FC420A"/>
    <w:rsid w:val="00FC46E3"/>
    <w:rsid w:val="00FC51D8"/>
    <w:rsid w:val="00FC5336"/>
    <w:rsid w:val="00FC5345"/>
    <w:rsid w:val="00FC5387"/>
    <w:rsid w:val="00FC573C"/>
    <w:rsid w:val="00FC5C25"/>
    <w:rsid w:val="00FC5D8B"/>
    <w:rsid w:val="00FC5FDC"/>
    <w:rsid w:val="00FC6047"/>
    <w:rsid w:val="00FC684C"/>
    <w:rsid w:val="00FC74CB"/>
    <w:rsid w:val="00FC76E0"/>
    <w:rsid w:val="00FC77BC"/>
    <w:rsid w:val="00FC7D15"/>
    <w:rsid w:val="00FC7E0E"/>
    <w:rsid w:val="00FC7FEA"/>
    <w:rsid w:val="00FD0236"/>
    <w:rsid w:val="00FD0320"/>
    <w:rsid w:val="00FD0330"/>
    <w:rsid w:val="00FD0BB8"/>
    <w:rsid w:val="00FD0F9B"/>
    <w:rsid w:val="00FD10A3"/>
    <w:rsid w:val="00FD143E"/>
    <w:rsid w:val="00FD149E"/>
    <w:rsid w:val="00FD18F4"/>
    <w:rsid w:val="00FD1987"/>
    <w:rsid w:val="00FD2161"/>
    <w:rsid w:val="00FD230F"/>
    <w:rsid w:val="00FD23E8"/>
    <w:rsid w:val="00FD259E"/>
    <w:rsid w:val="00FD26C8"/>
    <w:rsid w:val="00FD2FB9"/>
    <w:rsid w:val="00FD2FE4"/>
    <w:rsid w:val="00FD30E8"/>
    <w:rsid w:val="00FD3403"/>
    <w:rsid w:val="00FD396B"/>
    <w:rsid w:val="00FD3A1A"/>
    <w:rsid w:val="00FD428C"/>
    <w:rsid w:val="00FD4444"/>
    <w:rsid w:val="00FD44BA"/>
    <w:rsid w:val="00FD48D3"/>
    <w:rsid w:val="00FD4D04"/>
    <w:rsid w:val="00FD4D15"/>
    <w:rsid w:val="00FD5432"/>
    <w:rsid w:val="00FD54DB"/>
    <w:rsid w:val="00FD5526"/>
    <w:rsid w:val="00FD5A4A"/>
    <w:rsid w:val="00FD5A8D"/>
    <w:rsid w:val="00FD5F06"/>
    <w:rsid w:val="00FD619F"/>
    <w:rsid w:val="00FD6427"/>
    <w:rsid w:val="00FD6447"/>
    <w:rsid w:val="00FD660C"/>
    <w:rsid w:val="00FD6AA6"/>
    <w:rsid w:val="00FD6AF3"/>
    <w:rsid w:val="00FD6DE1"/>
    <w:rsid w:val="00FD6E71"/>
    <w:rsid w:val="00FD6FAE"/>
    <w:rsid w:val="00FD7178"/>
    <w:rsid w:val="00FD7431"/>
    <w:rsid w:val="00FD7886"/>
    <w:rsid w:val="00FD78F0"/>
    <w:rsid w:val="00FE02E1"/>
    <w:rsid w:val="00FE02E4"/>
    <w:rsid w:val="00FE03BE"/>
    <w:rsid w:val="00FE05AB"/>
    <w:rsid w:val="00FE0B44"/>
    <w:rsid w:val="00FE0C2C"/>
    <w:rsid w:val="00FE1293"/>
    <w:rsid w:val="00FE138C"/>
    <w:rsid w:val="00FE16FE"/>
    <w:rsid w:val="00FE1730"/>
    <w:rsid w:val="00FE17B7"/>
    <w:rsid w:val="00FE1A7E"/>
    <w:rsid w:val="00FE206D"/>
    <w:rsid w:val="00FE21A2"/>
    <w:rsid w:val="00FE2284"/>
    <w:rsid w:val="00FE24E9"/>
    <w:rsid w:val="00FE2CD1"/>
    <w:rsid w:val="00FE3D51"/>
    <w:rsid w:val="00FE3E34"/>
    <w:rsid w:val="00FE3FD2"/>
    <w:rsid w:val="00FE464B"/>
    <w:rsid w:val="00FE485D"/>
    <w:rsid w:val="00FE4B04"/>
    <w:rsid w:val="00FE5051"/>
    <w:rsid w:val="00FE55AD"/>
    <w:rsid w:val="00FE56F7"/>
    <w:rsid w:val="00FE587D"/>
    <w:rsid w:val="00FE605B"/>
    <w:rsid w:val="00FE6A5B"/>
    <w:rsid w:val="00FE6C5D"/>
    <w:rsid w:val="00FE71AD"/>
    <w:rsid w:val="00FE72D3"/>
    <w:rsid w:val="00FE7360"/>
    <w:rsid w:val="00FE73AE"/>
    <w:rsid w:val="00FE76A5"/>
    <w:rsid w:val="00FE78C2"/>
    <w:rsid w:val="00FE7B65"/>
    <w:rsid w:val="00FF023A"/>
    <w:rsid w:val="00FF0266"/>
    <w:rsid w:val="00FF02B7"/>
    <w:rsid w:val="00FF05B3"/>
    <w:rsid w:val="00FF0857"/>
    <w:rsid w:val="00FF0956"/>
    <w:rsid w:val="00FF0EF3"/>
    <w:rsid w:val="00FF102F"/>
    <w:rsid w:val="00FF105F"/>
    <w:rsid w:val="00FF1188"/>
    <w:rsid w:val="00FF1573"/>
    <w:rsid w:val="00FF15C0"/>
    <w:rsid w:val="00FF1708"/>
    <w:rsid w:val="00FF1EBE"/>
    <w:rsid w:val="00FF1ED6"/>
    <w:rsid w:val="00FF23A6"/>
    <w:rsid w:val="00FF2682"/>
    <w:rsid w:val="00FF2771"/>
    <w:rsid w:val="00FF294D"/>
    <w:rsid w:val="00FF2BED"/>
    <w:rsid w:val="00FF2C1A"/>
    <w:rsid w:val="00FF313F"/>
    <w:rsid w:val="00FF38DE"/>
    <w:rsid w:val="00FF3B4A"/>
    <w:rsid w:val="00FF4325"/>
    <w:rsid w:val="00FF46C6"/>
    <w:rsid w:val="00FF46E5"/>
    <w:rsid w:val="00FF4D6E"/>
    <w:rsid w:val="00FF4FA4"/>
    <w:rsid w:val="00FF4FE8"/>
    <w:rsid w:val="00FF5054"/>
    <w:rsid w:val="00FF5224"/>
    <w:rsid w:val="00FF522F"/>
    <w:rsid w:val="00FF5288"/>
    <w:rsid w:val="00FF52AB"/>
    <w:rsid w:val="00FF563C"/>
    <w:rsid w:val="00FF5DD3"/>
    <w:rsid w:val="00FF5E1E"/>
    <w:rsid w:val="00FF5F8D"/>
    <w:rsid w:val="00FF641A"/>
    <w:rsid w:val="00FF6660"/>
    <w:rsid w:val="00FF68C9"/>
    <w:rsid w:val="00FF6CED"/>
    <w:rsid w:val="00FF6D52"/>
    <w:rsid w:val="00FF7502"/>
    <w:rsid w:val="00FF770C"/>
    <w:rsid w:val="00FF7AB2"/>
    <w:rsid w:val="00FF7F38"/>
    <w:rsid w:val="0106114F"/>
    <w:rsid w:val="01290F7E"/>
    <w:rsid w:val="015D1E09"/>
    <w:rsid w:val="016664F7"/>
    <w:rsid w:val="01AA3877"/>
    <w:rsid w:val="02697903"/>
    <w:rsid w:val="02A92276"/>
    <w:rsid w:val="02F96569"/>
    <w:rsid w:val="03731706"/>
    <w:rsid w:val="03EA7B21"/>
    <w:rsid w:val="04933775"/>
    <w:rsid w:val="05221476"/>
    <w:rsid w:val="0563090D"/>
    <w:rsid w:val="059A5852"/>
    <w:rsid w:val="05F83EAE"/>
    <w:rsid w:val="063E7D85"/>
    <w:rsid w:val="06963E2B"/>
    <w:rsid w:val="06ED3116"/>
    <w:rsid w:val="07293586"/>
    <w:rsid w:val="07295285"/>
    <w:rsid w:val="07636392"/>
    <w:rsid w:val="07702E6D"/>
    <w:rsid w:val="07770C56"/>
    <w:rsid w:val="07773341"/>
    <w:rsid w:val="077B4BBA"/>
    <w:rsid w:val="078608E3"/>
    <w:rsid w:val="07CF3DEC"/>
    <w:rsid w:val="081B54CF"/>
    <w:rsid w:val="084176CC"/>
    <w:rsid w:val="087C5D2E"/>
    <w:rsid w:val="092217DD"/>
    <w:rsid w:val="093A7294"/>
    <w:rsid w:val="09837F14"/>
    <w:rsid w:val="0A263993"/>
    <w:rsid w:val="0A2D3AC2"/>
    <w:rsid w:val="0AA071F3"/>
    <w:rsid w:val="0AA755DF"/>
    <w:rsid w:val="0ABA2573"/>
    <w:rsid w:val="0B120D44"/>
    <w:rsid w:val="0BD27BF6"/>
    <w:rsid w:val="0BEC2BDA"/>
    <w:rsid w:val="0C3B3C7D"/>
    <w:rsid w:val="0C6A2581"/>
    <w:rsid w:val="0CAB2EAE"/>
    <w:rsid w:val="0CB6724A"/>
    <w:rsid w:val="0D437A43"/>
    <w:rsid w:val="0D532F3F"/>
    <w:rsid w:val="0D621C7D"/>
    <w:rsid w:val="0DA63A8D"/>
    <w:rsid w:val="0E1E7AC7"/>
    <w:rsid w:val="0E666D78"/>
    <w:rsid w:val="0E73034D"/>
    <w:rsid w:val="0F13775A"/>
    <w:rsid w:val="0F5F45FE"/>
    <w:rsid w:val="0F9A112B"/>
    <w:rsid w:val="0F9A7FF9"/>
    <w:rsid w:val="0FB33777"/>
    <w:rsid w:val="106336B9"/>
    <w:rsid w:val="106C2D6C"/>
    <w:rsid w:val="106D2F64"/>
    <w:rsid w:val="10B63710"/>
    <w:rsid w:val="10F10820"/>
    <w:rsid w:val="111C2F7A"/>
    <w:rsid w:val="11665CA1"/>
    <w:rsid w:val="116C6490"/>
    <w:rsid w:val="11724219"/>
    <w:rsid w:val="11F052D6"/>
    <w:rsid w:val="11F55185"/>
    <w:rsid w:val="12152F8F"/>
    <w:rsid w:val="124F74EB"/>
    <w:rsid w:val="1251584B"/>
    <w:rsid w:val="127E75B1"/>
    <w:rsid w:val="12806072"/>
    <w:rsid w:val="12C4197F"/>
    <w:rsid w:val="12CD386A"/>
    <w:rsid w:val="12D213BC"/>
    <w:rsid w:val="12DD0B3F"/>
    <w:rsid w:val="12EB563D"/>
    <w:rsid w:val="13951726"/>
    <w:rsid w:val="13BB0105"/>
    <w:rsid w:val="14140A44"/>
    <w:rsid w:val="14396509"/>
    <w:rsid w:val="146124BC"/>
    <w:rsid w:val="14B462B9"/>
    <w:rsid w:val="14CD5DA3"/>
    <w:rsid w:val="14DD2C3C"/>
    <w:rsid w:val="150C08DC"/>
    <w:rsid w:val="15B923F3"/>
    <w:rsid w:val="15C522F6"/>
    <w:rsid w:val="15CB7CF1"/>
    <w:rsid w:val="15FE0B73"/>
    <w:rsid w:val="16087E1D"/>
    <w:rsid w:val="160B12D4"/>
    <w:rsid w:val="161F5FB1"/>
    <w:rsid w:val="169230A1"/>
    <w:rsid w:val="16ED27B0"/>
    <w:rsid w:val="16EF38EF"/>
    <w:rsid w:val="17701D14"/>
    <w:rsid w:val="17735226"/>
    <w:rsid w:val="189F624C"/>
    <w:rsid w:val="19205322"/>
    <w:rsid w:val="195E6FCA"/>
    <w:rsid w:val="19AD4282"/>
    <w:rsid w:val="1A1C66C0"/>
    <w:rsid w:val="1A42393B"/>
    <w:rsid w:val="1AAC654A"/>
    <w:rsid w:val="1AAD45DE"/>
    <w:rsid w:val="1ACC4407"/>
    <w:rsid w:val="1B046F80"/>
    <w:rsid w:val="1B3267B5"/>
    <w:rsid w:val="1B40161D"/>
    <w:rsid w:val="1B441859"/>
    <w:rsid w:val="1B5763C6"/>
    <w:rsid w:val="1B6606B1"/>
    <w:rsid w:val="1B662AAD"/>
    <w:rsid w:val="1BB14B0E"/>
    <w:rsid w:val="1BC3580A"/>
    <w:rsid w:val="1BC930C4"/>
    <w:rsid w:val="1C277F84"/>
    <w:rsid w:val="1C303A53"/>
    <w:rsid w:val="1C5E7925"/>
    <w:rsid w:val="1CC700F8"/>
    <w:rsid w:val="1CD91987"/>
    <w:rsid w:val="1CFD070F"/>
    <w:rsid w:val="1D5F6196"/>
    <w:rsid w:val="1D6132A5"/>
    <w:rsid w:val="1D747D66"/>
    <w:rsid w:val="1D8E56D5"/>
    <w:rsid w:val="1DA87977"/>
    <w:rsid w:val="1E1673CB"/>
    <w:rsid w:val="1E282D32"/>
    <w:rsid w:val="1E6C3F37"/>
    <w:rsid w:val="1E777908"/>
    <w:rsid w:val="1E7A43DA"/>
    <w:rsid w:val="1F256B8A"/>
    <w:rsid w:val="1FAD2A59"/>
    <w:rsid w:val="1FD06C40"/>
    <w:rsid w:val="1FE7539E"/>
    <w:rsid w:val="1FEC02E3"/>
    <w:rsid w:val="201F10D7"/>
    <w:rsid w:val="20671BE0"/>
    <w:rsid w:val="206908D1"/>
    <w:rsid w:val="207E61A3"/>
    <w:rsid w:val="208E6AC5"/>
    <w:rsid w:val="20963CB8"/>
    <w:rsid w:val="2099122F"/>
    <w:rsid w:val="20A81A1B"/>
    <w:rsid w:val="20B07FB6"/>
    <w:rsid w:val="20B30765"/>
    <w:rsid w:val="20B646FB"/>
    <w:rsid w:val="20C87685"/>
    <w:rsid w:val="20F70DEB"/>
    <w:rsid w:val="21025026"/>
    <w:rsid w:val="213B74B1"/>
    <w:rsid w:val="21507EF7"/>
    <w:rsid w:val="215A2310"/>
    <w:rsid w:val="21DE318A"/>
    <w:rsid w:val="21EF5B80"/>
    <w:rsid w:val="22022B59"/>
    <w:rsid w:val="2206219D"/>
    <w:rsid w:val="222D1C2F"/>
    <w:rsid w:val="22576990"/>
    <w:rsid w:val="22727A3B"/>
    <w:rsid w:val="22D55DB9"/>
    <w:rsid w:val="22F47480"/>
    <w:rsid w:val="23122818"/>
    <w:rsid w:val="2317482A"/>
    <w:rsid w:val="23506428"/>
    <w:rsid w:val="236C0FA3"/>
    <w:rsid w:val="23B720F8"/>
    <w:rsid w:val="23D34A58"/>
    <w:rsid w:val="23DE1C48"/>
    <w:rsid w:val="23FC7B0B"/>
    <w:rsid w:val="240210CD"/>
    <w:rsid w:val="244F256A"/>
    <w:rsid w:val="249D7540"/>
    <w:rsid w:val="24A25BE6"/>
    <w:rsid w:val="24BF09F7"/>
    <w:rsid w:val="24D4003A"/>
    <w:rsid w:val="252D53FE"/>
    <w:rsid w:val="253B1C36"/>
    <w:rsid w:val="254027CC"/>
    <w:rsid w:val="25EC2D81"/>
    <w:rsid w:val="260A0469"/>
    <w:rsid w:val="26692990"/>
    <w:rsid w:val="26A40252"/>
    <w:rsid w:val="274E2D73"/>
    <w:rsid w:val="277057A2"/>
    <w:rsid w:val="2771514C"/>
    <w:rsid w:val="27737030"/>
    <w:rsid w:val="277E6BA0"/>
    <w:rsid w:val="281500D2"/>
    <w:rsid w:val="28D84D4E"/>
    <w:rsid w:val="290E6960"/>
    <w:rsid w:val="29206EB8"/>
    <w:rsid w:val="29595666"/>
    <w:rsid w:val="29874881"/>
    <w:rsid w:val="29E325E0"/>
    <w:rsid w:val="2A452503"/>
    <w:rsid w:val="2A5E32CD"/>
    <w:rsid w:val="2AF21225"/>
    <w:rsid w:val="2B5933F5"/>
    <w:rsid w:val="2B6E76D8"/>
    <w:rsid w:val="2B9C6F2C"/>
    <w:rsid w:val="2BA215EB"/>
    <w:rsid w:val="2BA936A8"/>
    <w:rsid w:val="2BBD529C"/>
    <w:rsid w:val="2BDD3CFB"/>
    <w:rsid w:val="2BEA215C"/>
    <w:rsid w:val="2C315A5A"/>
    <w:rsid w:val="2C39287D"/>
    <w:rsid w:val="2C4B1C25"/>
    <w:rsid w:val="2C7E03FF"/>
    <w:rsid w:val="2CDE6947"/>
    <w:rsid w:val="2D9E56F5"/>
    <w:rsid w:val="2DF14458"/>
    <w:rsid w:val="2E0F151E"/>
    <w:rsid w:val="2E652751"/>
    <w:rsid w:val="2E667F96"/>
    <w:rsid w:val="2E69075E"/>
    <w:rsid w:val="2E8226AB"/>
    <w:rsid w:val="2E8B6156"/>
    <w:rsid w:val="2F591337"/>
    <w:rsid w:val="2FD065E6"/>
    <w:rsid w:val="2FD96870"/>
    <w:rsid w:val="30063EAD"/>
    <w:rsid w:val="30580BC9"/>
    <w:rsid w:val="30647164"/>
    <w:rsid w:val="308877E8"/>
    <w:rsid w:val="30AB4D93"/>
    <w:rsid w:val="30D808B2"/>
    <w:rsid w:val="311E2ED7"/>
    <w:rsid w:val="312164FE"/>
    <w:rsid w:val="313071C9"/>
    <w:rsid w:val="314131F4"/>
    <w:rsid w:val="31422B97"/>
    <w:rsid w:val="315619EE"/>
    <w:rsid w:val="315C449C"/>
    <w:rsid w:val="31992B46"/>
    <w:rsid w:val="31AA39C7"/>
    <w:rsid w:val="31B82709"/>
    <w:rsid w:val="31D05482"/>
    <w:rsid w:val="31D811CF"/>
    <w:rsid w:val="32400B34"/>
    <w:rsid w:val="327C34AD"/>
    <w:rsid w:val="329E6876"/>
    <w:rsid w:val="32B01A81"/>
    <w:rsid w:val="32B11FA7"/>
    <w:rsid w:val="32BB5035"/>
    <w:rsid w:val="32C43F3B"/>
    <w:rsid w:val="32E524A9"/>
    <w:rsid w:val="32E90D94"/>
    <w:rsid w:val="333015F2"/>
    <w:rsid w:val="334B6320"/>
    <w:rsid w:val="33A9409D"/>
    <w:rsid w:val="33D934D4"/>
    <w:rsid w:val="33FE2F6A"/>
    <w:rsid w:val="340E07E5"/>
    <w:rsid w:val="34235BF7"/>
    <w:rsid w:val="34371BE4"/>
    <w:rsid w:val="34626138"/>
    <w:rsid w:val="347E5828"/>
    <w:rsid w:val="348355D1"/>
    <w:rsid w:val="34E63ED8"/>
    <w:rsid w:val="352A48CA"/>
    <w:rsid w:val="353A4937"/>
    <w:rsid w:val="35603635"/>
    <w:rsid w:val="35611EC4"/>
    <w:rsid w:val="358C5FA8"/>
    <w:rsid w:val="35C15DF1"/>
    <w:rsid w:val="35F25212"/>
    <w:rsid w:val="36074A7F"/>
    <w:rsid w:val="36574CBF"/>
    <w:rsid w:val="36796AC2"/>
    <w:rsid w:val="36923549"/>
    <w:rsid w:val="36B75FBF"/>
    <w:rsid w:val="36BD0C45"/>
    <w:rsid w:val="378620B5"/>
    <w:rsid w:val="37DE3C9F"/>
    <w:rsid w:val="37E00298"/>
    <w:rsid w:val="37F039D3"/>
    <w:rsid w:val="37F967E1"/>
    <w:rsid w:val="38B302F9"/>
    <w:rsid w:val="38F12CD3"/>
    <w:rsid w:val="38F94775"/>
    <w:rsid w:val="390E4560"/>
    <w:rsid w:val="392971ED"/>
    <w:rsid w:val="39325651"/>
    <w:rsid w:val="39635633"/>
    <w:rsid w:val="39A74BE8"/>
    <w:rsid w:val="3A154016"/>
    <w:rsid w:val="3A310552"/>
    <w:rsid w:val="3A3D1FA0"/>
    <w:rsid w:val="3A872856"/>
    <w:rsid w:val="3AA6709C"/>
    <w:rsid w:val="3AF67025"/>
    <w:rsid w:val="3B3763D1"/>
    <w:rsid w:val="3C027831"/>
    <w:rsid w:val="3C04511D"/>
    <w:rsid w:val="3C2F6E1E"/>
    <w:rsid w:val="3C4F64BA"/>
    <w:rsid w:val="3C5B325D"/>
    <w:rsid w:val="3CDA245A"/>
    <w:rsid w:val="3D0A5D5C"/>
    <w:rsid w:val="3D1E06B7"/>
    <w:rsid w:val="3D5A7D08"/>
    <w:rsid w:val="3DD043F4"/>
    <w:rsid w:val="3E1B5D84"/>
    <w:rsid w:val="3E240F22"/>
    <w:rsid w:val="3E2E7003"/>
    <w:rsid w:val="3E437BFD"/>
    <w:rsid w:val="3E602049"/>
    <w:rsid w:val="3EC9670E"/>
    <w:rsid w:val="3EDA0523"/>
    <w:rsid w:val="3F491CBA"/>
    <w:rsid w:val="3F6B7F0D"/>
    <w:rsid w:val="3F91350E"/>
    <w:rsid w:val="3F9609BC"/>
    <w:rsid w:val="407A6407"/>
    <w:rsid w:val="40E445E0"/>
    <w:rsid w:val="40F24318"/>
    <w:rsid w:val="41342F41"/>
    <w:rsid w:val="417D4941"/>
    <w:rsid w:val="4200449D"/>
    <w:rsid w:val="42151C41"/>
    <w:rsid w:val="421F12E1"/>
    <w:rsid w:val="423A3BCC"/>
    <w:rsid w:val="424E57D2"/>
    <w:rsid w:val="42B26C49"/>
    <w:rsid w:val="42D552F2"/>
    <w:rsid w:val="42F14892"/>
    <w:rsid w:val="430E721D"/>
    <w:rsid w:val="432D732B"/>
    <w:rsid w:val="433A6FE6"/>
    <w:rsid w:val="43480868"/>
    <w:rsid w:val="4350713C"/>
    <w:rsid w:val="435D6027"/>
    <w:rsid w:val="436653E0"/>
    <w:rsid w:val="439F07E6"/>
    <w:rsid w:val="43C4431A"/>
    <w:rsid w:val="43D26489"/>
    <w:rsid w:val="43FB1735"/>
    <w:rsid w:val="43FD36FF"/>
    <w:rsid w:val="445D34D8"/>
    <w:rsid w:val="44B0237A"/>
    <w:rsid w:val="44B951CC"/>
    <w:rsid w:val="44CD14E0"/>
    <w:rsid w:val="44F20B0B"/>
    <w:rsid w:val="452E5F4C"/>
    <w:rsid w:val="45540E35"/>
    <w:rsid w:val="45612018"/>
    <w:rsid w:val="457C1F77"/>
    <w:rsid w:val="458946E9"/>
    <w:rsid w:val="45A02594"/>
    <w:rsid w:val="45A47C0E"/>
    <w:rsid w:val="45C7125C"/>
    <w:rsid w:val="45D66A7B"/>
    <w:rsid w:val="45E92AC9"/>
    <w:rsid w:val="460348D1"/>
    <w:rsid w:val="46036855"/>
    <w:rsid w:val="46577FD6"/>
    <w:rsid w:val="465811EB"/>
    <w:rsid w:val="4665558C"/>
    <w:rsid w:val="46D955A7"/>
    <w:rsid w:val="47133957"/>
    <w:rsid w:val="47182C94"/>
    <w:rsid w:val="475B0B22"/>
    <w:rsid w:val="477869C2"/>
    <w:rsid w:val="47974091"/>
    <w:rsid w:val="47A07E0C"/>
    <w:rsid w:val="48036E0A"/>
    <w:rsid w:val="4870272E"/>
    <w:rsid w:val="490C70F7"/>
    <w:rsid w:val="49581ECF"/>
    <w:rsid w:val="49A15C30"/>
    <w:rsid w:val="49DC7715"/>
    <w:rsid w:val="4A023139"/>
    <w:rsid w:val="4A45195C"/>
    <w:rsid w:val="4A7B576F"/>
    <w:rsid w:val="4AF561A9"/>
    <w:rsid w:val="4AF84C20"/>
    <w:rsid w:val="4B2E0642"/>
    <w:rsid w:val="4B534CF7"/>
    <w:rsid w:val="4BA431E8"/>
    <w:rsid w:val="4BAF187A"/>
    <w:rsid w:val="4C216349"/>
    <w:rsid w:val="4C4A0649"/>
    <w:rsid w:val="4C7E5ECA"/>
    <w:rsid w:val="4C876AA5"/>
    <w:rsid w:val="4CAE0E7C"/>
    <w:rsid w:val="4D0E00FB"/>
    <w:rsid w:val="4D176606"/>
    <w:rsid w:val="4DEC4FB0"/>
    <w:rsid w:val="4E075D8A"/>
    <w:rsid w:val="4EC00FAD"/>
    <w:rsid w:val="4F764366"/>
    <w:rsid w:val="4F9843DC"/>
    <w:rsid w:val="4FC62A8C"/>
    <w:rsid w:val="4FDA2B47"/>
    <w:rsid w:val="4FE20F0D"/>
    <w:rsid w:val="4FE51552"/>
    <w:rsid w:val="50133F33"/>
    <w:rsid w:val="50504C4B"/>
    <w:rsid w:val="507B7E86"/>
    <w:rsid w:val="509C6E7C"/>
    <w:rsid w:val="50C02456"/>
    <w:rsid w:val="513A6E5F"/>
    <w:rsid w:val="515F3303"/>
    <w:rsid w:val="5162104E"/>
    <w:rsid w:val="523133D8"/>
    <w:rsid w:val="52497B10"/>
    <w:rsid w:val="52AE7A9B"/>
    <w:rsid w:val="52D0481B"/>
    <w:rsid w:val="52ED733E"/>
    <w:rsid w:val="52F55647"/>
    <w:rsid w:val="53176B7B"/>
    <w:rsid w:val="5328232F"/>
    <w:rsid w:val="5344250C"/>
    <w:rsid w:val="53560736"/>
    <w:rsid w:val="53A039CC"/>
    <w:rsid w:val="53A1505A"/>
    <w:rsid w:val="53A5015E"/>
    <w:rsid w:val="53B33E09"/>
    <w:rsid w:val="54063E08"/>
    <w:rsid w:val="543437E8"/>
    <w:rsid w:val="54F73313"/>
    <w:rsid w:val="54F80955"/>
    <w:rsid w:val="555170A7"/>
    <w:rsid w:val="555818F7"/>
    <w:rsid w:val="5587536D"/>
    <w:rsid w:val="559B174B"/>
    <w:rsid w:val="55CE0CF4"/>
    <w:rsid w:val="564156CE"/>
    <w:rsid w:val="56691E2A"/>
    <w:rsid w:val="56A02C2D"/>
    <w:rsid w:val="56B22A9C"/>
    <w:rsid w:val="56D46542"/>
    <w:rsid w:val="56E74109"/>
    <w:rsid w:val="56ED7603"/>
    <w:rsid w:val="573963A5"/>
    <w:rsid w:val="57604A31"/>
    <w:rsid w:val="57B72A76"/>
    <w:rsid w:val="57C3426C"/>
    <w:rsid w:val="57CE1F93"/>
    <w:rsid w:val="588743D1"/>
    <w:rsid w:val="5887701A"/>
    <w:rsid w:val="588E44CE"/>
    <w:rsid w:val="58B0355E"/>
    <w:rsid w:val="58DB2EBE"/>
    <w:rsid w:val="58DE3D18"/>
    <w:rsid w:val="59126EAD"/>
    <w:rsid w:val="59A76B8E"/>
    <w:rsid w:val="59AF6DF2"/>
    <w:rsid w:val="59B8262B"/>
    <w:rsid w:val="59BA018A"/>
    <w:rsid w:val="59C0439F"/>
    <w:rsid w:val="59E53268"/>
    <w:rsid w:val="59E9388F"/>
    <w:rsid w:val="5A3576DA"/>
    <w:rsid w:val="5ABC2A7D"/>
    <w:rsid w:val="5ABE2233"/>
    <w:rsid w:val="5BDF5D95"/>
    <w:rsid w:val="5BFE7528"/>
    <w:rsid w:val="5C0E6052"/>
    <w:rsid w:val="5C3E58EA"/>
    <w:rsid w:val="5C5A1A53"/>
    <w:rsid w:val="5D887F82"/>
    <w:rsid w:val="5DB5346D"/>
    <w:rsid w:val="5DCF1811"/>
    <w:rsid w:val="5E2467F1"/>
    <w:rsid w:val="5E360FFC"/>
    <w:rsid w:val="5F1A2B43"/>
    <w:rsid w:val="5F2C7AB3"/>
    <w:rsid w:val="5F8A2C6B"/>
    <w:rsid w:val="5FB16701"/>
    <w:rsid w:val="5FB837BB"/>
    <w:rsid w:val="6062502B"/>
    <w:rsid w:val="60CC405A"/>
    <w:rsid w:val="60CC7837"/>
    <w:rsid w:val="613227E3"/>
    <w:rsid w:val="6171183B"/>
    <w:rsid w:val="617D567D"/>
    <w:rsid w:val="61840478"/>
    <w:rsid w:val="61CE48E1"/>
    <w:rsid w:val="61E215D8"/>
    <w:rsid w:val="620C42DC"/>
    <w:rsid w:val="621A6911"/>
    <w:rsid w:val="621B3775"/>
    <w:rsid w:val="62364782"/>
    <w:rsid w:val="62650996"/>
    <w:rsid w:val="62757F11"/>
    <w:rsid w:val="62A02DCE"/>
    <w:rsid w:val="62BB2364"/>
    <w:rsid w:val="62D158B7"/>
    <w:rsid w:val="62E13C90"/>
    <w:rsid w:val="62E566BE"/>
    <w:rsid w:val="6394356A"/>
    <w:rsid w:val="63C61B2C"/>
    <w:rsid w:val="63D40BE9"/>
    <w:rsid w:val="63E1653E"/>
    <w:rsid w:val="64102431"/>
    <w:rsid w:val="64306F5E"/>
    <w:rsid w:val="6443642D"/>
    <w:rsid w:val="6469773A"/>
    <w:rsid w:val="64A5243A"/>
    <w:rsid w:val="64EC4A56"/>
    <w:rsid w:val="64F531DE"/>
    <w:rsid w:val="65373578"/>
    <w:rsid w:val="65C854A5"/>
    <w:rsid w:val="660D1128"/>
    <w:rsid w:val="66344907"/>
    <w:rsid w:val="665C6C80"/>
    <w:rsid w:val="66956A4B"/>
    <w:rsid w:val="66AE7717"/>
    <w:rsid w:val="66B926C9"/>
    <w:rsid w:val="670349C9"/>
    <w:rsid w:val="670D4A08"/>
    <w:rsid w:val="671F124A"/>
    <w:rsid w:val="676E209B"/>
    <w:rsid w:val="677A33C6"/>
    <w:rsid w:val="67D8147B"/>
    <w:rsid w:val="67F27E8E"/>
    <w:rsid w:val="681F6961"/>
    <w:rsid w:val="68242759"/>
    <w:rsid w:val="68557E3B"/>
    <w:rsid w:val="68610A2F"/>
    <w:rsid w:val="68805514"/>
    <w:rsid w:val="688A23E5"/>
    <w:rsid w:val="69316E2F"/>
    <w:rsid w:val="694E2071"/>
    <w:rsid w:val="696B1F82"/>
    <w:rsid w:val="69766163"/>
    <w:rsid w:val="697A3B33"/>
    <w:rsid w:val="697F3062"/>
    <w:rsid w:val="69D44760"/>
    <w:rsid w:val="6A1F3574"/>
    <w:rsid w:val="6A3C2B90"/>
    <w:rsid w:val="6A520EC7"/>
    <w:rsid w:val="6AC667E8"/>
    <w:rsid w:val="6ACA339C"/>
    <w:rsid w:val="6AF87E20"/>
    <w:rsid w:val="6B0244A0"/>
    <w:rsid w:val="6B2423EB"/>
    <w:rsid w:val="6B322639"/>
    <w:rsid w:val="6BD41258"/>
    <w:rsid w:val="6C0A3B4F"/>
    <w:rsid w:val="6C636C38"/>
    <w:rsid w:val="6CA3668C"/>
    <w:rsid w:val="6CA976D1"/>
    <w:rsid w:val="6DB34098"/>
    <w:rsid w:val="6DB545B6"/>
    <w:rsid w:val="6DE02FB4"/>
    <w:rsid w:val="6E3E6C3F"/>
    <w:rsid w:val="6E514CED"/>
    <w:rsid w:val="6EB563D5"/>
    <w:rsid w:val="6ED92677"/>
    <w:rsid w:val="6F225983"/>
    <w:rsid w:val="6F541F8D"/>
    <w:rsid w:val="6FD809F9"/>
    <w:rsid w:val="6FE1063B"/>
    <w:rsid w:val="6FFC5590"/>
    <w:rsid w:val="70051CC5"/>
    <w:rsid w:val="70183C7F"/>
    <w:rsid w:val="702913FB"/>
    <w:rsid w:val="702E07B6"/>
    <w:rsid w:val="703B4AE4"/>
    <w:rsid w:val="70684D34"/>
    <w:rsid w:val="706D1DD0"/>
    <w:rsid w:val="70856B87"/>
    <w:rsid w:val="70D527EE"/>
    <w:rsid w:val="70F5274E"/>
    <w:rsid w:val="714A592F"/>
    <w:rsid w:val="715B5300"/>
    <w:rsid w:val="7198154D"/>
    <w:rsid w:val="71D27F8A"/>
    <w:rsid w:val="71D82609"/>
    <w:rsid w:val="72553024"/>
    <w:rsid w:val="72872FB1"/>
    <w:rsid w:val="72D74F98"/>
    <w:rsid w:val="73122968"/>
    <w:rsid w:val="731F5D5E"/>
    <w:rsid w:val="7349167A"/>
    <w:rsid w:val="73583CAC"/>
    <w:rsid w:val="73BC4605"/>
    <w:rsid w:val="73C2472B"/>
    <w:rsid w:val="73C51AD5"/>
    <w:rsid w:val="73FD4130"/>
    <w:rsid w:val="740807E3"/>
    <w:rsid w:val="741E793C"/>
    <w:rsid w:val="745D1B9A"/>
    <w:rsid w:val="745E3944"/>
    <w:rsid w:val="74880010"/>
    <w:rsid w:val="74F24573"/>
    <w:rsid w:val="754771DE"/>
    <w:rsid w:val="75580A71"/>
    <w:rsid w:val="756344A7"/>
    <w:rsid w:val="759417EE"/>
    <w:rsid w:val="75B55338"/>
    <w:rsid w:val="75BC665E"/>
    <w:rsid w:val="7635099D"/>
    <w:rsid w:val="76422975"/>
    <w:rsid w:val="764E551C"/>
    <w:rsid w:val="768F3144"/>
    <w:rsid w:val="77762421"/>
    <w:rsid w:val="77976B52"/>
    <w:rsid w:val="779B731E"/>
    <w:rsid w:val="77AB69F3"/>
    <w:rsid w:val="77B56B1F"/>
    <w:rsid w:val="77C00B9A"/>
    <w:rsid w:val="77F12CEB"/>
    <w:rsid w:val="780F09F4"/>
    <w:rsid w:val="78740524"/>
    <w:rsid w:val="788A5BB1"/>
    <w:rsid w:val="78A90480"/>
    <w:rsid w:val="78C70511"/>
    <w:rsid w:val="792C3B64"/>
    <w:rsid w:val="79A060E3"/>
    <w:rsid w:val="7A1566E3"/>
    <w:rsid w:val="7A364017"/>
    <w:rsid w:val="7A3A23FE"/>
    <w:rsid w:val="7A5835F4"/>
    <w:rsid w:val="7A8265E1"/>
    <w:rsid w:val="7ADA3AD6"/>
    <w:rsid w:val="7B09011B"/>
    <w:rsid w:val="7B51711A"/>
    <w:rsid w:val="7B686D42"/>
    <w:rsid w:val="7B841746"/>
    <w:rsid w:val="7BB01D7D"/>
    <w:rsid w:val="7BB80E37"/>
    <w:rsid w:val="7BE4480F"/>
    <w:rsid w:val="7C021296"/>
    <w:rsid w:val="7C164F38"/>
    <w:rsid w:val="7C30396B"/>
    <w:rsid w:val="7C6C5AC7"/>
    <w:rsid w:val="7C9C3DE9"/>
    <w:rsid w:val="7CC6544B"/>
    <w:rsid w:val="7D0239FF"/>
    <w:rsid w:val="7D5E1E12"/>
    <w:rsid w:val="7D5E40CD"/>
    <w:rsid w:val="7DB144B6"/>
    <w:rsid w:val="7DCD56F2"/>
    <w:rsid w:val="7E845A30"/>
    <w:rsid w:val="7EA74498"/>
    <w:rsid w:val="7EAE7804"/>
    <w:rsid w:val="7F001CE7"/>
    <w:rsid w:val="7F30691F"/>
    <w:rsid w:val="7F350AE3"/>
    <w:rsid w:val="7F9B7434"/>
    <w:rsid w:val="7FB646FB"/>
    <w:rsid w:val="7FE47E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9" w:name="heading 2" w:locked="1"/>
    <w:lsdException w:qFormat="1" w:uiPriority="9" w:name="heading 3" w:locked="1"/>
    <w:lsdException w:qFormat="1" w:unhideWhenUsed="0" w:uiPriority="0" w:semiHidden="0" w:name="heading 4" w:locked="1"/>
    <w:lsdException w:qFormat="1" w:uiPriority="9" w:name="heading 5" w:locked="1"/>
    <w:lsdException w:qFormat="1" w:uiPriority="9" w:name="heading 6" w:locked="1"/>
    <w:lsdException w:qFormat="1" w:uiPriority="0" w:name="heading 7" w:locked="1"/>
    <w:lsdException w:qFormat="1" w:uiPriority="0" w:name="heading 8" w:locked="1"/>
    <w:lsdException w:qFormat="1" w:uiPriority="0" w:name="heading 9" w:locked="1"/>
    <w:lsdException w:uiPriority="0" w:name="index 1" w:locked="1"/>
    <w:lsdException w:uiPriority="0" w:name="index 2" w:locked="1"/>
    <w:lsdException w:uiPriority="0" w:name="index 3" w:locked="1"/>
    <w:lsdException w:uiPriority="0" w:name="index 4" w:locked="1"/>
    <w:lsdException w:uiPriority="0" w:name="index 5" w:locked="1"/>
    <w:lsdException w:uiPriority="0" w:name="index 6" w:locked="1"/>
    <w:lsdException w:uiPriority="0" w:name="index 7" w:locked="1"/>
    <w:lsdException w:uiPriority="0" w:name="index 8" w:locked="1"/>
    <w:lsdException w:uiPriority="0" w:name="index 9" w:locked="1"/>
    <w:lsdException w:qFormat="1" w:unhideWhenUsed="0" w:uiPriority="0" w:semiHidden="0" w:name="toc 1" w:locked="1"/>
    <w:lsdException w:uiPriority="0" w:name="toc 2" w:locked="1"/>
    <w:lsdException w:qFormat="1" w:unhideWhenUsed="0" w:uiPriority="0" w:semiHidden="0" w:name="toc 3" w:locked="1"/>
    <w:lsdException w:uiPriority="0" w:name="toc 4" w:locked="1"/>
    <w:lsdException w:uiPriority="0" w:name="toc 5" w:locked="1"/>
    <w:lsdException w:uiPriority="0" w:name="toc 6" w:locked="1"/>
    <w:lsdException w:uiPriority="0" w:name="toc 7" w:locked="1"/>
    <w:lsdException w:uiPriority="0" w:name="toc 8" w:locked="1"/>
    <w:lsdException w:uiPriority="0" w:name="toc 9" w:locked="1"/>
    <w:lsdException w:qFormat="1" w:unhideWhenUsed="0" w:uiPriority="0" w:semiHidden="0" w:name="Normal Indent" w:locked="1"/>
    <w:lsdException w:uiPriority="0" w:name="footnote text" w:locked="1"/>
    <w:lsdException w:qFormat="1" w:unhideWhenUsed="0" w:uiPriority="0" w:semiHidden="0" w:name="annotation text"/>
    <w:lsdException w:qFormat="1" w:unhideWhenUsed="0" w:uiPriority="0" w:semiHidden="0" w:name="header"/>
    <w:lsdException w:qFormat="1" w:unhideWhenUsed="0" w:uiPriority="0" w:semiHidden="0" w:name="footer"/>
    <w:lsdException w:uiPriority="0" w:name="index heading" w:locked="1"/>
    <w:lsdException w:qFormat="1" w:uiPriority="0" w:name="caption" w:locked="1"/>
    <w:lsdException w:uiPriority="0" w:name="table of figures" w:locked="1"/>
    <w:lsdException w:uiPriority="0" w:name="envelope address" w:locked="1"/>
    <w:lsdException w:uiPriority="0" w:name="envelope return" w:locked="1"/>
    <w:lsdException w:uiPriority="0" w:name="footnote reference" w:locked="1"/>
    <w:lsdException w:qFormat="1" w:unhideWhenUsed="0" w:uiPriority="0" w:semiHidden="0" w:name="annotation reference"/>
    <w:lsdException w:uiPriority="0" w:name="line number" w:locked="1"/>
    <w:lsdException w:qFormat="1" w:unhideWhenUsed="0" w:uiPriority="0" w:semiHidden="0" w:name="page number" w:locked="1"/>
    <w:lsdException w:uiPriority="0" w:name="endnote reference" w:locked="1"/>
    <w:lsdException w:uiPriority="0" w:name="endnote text" w:locked="1"/>
    <w:lsdException w:uiPriority="0" w:name="table of authorities" w:locked="1"/>
    <w:lsdException w:uiPriority="0" w:name="macro" w:locked="1"/>
    <w:lsdException w:uiPriority="0" w:name="toa heading" w:locked="1"/>
    <w:lsdException w:uiPriority="0" w:name="List" w:locked="1"/>
    <w:lsdException w:uiPriority="0" w:name="List Bullet" w:locked="1"/>
    <w:lsdException w:unhideWhenUsed="0" w:uiPriority="0" w:semiHidden="0" w:name="List Number" w:locked="1"/>
    <w:lsdException w:uiPriority="0" w:name="List 2" w:locked="1"/>
    <w:lsdException w:qFormat="1" w:unhideWhenUsed="0" w:uiPriority="99" w:semiHidden="0" w:name="List 3" w:locked="1"/>
    <w:lsdException w:unhideWhenUsed="0" w:uiPriority="0" w:semiHidden="0" w:name="List 4" w:locked="1"/>
    <w:lsdException w:unhideWhenUsed="0" w:uiPriority="0" w:semiHidden="0" w:name="List 5" w:locked="1"/>
    <w:lsdException w:uiPriority="0" w:name="List Bullet 2" w:locked="1"/>
    <w:lsdException w:uiPriority="0" w:name="List Bullet 3" w:locked="1"/>
    <w:lsdException w:uiPriority="0" w:name="List Bullet 4" w:locked="1"/>
    <w:lsdException w:uiPriority="0" w:name="List Bullet 5" w:locked="1"/>
    <w:lsdException w:uiPriority="0" w:name="List Number 2" w:locked="1"/>
    <w:lsdException w:uiPriority="0" w:name="List Number 3" w:locked="1"/>
    <w:lsdException w:uiPriority="0" w:name="List Number 4" w:locked="1"/>
    <w:lsdException w:uiPriority="0" w:name="List Number 5" w:locked="1"/>
    <w:lsdException w:qFormat="1" w:unhideWhenUsed="0" w:uiPriority="0" w:semiHidden="0" w:name="Title" w:locked="1"/>
    <w:lsdException w:uiPriority="0" w:name="Closing" w:locked="1"/>
    <w:lsdException w:uiPriority="0" w:name="Signature" w:locked="1"/>
    <w:lsdException w:qFormat="1" w:uiPriority="1" w:name="Default Paragraph Font"/>
    <w:lsdException w:qFormat="1" w:unhideWhenUsed="0" w:uiPriority="1" w:semiHidden="0" w:name="Body Text"/>
    <w:lsdException w:qFormat="1" w:unhideWhenUsed="0" w:uiPriority="99" w:semiHidden="0" w:name="Body Text Indent"/>
    <w:lsdException w:uiPriority="0" w:name="List Continue" w:locked="1"/>
    <w:lsdException w:uiPriority="0" w:name="List Continue 2" w:locked="1"/>
    <w:lsdException w:uiPriority="0" w:name="List Continue 3" w:locked="1"/>
    <w:lsdException w:uiPriority="0" w:name="List Continue 4" w:locked="1"/>
    <w:lsdException w:uiPriority="0" w:name="List Continue 5" w:locked="1"/>
    <w:lsdException w:uiPriority="0" w:name="Message Header" w:locked="1"/>
    <w:lsdException w:qFormat="1" w:unhideWhenUsed="0" w:uiPriority="0" w:semiHidden="0" w:name="Subtitle" w:locked="1"/>
    <w:lsdException w:unhideWhenUsed="0" w:uiPriority="0" w:semiHidden="0" w:name="Salutation" w:locked="1"/>
    <w:lsdException w:qFormat="1" w:unhideWhenUsed="0" w:uiPriority="0" w:semiHidden="0" w:name="Date"/>
    <w:lsdException w:qFormat="1" w:unhideWhenUsed="0" w:uiPriority="0" w:semiHidden="0" w:name="Body Text First Indent" w:locked="1"/>
    <w:lsdException w:qFormat="1" w:uiPriority="99" w:name="Body Text First Indent 2" w:locked="1"/>
    <w:lsdException w:uiPriority="0" w:name="Note Heading" w:locked="1"/>
    <w:lsdException w:uiPriority="0" w:name="Body Text 2" w:locked="1"/>
    <w:lsdException w:uiPriority="0" w:name="Body Text 3" w:locked="1"/>
    <w:lsdException w:uiPriority="0" w:name="Body Text Indent 2" w:locked="1"/>
    <w:lsdException w:uiPriority="0" w:name="Body Text Indent 3" w:locked="1"/>
    <w:lsdException w:uiPriority="0" w:name="Block Text" w:locked="1"/>
    <w:lsdException w:qFormat="1" w:uiPriority="99" w:name="Hyperlink" w:locked="1"/>
    <w:lsdException w:qFormat="1" w:uiPriority="99" w:name="FollowedHyperlink" w:locked="1"/>
    <w:lsdException w:qFormat="1" w:unhideWhenUsed="0" w:uiPriority="0" w:semiHidden="0" w:name="Strong" w:locked="1"/>
    <w:lsdException w:qFormat="1" w:unhideWhenUsed="0" w:uiPriority="0" w:semiHidden="0" w:name="Emphasis" w:locked="1"/>
    <w:lsdException w:uiPriority="0" w:name="Document Map" w:locked="1"/>
    <w:lsdException w:qFormat="1" w:unhideWhenUsed="0" w:uiPriority="99" w:semiHidden="0" w:name="Plain Text" w:locked="1"/>
    <w:lsdException w:uiPriority="0" w:name="E-mail Signature" w:locked="1"/>
    <w:lsdException w:qFormat="1" w:unhideWhenUsed="0" w:uiPriority="99" w:semiHidden="0" w:name="Normal (Web)"/>
    <w:lsdException w:uiPriority="0" w:name="HTML Acronym" w:locked="1"/>
    <w:lsdException w:uiPriority="0" w:name="HTML Address" w:locked="1"/>
    <w:lsdException w:uiPriority="0" w:name="HTML Cite" w:locked="1"/>
    <w:lsdException w:uiPriority="0" w:name="HTML Code" w:locked="1"/>
    <w:lsdException w:uiPriority="0" w:name="HTML Definition" w:locked="1"/>
    <w:lsdException w:uiPriority="0" w:name="HTML Keyboard" w:locked="1"/>
    <w:lsdException w:uiPriority="0" w:name="HTML Preformatted" w:locked="1"/>
    <w:lsdException w:uiPriority="0" w:name="HTML Sample" w:locked="1"/>
    <w:lsdException w:uiPriority="0" w:name="HTML Typewriter" w:locked="1"/>
    <w:lsdException w:uiPriority="0" w:name="HTML Variable" w:locked="1"/>
    <w:lsdException w:qFormat="1" w:uiPriority="99" w:name="Normal Table"/>
    <w:lsdException w:qFormat="1" w:unhideWhenUsed="0" w:uiPriority="0" w:name="annotation subject"/>
    <w:lsdException w:uiPriority="0" w:name="Table Simple 1" w:locked="1"/>
    <w:lsdException w:uiPriority="0" w:name="Table Simple 2" w:locked="1"/>
    <w:lsdException w:uiPriority="0" w:name="Table Simple 3" w:locked="1"/>
    <w:lsdException w:uiPriority="0" w:name="Table Classic 1" w:locked="1"/>
    <w:lsdException w:uiPriority="0" w:name="Table Classic 2" w:locked="1"/>
    <w:lsdException w:uiPriority="0" w:name="Table Classic 3" w:locked="1"/>
    <w:lsdException w:uiPriority="0" w:name="Table Classic 4" w:locked="1"/>
    <w:lsdException w:uiPriority="0" w:name="Table Colorful 1" w:locked="1"/>
    <w:lsdException w:uiPriority="0" w:name="Table Colorful 2" w:locked="1"/>
    <w:lsdException w:uiPriority="0" w:name="Table Colorful 3" w:locked="1"/>
    <w:lsdException w:uiPriority="0" w:name="Table Columns 1" w:locked="1"/>
    <w:lsdException w:uiPriority="0" w:name="Table Columns 2" w:locked="1"/>
    <w:lsdException w:uiPriority="0" w:name="Table Columns 3" w:locked="1"/>
    <w:lsdException w:uiPriority="0" w:name="Table Columns 4" w:locked="1"/>
    <w:lsdException w:uiPriority="0" w:name="Table Columns 5" w:locked="1"/>
    <w:lsdException w:uiPriority="0" w:name="Table Grid 1" w:locked="1"/>
    <w:lsdException w:uiPriority="0" w:name="Table Grid 2" w:locked="1"/>
    <w:lsdException w:uiPriority="0" w:name="Table Grid 3" w:locked="1"/>
    <w:lsdException w:uiPriority="0" w:name="Table Grid 4" w:locked="1"/>
    <w:lsdException w:uiPriority="0" w:name="Table Grid 5" w:locked="1"/>
    <w:lsdException w:uiPriority="0" w:name="Table Grid 6" w:locked="1"/>
    <w:lsdException w:uiPriority="0" w:name="Table Grid 7" w:locked="1"/>
    <w:lsdException w:uiPriority="0" w:name="Table Grid 8" w:locked="1"/>
    <w:lsdException w:uiPriority="0" w:name="Table List 1" w:locked="1"/>
    <w:lsdException w:uiPriority="0" w:name="Table List 2" w:locked="1"/>
    <w:lsdException w:uiPriority="0" w:name="Table List 3" w:locked="1"/>
    <w:lsdException w:uiPriority="0" w:name="Table List 4" w:locked="1"/>
    <w:lsdException w:uiPriority="0" w:name="Table List 5" w:locked="1"/>
    <w:lsdException w:uiPriority="0" w:name="Table List 6" w:locked="1"/>
    <w:lsdException w:uiPriority="0" w:name="Table List 7" w:locked="1"/>
    <w:lsdException w:uiPriority="0" w:name="Table List 8" w:locked="1"/>
    <w:lsdException w:uiPriority="0" w:name="Table 3D effects 1" w:locked="1"/>
    <w:lsdException w:uiPriority="0" w:name="Table 3D effects 2" w:locked="1"/>
    <w:lsdException w:uiPriority="0" w:name="Table 3D effects 3" w:locked="1"/>
    <w:lsdException w:uiPriority="0" w:name="Table Contemporary" w:locked="1"/>
    <w:lsdException w:uiPriority="0" w:name="Table Elegant" w:locked="1"/>
    <w:lsdException w:uiPriority="0" w:name="Table Professional" w:locked="1"/>
    <w:lsdException w:uiPriority="0" w:name="Table Subtle 1" w:locked="1"/>
    <w:lsdException w:uiPriority="0" w:name="Table Subtle 2" w:locked="1"/>
    <w:lsdException w:uiPriority="0" w:name="Table Web 1" w:locked="1"/>
    <w:lsdException w:uiPriority="0" w:name="Table Web 2" w:locked="1"/>
    <w:lsdException w:uiPriority="0" w:name="Table Web 3" w:locked="1"/>
    <w:lsdException w:qFormat="1" w:unhideWhenUsed="0" w:uiPriority="0" w:name="Balloon Text"/>
    <w:lsdException w:qFormat="1" w:unhideWhenUsed="0" w:uiPriority="0" w:semiHidden="0" w:name="Table Grid"/>
    <w:lsdException w:uiPriority="0" w:name="Table Theme" w:locked="1"/>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05"/>
    <w:qFormat/>
    <w:locked/>
    <w:uiPriority w:val="0"/>
    <w:pPr>
      <w:keepNext/>
      <w:overflowPunct w:val="0"/>
      <w:snapToGrid w:val="0"/>
      <w:spacing w:before="120" w:after="160" w:line="259" w:lineRule="auto"/>
      <w:ind w:left="432" w:hanging="432"/>
      <w:outlineLvl w:val="0"/>
    </w:pPr>
    <w:rPr>
      <w:rFonts w:eastAsia="黑体"/>
      <w:b/>
      <w:bCs/>
      <w:color w:val="000000"/>
      <w:kern w:val="44"/>
      <w:sz w:val="30"/>
      <w:szCs w:val="30"/>
    </w:rPr>
  </w:style>
  <w:style w:type="paragraph" w:styleId="3">
    <w:name w:val="heading 2"/>
    <w:basedOn w:val="1"/>
    <w:next w:val="1"/>
    <w:link w:val="101"/>
    <w:semiHidden/>
    <w:unhideWhenUsed/>
    <w:qFormat/>
    <w:locked/>
    <w:uiPriority w:val="9"/>
    <w:pPr>
      <w:autoSpaceDE w:val="0"/>
      <w:autoSpaceDN w:val="0"/>
      <w:ind w:left="1141" w:hanging="401"/>
      <w:jc w:val="left"/>
      <w:outlineLvl w:val="1"/>
    </w:pPr>
    <w:rPr>
      <w:rFonts w:ascii="宋体" w:hAnsi="宋体" w:cs="宋体"/>
      <w:b/>
      <w:bCs/>
      <w:kern w:val="0"/>
      <w:sz w:val="32"/>
      <w:szCs w:val="32"/>
      <w:lang w:eastAsia="en-US"/>
    </w:rPr>
  </w:style>
  <w:style w:type="paragraph" w:styleId="4">
    <w:name w:val="heading 3"/>
    <w:basedOn w:val="1"/>
    <w:next w:val="1"/>
    <w:link w:val="102"/>
    <w:semiHidden/>
    <w:unhideWhenUsed/>
    <w:qFormat/>
    <w:locked/>
    <w:uiPriority w:val="9"/>
    <w:pPr>
      <w:autoSpaceDE w:val="0"/>
      <w:autoSpaceDN w:val="0"/>
      <w:ind w:left="1301" w:hanging="561"/>
      <w:jc w:val="left"/>
      <w:outlineLvl w:val="2"/>
    </w:pPr>
    <w:rPr>
      <w:rFonts w:ascii="宋体" w:hAnsi="宋体" w:cs="宋体"/>
      <w:b/>
      <w:bCs/>
      <w:kern w:val="0"/>
      <w:sz w:val="28"/>
      <w:szCs w:val="28"/>
      <w:lang w:eastAsia="en-US"/>
    </w:rPr>
  </w:style>
  <w:style w:type="paragraph" w:styleId="5">
    <w:name w:val="heading 4"/>
    <w:basedOn w:val="1"/>
    <w:next w:val="1"/>
    <w:link w:val="54"/>
    <w:qFormat/>
    <w:locked/>
    <w:uiPriority w:val="0"/>
    <w:pPr>
      <w:keepNext/>
      <w:keepLines/>
      <w:spacing w:before="280" w:after="290" w:line="376" w:lineRule="auto"/>
      <w:outlineLvl w:val="3"/>
    </w:pPr>
    <w:rPr>
      <w:rFonts w:ascii="Arial" w:hAnsi="Arial" w:eastAsia="黑体"/>
      <w:b/>
      <w:bCs/>
      <w:sz w:val="28"/>
      <w:szCs w:val="28"/>
      <w:lang w:val="zh-CN"/>
    </w:rPr>
  </w:style>
  <w:style w:type="paragraph" w:styleId="6">
    <w:name w:val="heading 5"/>
    <w:basedOn w:val="1"/>
    <w:next w:val="1"/>
    <w:link w:val="103"/>
    <w:semiHidden/>
    <w:unhideWhenUsed/>
    <w:qFormat/>
    <w:locked/>
    <w:uiPriority w:val="9"/>
    <w:pPr>
      <w:keepNext/>
      <w:keepLines/>
      <w:autoSpaceDE w:val="0"/>
      <w:autoSpaceDN w:val="0"/>
      <w:spacing w:before="280" w:after="290" w:line="374" w:lineRule="auto"/>
      <w:jc w:val="left"/>
      <w:outlineLvl w:val="4"/>
    </w:pPr>
    <w:rPr>
      <w:rFonts w:ascii="宋体" w:hAnsi="宋体" w:cs="宋体"/>
      <w:b/>
      <w:bCs/>
      <w:kern w:val="0"/>
      <w:sz w:val="28"/>
      <w:szCs w:val="28"/>
      <w:lang w:eastAsia="en-US"/>
    </w:rPr>
  </w:style>
  <w:style w:type="paragraph" w:styleId="7">
    <w:name w:val="heading 6"/>
    <w:basedOn w:val="1"/>
    <w:next w:val="1"/>
    <w:link w:val="104"/>
    <w:semiHidden/>
    <w:unhideWhenUsed/>
    <w:qFormat/>
    <w:locked/>
    <w:uiPriority w:val="9"/>
    <w:pPr>
      <w:keepNext/>
      <w:keepLines/>
      <w:autoSpaceDE w:val="0"/>
      <w:autoSpaceDN w:val="0"/>
      <w:spacing w:before="240" w:after="64" w:line="319" w:lineRule="auto"/>
      <w:jc w:val="left"/>
      <w:outlineLvl w:val="5"/>
    </w:pPr>
    <w:rPr>
      <w:rFonts w:ascii="Calibri Light" w:hAnsi="Calibri Light"/>
      <w:b/>
      <w:bCs/>
      <w:kern w:val="0"/>
      <w:sz w:val="24"/>
      <w:lang w:eastAsia="en-US"/>
    </w:rPr>
  </w:style>
  <w:style w:type="character" w:default="1" w:styleId="26">
    <w:name w:val="Default Paragraph Font"/>
    <w:semiHidden/>
    <w:unhideWhenUsed/>
    <w:qFormat/>
    <w:uiPriority w:val="1"/>
  </w:style>
  <w:style w:type="table" w:default="1" w:styleId="24">
    <w:name w:val="Normal Table"/>
    <w:semiHidden/>
    <w:unhideWhenUsed/>
    <w:qFormat/>
    <w:uiPriority w:val="99"/>
    <w:tblPr>
      <w:tblCellMar>
        <w:top w:w="0" w:type="dxa"/>
        <w:left w:w="108" w:type="dxa"/>
        <w:bottom w:w="0" w:type="dxa"/>
        <w:right w:w="108" w:type="dxa"/>
      </w:tblCellMar>
    </w:tblPr>
  </w:style>
  <w:style w:type="paragraph" w:styleId="8">
    <w:name w:val="List 3"/>
    <w:basedOn w:val="1"/>
    <w:link w:val="58"/>
    <w:qFormat/>
    <w:locked/>
    <w:uiPriority w:val="99"/>
    <w:pPr>
      <w:ind w:left="100" w:leftChars="400" w:hanging="200" w:hangingChars="200"/>
      <w:contextualSpacing/>
    </w:pPr>
    <w:rPr>
      <w:rFonts w:ascii="Arial" w:hAnsi="Arial"/>
      <w:sz w:val="24"/>
      <w:lang w:val="zh-CN"/>
    </w:rPr>
  </w:style>
  <w:style w:type="paragraph" w:styleId="9">
    <w:name w:val="Normal Indent"/>
    <w:basedOn w:val="1"/>
    <w:next w:val="1"/>
    <w:link w:val="50"/>
    <w:qFormat/>
    <w:locked/>
    <w:uiPriority w:val="0"/>
    <w:pPr>
      <w:spacing w:line="264" w:lineRule="auto"/>
      <w:ind w:firstLine="476"/>
    </w:pPr>
    <w:rPr>
      <w:rFonts w:ascii="Arial" w:hAnsi="Arial" w:cs="Arial"/>
      <w:spacing w:val="10"/>
      <w:sz w:val="24"/>
      <w:szCs w:val="20"/>
    </w:rPr>
  </w:style>
  <w:style w:type="paragraph" w:styleId="10">
    <w:name w:val="annotation text"/>
    <w:basedOn w:val="1"/>
    <w:link w:val="38"/>
    <w:qFormat/>
    <w:uiPriority w:val="0"/>
    <w:pPr>
      <w:jc w:val="left"/>
    </w:pPr>
    <w:rPr>
      <w:kern w:val="0"/>
      <w:sz w:val="24"/>
      <w:szCs w:val="20"/>
    </w:rPr>
  </w:style>
  <w:style w:type="paragraph" w:styleId="11">
    <w:name w:val="Body Text"/>
    <w:basedOn w:val="1"/>
    <w:link w:val="37"/>
    <w:qFormat/>
    <w:uiPriority w:val="1"/>
    <w:pPr>
      <w:widowControl/>
      <w:snapToGrid w:val="0"/>
      <w:spacing w:before="60" w:after="160" w:line="259" w:lineRule="auto"/>
      <w:ind w:right="113"/>
    </w:pPr>
    <w:rPr>
      <w:kern w:val="0"/>
      <w:sz w:val="18"/>
      <w:szCs w:val="20"/>
    </w:rPr>
  </w:style>
  <w:style w:type="paragraph" w:styleId="12">
    <w:name w:val="Body Text Indent"/>
    <w:basedOn w:val="1"/>
    <w:link w:val="46"/>
    <w:qFormat/>
    <w:uiPriority w:val="99"/>
    <w:pPr>
      <w:spacing w:after="120"/>
      <w:ind w:left="420" w:leftChars="200"/>
    </w:pPr>
    <w:rPr>
      <w:kern w:val="0"/>
      <w:sz w:val="24"/>
      <w:szCs w:val="20"/>
    </w:rPr>
  </w:style>
  <w:style w:type="paragraph" w:styleId="13">
    <w:name w:val="toc 3"/>
    <w:basedOn w:val="1"/>
    <w:next w:val="1"/>
    <w:qFormat/>
    <w:locked/>
    <w:uiPriority w:val="0"/>
    <w:pPr>
      <w:ind w:left="840" w:leftChars="400"/>
    </w:pPr>
  </w:style>
  <w:style w:type="paragraph" w:styleId="14">
    <w:name w:val="Plain Text"/>
    <w:basedOn w:val="1"/>
    <w:link w:val="60"/>
    <w:qFormat/>
    <w:locked/>
    <w:uiPriority w:val="99"/>
    <w:rPr>
      <w:rFonts w:ascii="宋体" w:hAnsi="Courier New" w:cs="Courier New"/>
      <w:szCs w:val="21"/>
    </w:rPr>
  </w:style>
  <w:style w:type="paragraph" w:styleId="15">
    <w:name w:val="Date"/>
    <w:basedOn w:val="1"/>
    <w:next w:val="1"/>
    <w:link w:val="33"/>
    <w:qFormat/>
    <w:uiPriority w:val="0"/>
    <w:pPr>
      <w:ind w:left="100" w:leftChars="2500"/>
    </w:pPr>
    <w:rPr>
      <w:kern w:val="0"/>
      <w:sz w:val="24"/>
      <w:szCs w:val="20"/>
    </w:rPr>
  </w:style>
  <w:style w:type="paragraph" w:styleId="16">
    <w:name w:val="Balloon Text"/>
    <w:basedOn w:val="1"/>
    <w:link w:val="42"/>
    <w:semiHidden/>
    <w:qFormat/>
    <w:uiPriority w:val="0"/>
    <w:rPr>
      <w:kern w:val="0"/>
      <w:sz w:val="18"/>
      <w:szCs w:val="20"/>
    </w:rPr>
  </w:style>
  <w:style w:type="paragraph" w:styleId="17">
    <w:name w:val="footer"/>
    <w:basedOn w:val="1"/>
    <w:link w:val="32"/>
    <w:qFormat/>
    <w:uiPriority w:val="0"/>
    <w:pPr>
      <w:tabs>
        <w:tab w:val="center" w:pos="4153"/>
        <w:tab w:val="right" w:pos="8306"/>
      </w:tabs>
      <w:snapToGrid w:val="0"/>
      <w:jc w:val="left"/>
    </w:pPr>
    <w:rPr>
      <w:kern w:val="0"/>
      <w:sz w:val="18"/>
      <w:szCs w:val="20"/>
    </w:rPr>
  </w:style>
  <w:style w:type="paragraph" w:styleId="18">
    <w:name w:val="header"/>
    <w:basedOn w:val="1"/>
    <w:link w:val="44"/>
    <w:qFormat/>
    <w:uiPriority w:val="0"/>
    <w:pPr>
      <w:pBdr>
        <w:bottom w:val="single" w:color="auto" w:sz="6" w:space="1"/>
      </w:pBdr>
      <w:tabs>
        <w:tab w:val="center" w:pos="4153"/>
        <w:tab w:val="right" w:pos="8306"/>
      </w:tabs>
      <w:snapToGrid w:val="0"/>
      <w:jc w:val="center"/>
    </w:pPr>
    <w:rPr>
      <w:kern w:val="0"/>
      <w:sz w:val="18"/>
      <w:szCs w:val="20"/>
    </w:rPr>
  </w:style>
  <w:style w:type="paragraph" w:styleId="19">
    <w:name w:val="toc 1"/>
    <w:basedOn w:val="1"/>
    <w:next w:val="1"/>
    <w:qFormat/>
    <w:locked/>
    <w:uiPriority w:val="0"/>
  </w:style>
  <w:style w:type="paragraph" w:styleId="20">
    <w:name w:val="Normal (Web)"/>
    <w:basedOn w:val="1"/>
    <w:link w:val="35"/>
    <w:qFormat/>
    <w:uiPriority w:val="99"/>
    <w:pPr>
      <w:widowControl/>
      <w:spacing w:before="100" w:beforeAutospacing="1" w:after="100" w:afterAutospacing="1"/>
      <w:jc w:val="left"/>
    </w:pPr>
    <w:rPr>
      <w:rFonts w:ascii="宋体" w:hAnsi="宋体"/>
      <w:kern w:val="0"/>
      <w:sz w:val="24"/>
      <w:szCs w:val="20"/>
    </w:rPr>
  </w:style>
  <w:style w:type="paragraph" w:styleId="21">
    <w:name w:val="annotation subject"/>
    <w:basedOn w:val="10"/>
    <w:next w:val="10"/>
    <w:link w:val="43"/>
    <w:semiHidden/>
    <w:qFormat/>
    <w:uiPriority w:val="0"/>
    <w:rPr>
      <w:b/>
    </w:rPr>
  </w:style>
  <w:style w:type="paragraph" w:styleId="22">
    <w:name w:val="Body Text First Indent"/>
    <w:basedOn w:val="11"/>
    <w:link w:val="75"/>
    <w:qFormat/>
    <w:locked/>
    <w:uiPriority w:val="0"/>
    <w:pPr>
      <w:widowControl w:val="0"/>
      <w:snapToGrid/>
      <w:spacing w:before="0" w:after="120" w:line="240" w:lineRule="auto"/>
      <w:ind w:right="0" w:firstLine="420" w:firstLineChars="100"/>
    </w:pPr>
    <w:rPr>
      <w:kern w:val="2"/>
      <w:sz w:val="21"/>
      <w:szCs w:val="24"/>
    </w:rPr>
  </w:style>
  <w:style w:type="paragraph" w:styleId="23">
    <w:name w:val="Body Text First Indent 2"/>
    <w:basedOn w:val="12"/>
    <w:next w:val="1"/>
    <w:link w:val="106"/>
    <w:semiHidden/>
    <w:unhideWhenUsed/>
    <w:qFormat/>
    <w:locked/>
    <w:uiPriority w:val="99"/>
    <w:pPr>
      <w:autoSpaceDE w:val="0"/>
      <w:autoSpaceDN w:val="0"/>
      <w:ind w:firstLine="420" w:firstLineChars="200"/>
      <w:jc w:val="left"/>
    </w:pPr>
    <w:rPr>
      <w:rFonts w:ascii="宋体" w:hAnsi="宋体" w:cs="宋体"/>
      <w:sz w:val="22"/>
      <w:szCs w:val="22"/>
      <w:lang w:eastAsia="en-US"/>
    </w:rPr>
  </w:style>
  <w:style w:type="table" w:styleId="25">
    <w:name w:val="Table Grid"/>
    <w:basedOn w:val="24"/>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7">
    <w:name w:val="Strong"/>
    <w:basedOn w:val="26"/>
    <w:qFormat/>
    <w:locked/>
    <w:uiPriority w:val="0"/>
    <w:rPr>
      <w:b/>
    </w:rPr>
  </w:style>
  <w:style w:type="character" w:styleId="28">
    <w:name w:val="page number"/>
    <w:basedOn w:val="26"/>
    <w:qFormat/>
    <w:locked/>
    <w:uiPriority w:val="0"/>
  </w:style>
  <w:style w:type="character" w:styleId="29">
    <w:name w:val="FollowedHyperlink"/>
    <w:basedOn w:val="26"/>
    <w:semiHidden/>
    <w:unhideWhenUsed/>
    <w:qFormat/>
    <w:locked/>
    <w:uiPriority w:val="99"/>
    <w:rPr>
      <w:color w:val="954F72"/>
      <w:u w:val="single"/>
    </w:rPr>
  </w:style>
  <w:style w:type="character" w:styleId="30">
    <w:name w:val="Hyperlink"/>
    <w:basedOn w:val="26"/>
    <w:semiHidden/>
    <w:unhideWhenUsed/>
    <w:qFormat/>
    <w:locked/>
    <w:uiPriority w:val="99"/>
    <w:rPr>
      <w:color w:val="0563C1"/>
      <w:u w:val="single"/>
    </w:rPr>
  </w:style>
  <w:style w:type="character" w:styleId="31">
    <w:name w:val="annotation reference"/>
    <w:qFormat/>
    <w:uiPriority w:val="0"/>
    <w:rPr>
      <w:sz w:val="21"/>
    </w:rPr>
  </w:style>
  <w:style w:type="character" w:customStyle="1" w:styleId="32">
    <w:name w:val="页脚 字符1"/>
    <w:link w:val="17"/>
    <w:qFormat/>
    <w:locked/>
    <w:uiPriority w:val="99"/>
    <w:rPr>
      <w:sz w:val="18"/>
    </w:rPr>
  </w:style>
  <w:style w:type="character" w:customStyle="1" w:styleId="33">
    <w:name w:val="日期 字符1"/>
    <w:link w:val="15"/>
    <w:qFormat/>
    <w:locked/>
    <w:uiPriority w:val="0"/>
    <w:rPr>
      <w:rFonts w:ascii="Times New Roman" w:hAnsi="Times New Roman" w:eastAsia="宋体"/>
      <w:sz w:val="24"/>
    </w:rPr>
  </w:style>
  <w:style w:type="character" w:customStyle="1" w:styleId="34">
    <w:name w:val="页脚 字符"/>
    <w:basedOn w:val="26"/>
    <w:qFormat/>
    <w:uiPriority w:val="0"/>
  </w:style>
  <w:style w:type="character" w:customStyle="1" w:styleId="35">
    <w:name w:val="普通(网站) 字符"/>
    <w:link w:val="20"/>
    <w:qFormat/>
    <w:locked/>
    <w:uiPriority w:val="0"/>
    <w:rPr>
      <w:rFonts w:ascii="宋体" w:hAnsi="宋体" w:eastAsia="宋体"/>
      <w:sz w:val="24"/>
    </w:rPr>
  </w:style>
  <w:style w:type="character" w:customStyle="1" w:styleId="36">
    <w:name w:val="正文文本 字符1"/>
    <w:semiHidden/>
    <w:qFormat/>
    <w:uiPriority w:val="0"/>
    <w:rPr>
      <w:rFonts w:ascii="Times New Roman" w:hAnsi="Times New Roman" w:eastAsia="宋体"/>
      <w:sz w:val="24"/>
    </w:rPr>
  </w:style>
  <w:style w:type="character" w:customStyle="1" w:styleId="37">
    <w:name w:val="正文文本 字符"/>
    <w:link w:val="11"/>
    <w:qFormat/>
    <w:locked/>
    <w:uiPriority w:val="1"/>
    <w:rPr>
      <w:sz w:val="18"/>
    </w:rPr>
  </w:style>
  <w:style w:type="character" w:customStyle="1" w:styleId="38">
    <w:name w:val="批注文字 字符"/>
    <w:link w:val="10"/>
    <w:qFormat/>
    <w:locked/>
    <w:uiPriority w:val="0"/>
    <w:rPr>
      <w:rFonts w:ascii="Times New Roman" w:hAnsi="Times New Roman" w:eastAsia="宋体"/>
      <w:sz w:val="24"/>
    </w:rPr>
  </w:style>
  <w:style w:type="character" w:customStyle="1" w:styleId="39">
    <w:name w:val="表格 Char"/>
    <w:link w:val="40"/>
    <w:qFormat/>
    <w:locked/>
    <w:uiPriority w:val="0"/>
    <w:rPr>
      <w:rFonts w:ascii="宋体"/>
      <w:sz w:val="21"/>
    </w:rPr>
  </w:style>
  <w:style w:type="paragraph" w:customStyle="1" w:styleId="40">
    <w:name w:val="表格"/>
    <w:basedOn w:val="1"/>
    <w:next w:val="1"/>
    <w:link w:val="39"/>
    <w:qFormat/>
    <w:uiPriority w:val="0"/>
    <w:pPr>
      <w:adjustRightInd w:val="0"/>
      <w:snapToGrid w:val="0"/>
      <w:spacing w:beforeLines="10" w:afterLines="10" w:line="259" w:lineRule="auto"/>
      <w:jc w:val="center"/>
    </w:pPr>
    <w:rPr>
      <w:rFonts w:ascii="宋体"/>
      <w:kern w:val="0"/>
      <w:szCs w:val="20"/>
    </w:rPr>
  </w:style>
  <w:style w:type="character" w:customStyle="1" w:styleId="41">
    <w:name w:val="日期 字符"/>
    <w:semiHidden/>
    <w:qFormat/>
    <w:uiPriority w:val="0"/>
    <w:rPr>
      <w:rFonts w:ascii="Times New Roman" w:hAnsi="Times New Roman" w:eastAsia="宋体"/>
      <w:sz w:val="24"/>
    </w:rPr>
  </w:style>
  <w:style w:type="character" w:customStyle="1" w:styleId="42">
    <w:name w:val="批注框文本 字符"/>
    <w:link w:val="16"/>
    <w:semiHidden/>
    <w:qFormat/>
    <w:locked/>
    <w:uiPriority w:val="0"/>
    <w:rPr>
      <w:rFonts w:ascii="Times New Roman" w:hAnsi="Times New Roman" w:eastAsia="宋体"/>
      <w:sz w:val="18"/>
    </w:rPr>
  </w:style>
  <w:style w:type="character" w:customStyle="1" w:styleId="43">
    <w:name w:val="批注主题 字符"/>
    <w:link w:val="21"/>
    <w:semiHidden/>
    <w:qFormat/>
    <w:locked/>
    <w:uiPriority w:val="0"/>
    <w:rPr>
      <w:rFonts w:ascii="Times New Roman" w:hAnsi="Times New Roman" w:eastAsia="宋体"/>
      <w:b/>
      <w:kern w:val="2"/>
      <w:sz w:val="24"/>
    </w:rPr>
  </w:style>
  <w:style w:type="character" w:customStyle="1" w:styleId="44">
    <w:name w:val="页眉 字符"/>
    <w:link w:val="18"/>
    <w:qFormat/>
    <w:locked/>
    <w:uiPriority w:val="0"/>
    <w:rPr>
      <w:sz w:val="18"/>
    </w:rPr>
  </w:style>
  <w:style w:type="character" w:customStyle="1" w:styleId="45">
    <w:name w:val="批注文字 字符1"/>
    <w:semiHidden/>
    <w:qFormat/>
    <w:uiPriority w:val="0"/>
    <w:rPr>
      <w:rFonts w:ascii="Times New Roman" w:hAnsi="Times New Roman" w:eastAsia="宋体"/>
      <w:sz w:val="24"/>
    </w:rPr>
  </w:style>
  <w:style w:type="character" w:customStyle="1" w:styleId="46">
    <w:name w:val="正文文本缩进 字符"/>
    <w:link w:val="12"/>
    <w:semiHidden/>
    <w:qFormat/>
    <w:locked/>
    <w:uiPriority w:val="99"/>
    <w:rPr>
      <w:rFonts w:ascii="Times New Roman" w:hAnsi="Times New Roman" w:eastAsia="宋体"/>
      <w:sz w:val="24"/>
    </w:rPr>
  </w:style>
  <w:style w:type="paragraph" w:customStyle="1" w:styleId="47">
    <w:name w:val="正文_1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48">
    <w:name w:val="普通(网站)2"/>
    <w:basedOn w:val="1"/>
    <w:qFormat/>
    <w:uiPriority w:val="0"/>
    <w:pPr>
      <w:widowControl/>
      <w:spacing w:before="100" w:beforeAutospacing="1" w:after="100" w:afterAutospacing="1"/>
      <w:jc w:val="left"/>
    </w:pPr>
    <w:rPr>
      <w:rFonts w:ascii="宋体" w:hAnsi="宋体"/>
      <w:sz w:val="24"/>
      <w:szCs w:val="20"/>
    </w:rPr>
  </w:style>
  <w:style w:type="paragraph" w:styleId="49">
    <w:name w:val="List Paragraph"/>
    <w:basedOn w:val="1"/>
    <w:link w:val="70"/>
    <w:qFormat/>
    <w:uiPriority w:val="1"/>
    <w:pPr>
      <w:ind w:firstLine="420" w:firstLineChars="200"/>
    </w:pPr>
  </w:style>
  <w:style w:type="character" w:customStyle="1" w:styleId="50">
    <w:name w:val="正文缩进 字符"/>
    <w:link w:val="9"/>
    <w:qFormat/>
    <w:uiPriority w:val="0"/>
    <w:rPr>
      <w:rFonts w:ascii="Arial" w:hAnsi="Arial" w:cs="Arial"/>
      <w:spacing w:val="10"/>
      <w:kern w:val="2"/>
      <w:sz w:val="24"/>
    </w:rPr>
  </w:style>
  <w:style w:type="paragraph" w:customStyle="1" w:styleId="51">
    <w:name w:val="正文01"/>
    <w:basedOn w:val="1"/>
    <w:link w:val="52"/>
    <w:qFormat/>
    <w:uiPriority w:val="0"/>
    <w:pPr>
      <w:spacing w:before="60" w:line="460" w:lineRule="exact"/>
      <w:ind w:firstLine="200" w:firstLineChars="200"/>
    </w:pPr>
    <w:rPr>
      <w:sz w:val="24"/>
    </w:rPr>
  </w:style>
  <w:style w:type="character" w:customStyle="1" w:styleId="52">
    <w:name w:val="正文01 Char"/>
    <w:link w:val="51"/>
    <w:qFormat/>
    <w:uiPriority w:val="0"/>
    <w:rPr>
      <w:kern w:val="2"/>
      <w:sz w:val="24"/>
      <w:szCs w:val="24"/>
    </w:rPr>
  </w:style>
  <w:style w:type="character" w:customStyle="1" w:styleId="53">
    <w:name w:val="标题 4 字符"/>
    <w:semiHidden/>
    <w:qFormat/>
    <w:uiPriority w:val="0"/>
    <w:rPr>
      <w:rFonts w:ascii="等线 Light" w:hAnsi="等线 Light" w:eastAsia="等线 Light" w:cs="Times New Roman"/>
      <w:b/>
      <w:bCs/>
      <w:kern w:val="2"/>
      <w:sz w:val="28"/>
      <w:szCs w:val="28"/>
    </w:rPr>
  </w:style>
  <w:style w:type="character" w:customStyle="1" w:styleId="54">
    <w:name w:val="标题 4 字符1"/>
    <w:link w:val="5"/>
    <w:qFormat/>
    <w:uiPriority w:val="0"/>
    <w:rPr>
      <w:rFonts w:ascii="Arial" w:hAnsi="Arial" w:eastAsia="黑体"/>
      <w:b/>
      <w:bCs/>
      <w:kern w:val="2"/>
      <w:sz w:val="28"/>
      <w:szCs w:val="28"/>
      <w:lang w:val="zh-CN"/>
    </w:rPr>
  </w:style>
  <w:style w:type="paragraph" w:customStyle="1" w:styleId="55">
    <w:name w:val="xl26"/>
    <w:basedOn w:val="1"/>
    <w:link w:val="6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szCs w:val="21"/>
    </w:rPr>
  </w:style>
  <w:style w:type="paragraph" w:customStyle="1" w:styleId="56">
    <w:name w:val="表格正文"/>
    <w:basedOn w:val="1"/>
    <w:link w:val="57"/>
    <w:qFormat/>
    <w:uiPriority w:val="0"/>
    <w:pPr>
      <w:spacing w:line="360" w:lineRule="exact"/>
      <w:jc w:val="center"/>
    </w:pPr>
  </w:style>
  <w:style w:type="character" w:customStyle="1" w:styleId="57">
    <w:name w:val="表格正文 Char"/>
    <w:link w:val="56"/>
    <w:qFormat/>
    <w:uiPriority w:val="0"/>
    <w:rPr>
      <w:kern w:val="2"/>
      <w:sz w:val="21"/>
      <w:szCs w:val="24"/>
    </w:rPr>
  </w:style>
  <w:style w:type="character" w:customStyle="1" w:styleId="58">
    <w:name w:val="列表 3 字符"/>
    <w:link w:val="8"/>
    <w:qFormat/>
    <w:uiPriority w:val="0"/>
    <w:rPr>
      <w:rFonts w:ascii="Arial" w:hAnsi="Arial"/>
      <w:kern w:val="2"/>
      <w:sz w:val="24"/>
      <w:szCs w:val="24"/>
      <w:lang w:val="zh-CN"/>
    </w:rPr>
  </w:style>
  <w:style w:type="character" w:customStyle="1" w:styleId="59">
    <w:name w:val="纯文本 字符"/>
    <w:qFormat/>
    <w:uiPriority w:val="99"/>
    <w:rPr>
      <w:rFonts w:ascii="宋体" w:hAnsi="Courier New" w:cs="Courier New"/>
      <w:kern w:val="2"/>
      <w:sz w:val="21"/>
      <w:szCs w:val="21"/>
    </w:rPr>
  </w:style>
  <w:style w:type="character" w:customStyle="1" w:styleId="60">
    <w:name w:val="纯文本 字符1"/>
    <w:link w:val="14"/>
    <w:qFormat/>
    <w:uiPriority w:val="0"/>
    <w:rPr>
      <w:rFonts w:ascii="宋体" w:hAnsi="Courier New" w:cs="Courier New"/>
      <w:kern w:val="2"/>
      <w:sz w:val="21"/>
      <w:szCs w:val="21"/>
    </w:rPr>
  </w:style>
  <w:style w:type="character" w:customStyle="1" w:styleId="61">
    <w:name w:val="xl26 Char"/>
    <w:link w:val="55"/>
    <w:qFormat/>
    <w:uiPriority w:val="0"/>
    <w:rPr>
      <w:rFonts w:ascii="宋体" w:hAnsi="宋体" w:cs="宋体"/>
      <w:sz w:val="24"/>
      <w:szCs w:val="21"/>
    </w:rPr>
  </w:style>
  <w:style w:type="character" w:customStyle="1" w:styleId="62">
    <w:name w:val="标题 4 Char"/>
    <w:qFormat/>
    <w:uiPriority w:val="0"/>
    <w:rPr>
      <w:rFonts w:ascii="Arial" w:hAnsi="Arial" w:eastAsia="黑体"/>
      <w:b/>
      <w:bCs/>
      <w:kern w:val="2"/>
      <w:sz w:val="28"/>
      <w:szCs w:val="28"/>
      <w:lang w:val="zh-CN"/>
    </w:rPr>
  </w:style>
  <w:style w:type="character" w:customStyle="1" w:styleId="63">
    <w:name w:val="批注文字 Char"/>
    <w:qFormat/>
    <w:uiPriority w:val="0"/>
    <w:rPr>
      <w:rFonts w:ascii="宋体" w:hAnsi="宋体" w:eastAsia="宋体" w:cs="宋体"/>
      <w:sz w:val="24"/>
      <w:szCs w:val="24"/>
      <w:lang w:val="en-US" w:eastAsia="zh-CN" w:bidi="ar-SA"/>
    </w:rPr>
  </w:style>
  <w:style w:type="character" w:customStyle="1" w:styleId="64">
    <w:name w:val="表 Char"/>
    <w:link w:val="65"/>
    <w:qFormat/>
    <w:uiPriority w:val="0"/>
    <w:rPr>
      <w:rFonts w:ascii="宋体" w:hAnsi="宋体" w:cs="宋体"/>
      <w:spacing w:val="2"/>
      <w:sz w:val="24"/>
    </w:rPr>
  </w:style>
  <w:style w:type="paragraph" w:customStyle="1" w:styleId="65">
    <w:name w:val="表"/>
    <w:basedOn w:val="1"/>
    <w:link w:val="64"/>
    <w:qFormat/>
    <w:uiPriority w:val="0"/>
    <w:pPr>
      <w:widowControl/>
      <w:snapToGrid w:val="0"/>
      <w:jc w:val="center"/>
    </w:pPr>
    <w:rPr>
      <w:rFonts w:ascii="宋体" w:hAnsi="宋体" w:cs="宋体"/>
      <w:spacing w:val="2"/>
      <w:kern w:val="0"/>
      <w:sz w:val="24"/>
      <w:szCs w:val="20"/>
    </w:rPr>
  </w:style>
  <w:style w:type="character" w:customStyle="1" w:styleId="66">
    <w:name w:val="正文缩进 Char"/>
    <w:qFormat/>
    <w:uiPriority w:val="0"/>
    <w:rPr>
      <w:rFonts w:eastAsia="宋体"/>
      <w:kern w:val="2"/>
      <w:sz w:val="21"/>
      <w:lang w:val="en-US" w:eastAsia="zh-CN" w:bidi="ar-SA"/>
    </w:rPr>
  </w:style>
  <w:style w:type="character" w:customStyle="1" w:styleId="67">
    <w:name w:val="my Char"/>
    <w:link w:val="68"/>
    <w:qFormat/>
    <w:uiPriority w:val="0"/>
    <w:rPr>
      <w:sz w:val="24"/>
      <w:szCs w:val="24"/>
    </w:rPr>
  </w:style>
  <w:style w:type="paragraph" w:customStyle="1" w:styleId="68">
    <w:name w:val="my"/>
    <w:link w:val="67"/>
    <w:qFormat/>
    <w:uiPriority w:val="0"/>
    <w:pPr>
      <w:widowControl w:val="0"/>
      <w:spacing w:before="60" w:line="460" w:lineRule="exact"/>
      <w:ind w:firstLine="200" w:firstLineChars="200"/>
    </w:pPr>
    <w:rPr>
      <w:rFonts w:ascii="Times New Roman" w:hAnsi="Times New Roman" w:eastAsia="宋体" w:cs="Times New Roman"/>
      <w:sz w:val="24"/>
      <w:szCs w:val="24"/>
      <w:lang w:val="en-US" w:eastAsia="zh-CN" w:bidi="ar-SA"/>
    </w:rPr>
  </w:style>
  <w:style w:type="character" w:customStyle="1" w:styleId="69">
    <w:name w:val="列表 3 Char1"/>
    <w:qFormat/>
    <w:uiPriority w:val="0"/>
    <w:rPr>
      <w:rFonts w:ascii="Arial" w:hAnsi="Arial"/>
      <w:kern w:val="2"/>
      <w:sz w:val="24"/>
      <w:szCs w:val="24"/>
      <w:lang w:val="zh-CN"/>
    </w:rPr>
  </w:style>
  <w:style w:type="character" w:customStyle="1" w:styleId="70">
    <w:name w:val="列表段落 字符"/>
    <w:link w:val="49"/>
    <w:qFormat/>
    <w:locked/>
    <w:uiPriority w:val="99"/>
    <w:rPr>
      <w:kern w:val="2"/>
      <w:sz w:val="21"/>
      <w:szCs w:val="24"/>
    </w:rPr>
  </w:style>
  <w:style w:type="character" w:customStyle="1" w:styleId="71">
    <w:name w:val="列出段落 Char"/>
    <w:qFormat/>
    <w:locked/>
    <w:uiPriority w:val="34"/>
    <w:rPr>
      <w:kern w:val="2"/>
      <w:sz w:val="24"/>
      <w:szCs w:val="24"/>
      <w:lang w:val="zh-CN"/>
    </w:rPr>
  </w:style>
  <w:style w:type="paragraph" w:customStyle="1" w:styleId="72">
    <w:name w:val="Char4"/>
    <w:basedOn w:val="1"/>
    <w:qFormat/>
    <w:uiPriority w:val="0"/>
    <w:pPr>
      <w:spacing w:line="360" w:lineRule="auto"/>
      <w:ind w:firstLine="200" w:firstLineChars="200"/>
    </w:pPr>
    <w:rPr>
      <w:rFonts w:ascii="宋体" w:hAnsi="宋体" w:cs="宋体"/>
      <w:sz w:val="24"/>
    </w:rPr>
  </w:style>
  <w:style w:type="character" w:customStyle="1" w:styleId="73">
    <w:name w:val="居中正文 Char"/>
    <w:link w:val="74"/>
    <w:qFormat/>
    <w:uiPriority w:val="0"/>
    <w:rPr>
      <w:rFonts w:ascii="宋体"/>
      <w:kern w:val="28"/>
      <w:sz w:val="24"/>
    </w:rPr>
  </w:style>
  <w:style w:type="paragraph" w:customStyle="1" w:styleId="74">
    <w:name w:val="居中正文"/>
    <w:basedOn w:val="22"/>
    <w:link w:val="73"/>
    <w:qFormat/>
    <w:uiPriority w:val="0"/>
    <w:pPr>
      <w:widowControl/>
      <w:adjustRightInd w:val="0"/>
      <w:spacing w:before="120" w:after="0" w:line="360" w:lineRule="auto"/>
      <w:ind w:firstLine="0" w:firstLineChars="0"/>
      <w:jc w:val="center"/>
      <w:textAlignment w:val="baseline"/>
    </w:pPr>
    <w:rPr>
      <w:rFonts w:ascii="宋体"/>
      <w:kern w:val="28"/>
      <w:sz w:val="24"/>
      <w:szCs w:val="20"/>
    </w:rPr>
  </w:style>
  <w:style w:type="character" w:customStyle="1" w:styleId="75">
    <w:name w:val="正文文本首行缩进 字符"/>
    <w:basedOn w:val="37"/>
    <w:link w:val="22"/>
    <w:qFormat/>
    <w:uiPriority w:val="0"/>
    <w:rPr>
      <w:kern w:val="2"/>
      <w:sz w:val="21"/>
      <w:szCs w:val="24"/>
    </w:rPr>
  </w:style>
  <w:style w:type="paragraph" w:customStyle="1" w:styleId="76">
    <w:name w:val="修订1"/>
    <w:hidden/>
    <w:semiHidden/>
    <w:qFormat/>
    <w:uiPriority w:val="99"/>
    <w:rPr>
      <w:rFonts w:ascii="Times New Roman" w:hAnsi="Times New Roman" w:eastAsia="宋体" w:cs="Times New Roman"/>
      <w:kern w:val="2"/>
      <w:sz w:val="21"/>
      <w:szCs w:val="24"/>
      <w:lang w:val="en-US" w:eastAsia="zh-CN" w:bidi="ar-SA"/>
    </w:rPr>
  </w:style>
  <w:style w:type="paragraph" w:customStyle="1" w:styleId="77">
    <w:name w:val="msonormal"/>
    <w:basedOn w:val="1"/>
    <w:qFormat/>
    <w:uiPriority w:val="0"/>
    <w:pPr>
      <w:widowControl/>
      <w:spacing w:before="100" w:beforeAutospacing="1" w:after="100" w:afterAutospacing="1"/>
      <w:jc w:val="left"/>
    </w:pPr>
    <w:rPr>
      <w:rFonts w:ascii="宋体" w:hAnsi="宋体" w:cs="宋体"/>
      <w:kern w:val="0"/>
      <w:sz w:val="24"/>
    </w:rPr>
  </w:style>
  <w:style w:type="character" w:customStyle="1" w:styleId="78">
    <w:name w:val="15"/>
    <w:basedOn w:val="26"/>
    <w:qFormat/>
    <w:uiPriority w:val="0"/>
    <w:rPr>
      <w:rFonts w:hint="default" w:ascii="Calibri" w:hAnsi="Calibri" w:cs="Calibri"/>
      <w:sz w:val="21"/>
      <w:szCs w:val="21"/>
    </w:rPr>
  </w:style>
  <w:style w:type="character" w:customStyle="1" w:styleId="79">
    <w:name w:val="正文01 Char Char Char"/>
    <w:qFormat/>
    <w:uiPriority w:val="0"/>
    <w:rPr>
      <w:rFonts w:eastAsia="宋体"/>
      <w:snapToGrid w:val="0"/>
      <w:sz w:val="24"/>
      <w:lang w:val="en-US" w:eastAsia="zh-CN" w:bidi="ar-SA"/>
    </w:rPr>
  </w:style>
  <w:style w:type="character" w:customStyle="1" w:styleId="80">
    <w:name w:val="批注文字 字符3"/>
    <w:qFormat/>
    <w:locked/>
    <w:uiPriority w:val="99"/>
    <w:rPr>
      <w:sz w:val="24"/>
    </w:rPr>
  </w:style>
  <w:style w:type="character" w:customStyle="1" w:styleId="81">
    <w:name w:val="正文缩进 字符1"/>
    <w:qFormat/>
    <w:uiPriority w:val="0"/>
    <w:rPr>
      <w:rFonts w:ascii="Arial" w:hAnsi="Arial" w:cs="Arial"/>
      <w:spacing w:val="10"/>
      <w:kern w:val="2"/>
      <w:sz w:val="24"/>
    </w:rPr>
  </w:style>
  <w:style w:type="character" w:customStyle="1" w:styleId="82">
    <w:name w:val="表格正文 Char2"/>
    <w:qFormat/>
    <w:uiPriority w:val="0"/>
    <w:rPr>
      <w:rFonts w:eastAsia="宋体"/>
      <w:kern w:val="2"/>
      <w:sz w:val="21"/>
      <w:szCs w:val="21"/>
      <w:lang w:val="en-US" w:eastAsia="zh-CN" w:bidi="ar-SA"/>
    </w:rPr>
  </w:style>
  <w:style w:type="character" w:customStyle="1" w:styleId="83">
    <w:name w:val="正文wwwww Char"/>
    <w:link w:val="84"/>
    <w:qFormat/>
    <w:uiPriority w:val="0"/>
    <w:rPr>
      <w:rFonts w:ascii="Arial" w:hAnsi="Arial" w:cs="宋体"/>
      <w:sz w:val="24"/>
      <w:szCs w:val="24"/>
      <w:lang w:val="zh-CN"/>
    </w:rPr>
  </w:style>
  <w:style w:type="paragraph" w:customStyle="1" w:styleId="84">
    <w:name w:val="正文wwwww"/>
    <w:basedOn w:val="1"/>
    <w:next w:val="1"/>
    <w:link w:val="83"/>
    <w:qFormat/>
    <w:uiPriority w:val="0"/>
    <w:pPr>
      <w:widowControl/>
      <w:snapToGrid w:val="0"/>
      <w:spacing w:line="360" w:lineRule="auto"/>
      <w:ind w:firstLine="482"/>
      <w:jc w:val="left"/>
    </w:pPr>
    <w:rPr>
      <w:rFonts w:ascii="Arial" w:hAnsi="Arial" w:cs="宋体"/>
      <w:kern w:val="0"/>
      <w:sz w:val="24"/>
      <w:lang w:val="zh-CN"/>
    </w:rPr>
  </w:style>
  <w:style w:type="character" w:customStyle="1" w:styleId="85">
    <w:name w:val="批注文字 字符2"/>
    <w:qFormat/>
    <w:locked/>
    <w:uiPriority w:val="0"/>
    <w:rPr>
      <w:sz w:val="24"/>
    </w:rPr>
  </w:style>
  <w:style w:type="paragraph" w:customStyle="1" w:styleId="86">
    <w:name w:val="修订2"/>
    <w:hidden/>
    <w:semiHidden/>
    <w:qFormat/>
    <w:uiPriority w:val="99"/>
    <w:rPr>
      <w:rFonts w:ascii="Times New Roman" w:hAnsi="Times New Roman" w:eastAsia="宋体" w:cs="Times New Roman"/>
      <w:kern w:val="2"/>
      <w:sz w:val="21"/>
      <w:szCs w:val="24"/>
      <w:lang w:val="en-US" w:eastAsia="zh-CN" w:bidi="ar-SA"/>
    </w:rPr>
  </w:style>
  <w:style w:type="character" w:styleId="87">
    <w:name w:val="Placeholder Text"/>
    <w:basedOn w:val="26"/>
    <w:semiHidden/>
    <w:qFormat/>
    <w:uiPriority w:val="99"/>
    <w:rPr>
      <w:color w:val="808080"/>
    </w:rPr>
  </w:style>
  <w:style w:type="paragraph" w:customStyle="1" w:styleId="88">
    <w:name w:val="font5"/>
    <w:basedOn w:val="1"/>
    <w:qFormat/>
    <w:uiPriority w:val="0"/>
    <w:pPr>
      <w:widowControl/>
      <w:spacing w:before="100" w:beforeAutospacing="1" w:after="100" w:afterAutospacing="1"/>
      <w:jc w:val="left"/>
    </w:pPr>
    <w:rPr>
      <w:rFonts w:ascii="宋体" w:hAnsi="宋体" w:cs="宋体"/>
      <w:color w:val="000000"/>
      <w:kern w:val="0"/>
      <w:sz w:val="18"/>
      <w:szCs w:val="18"/>
    </w:rPr>
  </w:style>
  <w:style w:type="paragraph" w:customStyle="1" w:styleId="89">
    <w:name w:val="font6"/>
    <w:basedOn w:val="1"/>
    <w:qFormat/>
    <w:uiPriority w:val="0"/>
    <w:pPr>
      <w:widowControl/>
      <w:spacing w:before="100" w:beforeAutospacing="1" w:after="100" w:afterAutospacing="1"/>
      <w:jc w:val="left"/>
    </w:pPr>
    <w:rPr>
      <w:color w:val="000000"/>
      <w:kern w:val="0"/>
      <w:sz w:val="18"/>
      <w:szCs w:val="18"/>
    </w:rPr>
  </w:style>
  <w:style w:type="paragraph" w:customStyle="1" w:styleId="90">
    <w:name w:val="font7"/>
    <w:basedOn w:val="1"/>
    <w:qFormat/>
    <w:uiPriority w:val="0"/>
    <w:pPr>
      <w:widowControl/>
      <w:spacing w:before="100" w:beforeAutospacing="1" w:after="100" w:afterAutospacing="1"/>
      <w:jc w:val="left"/>
    </w:pPr>
    <w:rPr>
      <w:rFonts w:ascii="宋体" w:hAnsi="宋体" w:cs="宋体"/>
      <w:color w:val="000000"/>
      <w:kern w:val="0"/>
      <w:sz w:val="18"/>
      <w:szCs w:val="18"/>
    </w:rPr>
  </w:style>
  <w:style w:type="paragraph" w:customStyle="1" w:styleId="91">
    <w:name w:val="font8"/>
    <w:basedOn w:val="1"/>
    <w:qFormat/>
    <w:uiPriority w:val="0"/>
    <w:pPr>
      <w:widowControl/>
      <w:spacing w:before="100" w:beforeAutospacing="1" w:after="100" w:afterAutospacing="1"/>
      <w:jc w:val="left"/>
    </w:pPr>
    <w:rPr>
      <w:color w:val="000000"/>
      <w:kern w:val="0"/>
      <w:sz w:val="18"/>
      <w:szCs w:val="18"/>
    </w:rPr>
  </w:style>
  <w:style w:type="paragraph" w:customStyle="1" w:styleId="92">
    <w:name w:val="font9"/>
    <w:basedOn w:val="1"/>
    <w:qFormat/>
    <w:uiPriority w:val="0"/>
    <w:pPr>
      <w:widowControl/>
      <w:spacing w:before="100" w:beforeAutospacing="1" w:after="100" w:afterAutospacing="1"/>
      <w:jc w:val="left"/>
    </w:pPr>
    <w:rPr>
      <w:color w:val="000000"/>
      <w:kern w:val="0"/>
      <w:sz w:val="18"/>
      <w:szCs w:val="18"/>
    </w:rPr>
  </w:style>
  <w:style w:type="paragraph" w:customStyle="1" w:styleId="93">
    <w:name w:val="xl6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18"/>
      <w:szCs w:val="18"/>
    </w:rPr>
  </w:style>
  <w:style w:type="paragraph" w:customStyle="1" w:styleId="94">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color w:val="000000"/>
      <w:kern w:val="0"/>
      <w:sz w:val="18"/>
      <w:szCs w:val="18"/>
    </w:rPr>
  </w:style>
  <w:style w:type="paragraph" w:customStyle="1" w:styleId="95">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color w:val="000000"/>
      <w:kern w:val="0"/>
      <w:szCs w:val="21"/>
    </w:rPr>
  </w:style>
  <w:style w:type="paragraph" w:customStyle="1" w:styleId="96">
    <w:name w:val="xl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cs="宋体"/>
      <w:color w:val="000000"/>
      <w:kern w:val="0"/>
      <w:sz w:val="18"/>
      <w:szCs w:val="18"/>
    </w:rPr>
  </w:style>
  <w:style w:type="paragraph" w:customStyle="1" w:styleId="97">
    <w:name w:val="表头"/>
    <w:next w:val="1"/>
    <w:link w:val="98"/>
    <w:qFormat/>
    <w:uiPriority w:val="0"/>
    <w:pPr>
      <w:spacing w:line="288" w:lineRule="auto"/>
      <w:jc w:val="center"/>
    </w:pPr>
    <w:rPr>
      <w:rFonts w:ascii="黑体" w:hAnsi="黑体" w:eastAsia="黑体" w:cs="Times New Roman"/>
      <w:sz w:val="24"/>
      <w:lang w:val="en-US" w:eastAsia="zh-CN" w:bidi="ar-SA"/>
    </w:rPr>
  </w:style>
  <w:style w:type="character" w:customStyle="1" w:styleId="98">
    <w:name w:val="表头 Char"/>
    <w:link w:val="97"/>
    <w:qFormat/>
    <w:uiPriority w:val="0"/>
    <w:rPr>
      <w:rFonts w:ascii="黑体" w:hAnsi="黑体" w:eastAsia="黑体"/>
      <w:sz w:val="24"/>
    </w:rPr>
  </w:style>
  <w:style w:type="paragraph" w:customStyle="1" w:styleId="99">
    <w:name w:val="Default"/>
    <w:basedOn w:val="100"/>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100">
    <w:name w:val="批注文字1"/>
    <w:qFormat/>
    <w:uiPriority w:val="0"/>
    <w:pPr>
      <w:widowControl w:val="0"/>
    </w:pPr>
    <w:rPr>
      <w:rFonts w:ascii="Times New Roman" w:hAnsi="Times New Roman" w:eastAsia="宋体" w:cs="Times New Roman"/>
      <w:color w:val="000000"/>
      <w:kern w:val="2"/>
      <w:sz w:val="21"/>
      <w:szCs w:val="24"/>
      <w:lang w:val="en-US" w:eastAsia="zh-CN" w:bidi="ar-SA"/>
    </w:rPr>
  </w:style>
  <w:style w:type="character" w:customStyle="1" w:styleId="101">
    <w:name w:val="标题 2 字符"/>
    <w:basedOn w:val="26"/>
    <w:link w:val="3"/>
    <w:semiHidden/>
    <w:qFormat/>
    <w:uiPriority w:val="9"/>
    <w:rPr>
      <w:rFonts w:ascii="宋体" w:hAnsi="宋体" w:cs="宋体"/>
      <w:b/>
      <w:bCs/>
      <w:sz w:val="32"/>
      <w:szCs w:val="32"/>
      <w:lang w:eastAsia="en-US"/>
    </w:rPr>
  </w:style>
  <w:style w:type="character" w:customStyle="1" w:styleId="102">
    <w:name w:val="标题 3 字符"/>
    <w:basedOn w:val="26"/>
    <w:link w:val="4"/>
    <w:semiHidden/>
    <w:qFormat/>
    <w:uiPriority w:val="9"/>
    <w:rPr>
      <w:rFonts w:ascii="宋体" w:hAnsi="宋体" w:cs="宋体"/>
      <w:b/>
      <w:bCs/>
      <w:sz w:val="28"/>
      <w:szCs w:val="28"/>
      <w:lang w:eastAsia="en-US"/>
    </w:rPr>
  </w:style>
  <w:style w:type="character" w:customStyle="1" w:styleId="103">
    <w:name w:val="标题 5 字符"/>
    <w:basedOn w:val="26"/>
    <w:link w:val="6"/>
    <w:semiHidden/>
    <w:qFormat/>
    <w:uiPriority w:val="9"/>
    <w:rPr>
      <w:rFonts w:ascii="宋体" w:hAnsi="宋体" w:cs="宋体"/>
      <w:b/>
      <w:bCs/>
      <w:sz w:val="28"/>
      <w:szCs w:val="28"/>
      <w:lang w:eastAsia="en-US"/>
    </w:rPr>
  </w:style>
  <w:style w:type="character" w:customStyle="1" w:styleId="104">
    <w:name w:val="标题 6 字符"/>
    <w:basedOn w:val="26"/>
    <w:link w:val="7"/>
    <w:semiHidden/>
    <w:qFormat/>
    <w:uiPriority w:val="9"/>
    <w:rPr>
      <w:rFonts w:ascii="Calibri Light" w:hAnsi="Calibri Light"/>
      <w:b/>
      <w:bCs/>
      <w:sz w:val="24"/>
      <w:szCs w:val="24"/>
      <w:lang w:eastAsia="en-US"/>
    </w:rPr>
  </w:style>
  <w:style w:type="character" w:customStyle="1" w:styleId="105">
    <w:name w:val="标题 1 字符"/>
    <w:basedOn w:val="26"/>
    <w:link w:val="2"/>
    <w:qFormat/>
    <w:uiPriority w:val="0"/>
    <w:rPr>
      <w:rFonts w:eastAsia="黑体"/>
      <w:b/>
      <w:bCs/>
      <w:color w:val="000000"/>
      <w:kern w:val="44"/>
      <w:sz w:val="30"/>
      <w:szCs w:val="30"/>
    </w:rPr>
  </w:style>
  <w:style w:type="character" w:customStyle="1" w:styleId="106">
    <w:name w:val="正文文本首行缩进 2 字符"/>
    <w:basedOn w:val="46"/>
    <w:link w:val="23"/>
    <w:semiHidden/>
    <w:qFormat/>
    <w:uiPriority w:val="99"/>
    <w:rPr>
      <w:rFonts w:ascii="宋体" w:hAnsi="宋体" w:eastAsia="宋体" w:cs="宋体"/>
      <w:sz w:val="22"/>
      <w:szCs w:val="22"/>
      <w:lang w:eastAsia="en-US"/>
    </w:rPr>
  </w:style>
  <w:style w:type="paragraph" w:customStyle="1" w:styleId="107">
    <w:name w:val="Table Paragraph"/>
    <w:basedOn w:val="1"/>
    <w:qFormat/>
    <w:uiPriority w:val="1"/>
    <w:pPr>
      <w:autoSpaceDE w:val="0"/>
      <w:autoSpaceDN w:val="0"/>
      <w:jc w:val="left"/>
    </w:pPr>
    <w:rPr>
      <w:rFonts w:eastAsia="Times New Roman"/>
      <w:kern w:val="0"/>
      <w:sz w:val="22"/>
      <w:szCs w:val="22"/>
      <w:lang w:eastAsia="en-US"/>
    </w:rPr>
  </w:style>
  <w:style w:type="paragraph" w:customStyle="1" w:styleId="108">
    <w:name w:val="Heading #2|1"/>
    <w:basedOn w:val="1"/>
    <w:qFormat/>
    <w:uiPriority w:val="0"/>
    <w:pPr>
      <w:autoSpaceDE w:val="0"/>
      <w:autoSpaceDN w:val="0"/>
      <w:spacing w:after="200"/>
      <w:jc w:val="left"/>
      <w:outlineLvl w:val="1"/>
    </w:pPr>
    <w:rPr>
      <w:rFonts w:ascii="宋体" w:hAnsi="宋体" w:cs="宋体"/>
      <w:kern w:val="0"/>
      <w:sz w:val="28"/>
      <w:szCs w:val="28"/>
      <w:lang w:val="zh-TW" w:eastAsia="zh-TW" w:bidi="zh-TW"/>
    </w:rPr>
  </w:style>
  <w:style w:type="paragraph" w:customStyle="1" w:styleId="109">
    <w:name w:val="Body text|1"/>
    <w:basedOn w:val="1"/>
    <w:qFormat/>
    <w:uiPriority w:val="0"/>
    <w:pPr>
      <w:autoSpaceDE w:val="0"/>
      <w:autoSpaceDN w:val="0"/>
      <w:spacing w:after="330" w:line="480" w:lineRule="auto"/>
      <w:ind w:firstLine="400"/>
      <w:jc w:val="left"/>
    </w:pPr>
    <w:rPr>
      <w:rFonts w:ascii="宋体" w:hAnsi="宋体" w:cs="宋体"/>
      <w:kern w:val="0"/>
      <w:sz w:val="20"/>
      <w:szCs w:val="20"/>
      <w:lang w:val="zh-TW" w:eastAsia="zh-TW" w:bidi="zh-TW"/>
    </w:rPr>
  </w:style>
  <w:style w:type="paragraph" w:customStyle="1" w:styleId="110">
    <w:name w:val="Table caption|1"/>
    <w:basedOn w:val="1"/>
    <w:qFormat/>
    <w:uiPriority w:val="0"/>
    <w:pPr>
      <w:autoSpaceDE w:val="0"/>
      <w:autoSpaceDN w:val="0"/>
      <w:jc w:val="left"/>
    </w:pPr>
    <w:rPr>
      <w:rFonts w:ascii="宋体" w:hAnsi="宋体" w:cs="宋体"/>
      <w:b/>
      <w:bCs/>
      <w:kern w:val="0"/>
      <w:sz w:val="20"/>
      <w:szCs w:val="20"/>
      <w:lang w:val="zh-TW" w:eastAsia="zh-TW" w:bidi="zh-TW"/>
    </w:rPr>
  </w:style>
  <w:style w:type="paragraph" w:customStyle="1" w:styleId="111">
    <w:name w:val="Other|1"/>
    <w:basedOn w:val="1"/>
    <w:qFormat/>
    <w:uiPriority w:val="0"/>
    <w:pPr>
      <w:autoSpaceDE w:val="0"/>
      <w:autoSpaceDN w:val="0"/>
      <w:jc w:val="left"/>
    </w:pPr>
    <w:rPr>
      <w:rFonts w:ascii="宋体" w:hAnsi="宋体" w:cs="宋体"/>
      <w:kern w:val="0"/>
      <w:sz w:val="20"/>
      <w:szCs w:val="20"/>
      <w:lang w:val="zh-TW" w:eastAsia="zh-TW" w:bidi="zh-TW"/>
    </w:rPr>
  </w:style>
  <w:style w:type="paragraph" w:customStyle="1" w:styleId="112">
    <w:name w:val="Picture caption|1"/>
    <w:basedOn w:val="1"/>
    <w:qFormat/>
    <w:uiPriority w:val="0"/>
    <w:pPr>
      <w:autoSpaceDE w:val="0"/>
      <w:autoSpaceDN w:val="0"/>
      <w:jc w:val="left"/>
    </w:pPr>
    <w:rPr>
      <w:rFonts w:ascii="宋体" w:hAnsi="宋体" w:cs="宋体"/>
      <w:b/>
      <w:bCs/>
      <w:kern w:val="0"/>
      <w:sz w:val="20"/>
      <w:szCs w:val="20"/>
      <w:lang w:val="zh-TW" w:eastAsia="zh-TW" w:bidi="zh-TW"/>
    </w:rPr>
  </w:style>
  <w:style w:type="paragraph" w:customStyle="1" w:styleId="113">
    <w:name w:val="Heading #1|1"/>
    <w:basedOn w:val="1"/>
    <w:qFormat/>
    <w:uiPriority w:val="0"/>
    <w:pPr>
      <w:autoSpaceDE w:val="0"/>
      <w:autoSpaceDN w:val="0"/>
      <w:spacing w:after="300"/>
      <w:jc w:val="left"/>
      <w:outlineLvl w:val="0"/>
    </w:pPr>
    <w:rPr>
      <w:rFonts w:ascii="宋体" w:hAnsi="宋体" w:cs="宋体"/>
      <w:kern w:val="0"/>
      <w:sz w:val="28"/>
      <w:szCs w:val="28"/>
      <w:lang w:val="zh-TW" w:eastAsia="zh-TW" w:bidi="zh-TW"/>
    </w:rPr>
  </w:style>
  <w:style w:type="paragraph" w:customStyle="1" w:styleId="114">
    <w:name w:val="Heading #3|1"/>
    <w:basedOn w:val="1"/>
    <w:qFormat/>
    <w:uiPriority w:val="0"/>
    <w:pPr>
      <w:autoSpaceDE w:val="0"/>
      <w:autoSpaceDN w:val="0"/>
      <w:spacing w:after="200"/>
      <w:jc w:val="left"/>
      <w:outlineLvl w:val="2"/>
    </w:pPr>
    <w:rPr>
      <w:rFonts w:ascii="宋体" w:hAnsi="宋体" w:cs="宋体"/>
      <w:kern w:val="0"/>
      <w:sz w:val="28"/>
      <w:szCs w:val="28"/>
      <w:lang w:val="zh-TW" w:eastAsia="zh-TW" w:bidi="zh-TW"/>
    </w:rPr>
  </w:style>
  <w:style w:type="paragraph" w:customStyle="1" w:styleId="115">
    <w:name w:val="Header or footer|1"/>
    <w:basedOn w:val="1"/>
    <w:qFormat/>
    <w:uiPriority w:val="0"/>
    <w:pPr>
      <w:autoSpaceDE w:val="0"/>
      <w:autoSpaceDN w:val="0"/>
      <w:jc w:val="left"/>
    </w:pPr>
    <w:rPr>
      <w:rFonts w:ascii="宋体" w:hAnsi="宋体" w:cs="宋体"/>
      <w:kern w:val="0"/>
      <w:sz w:val="20"/>
      <w:szCs w:val="20"/>
      <w:lang w:val="zh-TW" w:eastAsia="zh-TW" w:bidi="zh-TW"/>
    </w:rPr>
  </w:style>
  <w:style w:type="character" w:customStyle="1" w:styleId="116">
    <w:name w:val="title-text"/>
    <w:basedOn w:val="26"/>
    <w:qFormat/>
    <w:uiPriority w:val="0"/>
  </w:style>
  <w:style w:type="table" w:customStyle="1" w:styleId="117">
    <w:name w:val="Table Normal"/>
    <w:semiHidden/>
    <w:qFormat/>
    <w:uiPriority w:val="2"/>
    <w:pPr>
      <w:widowControl w:val="0"/>
      <w:autoSpaceDE w:val="0"/>
      <w:autoSpaceDN w:val="0"/>
    </w:pPr>
    <w:rPr>
      <w:rFonts w:ascii="Calibri" w:hAnsi="Calibri" w:eastAsia="Times New Roman" w:cs="Arial"/>
      <w:sz w:val="22"/>
      <w:lang w:eastAsia="en-US"/>
    </w:rPr>
    <w:tblPr>
      <w:tblCellMar>
        <w:top w:w="0" w:type="dxa"/>
        <w:left w:w="0" w:type="dxa"/>
        <w:bottom w:w="0" w:type="dxa"/>
        <w:right w:w="0" w:type="dxa"/>
      </w:tblCellMar>
    </w:tblPr>
  </w:style>
  <w:style w:type="paragraph" w:customStyle="1" w:styleId="118">
    <w:name w:val="xl69"/>
    <w:basedOn w:val="1"/>
    <w:qFormat/>
    <w:uiPriority w:val="0"/>
    <w:pPr>
      <w:widowControl/>
      <w:pBdr>
        <w:top w:val="single" w:color="auto" w:sz="8" w:space="0"/>
        <w:bottom w:val="single" w:color="auto" w:sz="8" w:space="0"/>
        <w:right w:val="single" w:color="auto" w:sz="8" w:space="0"/>
      </w:pBdr>
      <w:spacing w:before="100" w:beforeAutospacing="1" w:after="100" w:afterAutospacing="1"/>
      <w:jc w:val="center"/>
    </w:pPr>
    <w:rPr>
      <w:rFonts w:ascii="宋体" w:hAnsi="宋体" w:cs="宋体"/>
      <w:b/>
      <w:bCs/>
      <w:kern w:val="0"/>
      <w:szCs w:val="21"/>
    </w:rPr>
  </w:style>
  <w:style w:type="paragraph" w:customStyle="1" w:styleId="119">
    <w:name w:val="xl70"/>
    <w:basedOn w:val="1"/>
    <w:qFormat/>
    <w:uiPriority w:val="0"/>
    <w:pPr>
      <w:widowControl/>
      <w:pBdr>
        <w:bottom w:val="single" w:color="auto" w:sz="8" w:space="0"/>
        <w:right w:val="single" w:color="auto" w:sz="8" w:space="0"/>
      </w:pBdr>
      <w:shd w:val="clear" w:color="000000" w:fill="FFFFFF"/>
      <w:spacing w:before="100" w:beforeAutospacing="1" w:after="100" w:afterAutospacing="1"/>
      <w:jc w:val="center"/>
    </w:pPr>
    <w:rPr>
      <w:rFonts w:ascii="宋体" w:hAnsi="宋体" w:cs="宋体"/>
      <w:color w:val="000000"/>
      <w:kern w:val="0"/>
      <w:szCs w:val="21"/>
    </w:rPr>
  </w:style>
  <w:style w:type="paragraph" w:customStyle="1" w:styleId="120">
    <w:name w:val="xl71"/>
    <w:basedOn w:val="1"/>
    <w:qFormat/>
    <w:uiPriority w:val="0"/>
    <w:pPr>
      <w:widowControl/>
      <w:pBdr>
        <w:left w:val="single" w:color="auto" w:sz="8" w:space="0"/>
        <w:bottom w:val="single" w:color="auto" w:sz="8" w:space="0"/>
        <w:right w:val="single" w:color="auto" w:sz="8" w:space="0"/>
      </w:pBdr>
      <w:shd w:val="clear" w:color="000000" w:fill="FFFFFF"/>
      <w:spacing w:before="100" w:beforeAutospacing="1" w:after="100" w:afterAutospacing="1"/>
      <w:jc w:val="left"/>
    </w:pPr>
    <w:rPr>
      <w:rFonts w:ascii="Arial" w:hAnsi="Arial" w:cs="Arial"/>
      <w:color w:val="000000"/>
      <w:kern w:val="0"/>
      <w:sz w:val="20"/>
      <w:szCs w:val="20"/>
    </w:rPr>
  </w:style>
  <w:style w:type="paragraph" w:customStyle="1" w:styleId="121">
    <w:name w:val="xl72"/>
    <w:basedOn w:val="1"/>
    <w:qFormat/>
    <w:uiPriority w:val="0"/>
    <w:pPr>
      <w:widowControl/>
      <w:pBdr>
        <w:bottom w:val="single" w:color="auto" w:sz="8" w:space="0"/>
        <w:right w:val="single" w:color="auto" w:sz="8"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122">
    <w:name w:val="xl73"/>
    <w:basedOn w:val="1"/>
    <w:qFormat/>
    <w:uiPriority w:val="0"/>
    <w:pPr>
      <w:widowControl/>
      <w:pBdr>
        <w:bottom w:val="single" w:color="auto" w:sz="8" w:space="0"/>
        <w:right w:val="single" w:color="auto" w:sz="8" w:space="0"/>
      </w:pBdr>
      <w:shd w:val="clear" w:color="000000" w:fill="FFFFFF"/>
      <w:spacing w:before="100" w:beforeAutospacing="1" w:after="100" w:afterAutospacing="1"/>
      <w:jc w:val="left"/>
    </w:pPr>
    <w:rPr>
      <w:rFonts w:ascii="Arial" w:hAnsi="Arial" w:cs="Arial"/>
      <w:color w:val="000000"/>
      <w:kern w:val="0"/>
      <w:sz w:val="20"/>
      <w:szCs w:val="20"/>
    </w:rPr>
  </w:style>
  <w:style w:type="paragraph" w:customStyle="1" w:styleId="123">
    <w:name w:val="xl74"/>
    <w:basedOn w:val="1"/>
    <w:qFormat/>
    <w:uiPriority w:val="0"/>
    <w:pPr>
      <w:widowControl/>
      <w:pBdr>
        <w:top w:val="single" w:color="auto" w:sz="8" w:space="0"/>
        <w:left w:val="single" w:color="auto" w:sz="8" w:space="0"/>
        <w:right w:val="single" w:color="auto" w:sz="8" w:space="0"/>
      </w:pBdr>
      <w:spacing w:before="100" w:beforeAutospacing="1" w:after="100" w:afterAutospacing="1"/>
      <w:jc w:val="center"/>
    </w:pPr>
    <w:rPr>
      <w:rFonts w:ascii="宋体" w:hAnsi="宋体" w:cs="宋体"/>
      <w:b/>
      <w:bCs/>
      <w:kern w:val="0"/>
      <w:szCs w:val="21"/>
    </w:rPr>
  </w:style>
  <w:style w:type="paragraph" w:customStyle="1" w:styleId="124">
    <w:name w:val="xl75"/>
    <w:basedOn w:val="1"/>
    <w:qFormat/>
    <w:uiPriority w:val="0"/>
    <w:pPr>
      <w:widowControl/>
      <w:pBdr>
        <w:left w:val="single" w:color="auto" w:sz="8" w:space="0"/>
        <w:bottom w:val="single" w:color="auto" w:sz="8" w:space="0"/>
        <w:right w:val="single" w:color="auto" w:sz="8" w:space="0"/>
      </w:pBdr>
      <w:spacing w:before="100" w:beforeAutospacing="1" w:after="100" w:afterAutospacing="1"/>
      <w:jc w:val="center"/>
    </w:pPr>
    <w:rPr>
      <w:rFonts w:ascii="宋体" w:hAnsi="宋体" w:cs="宋体"/>
      <w:b/>
      <w:bCs/>
      <w:kern w:val="0"/>
      <w:szCs w:val="21"/>
    </w:rPr>
  </w:style>
  <w:style w:type="paragraph" w:customStyle="1" w:styleId="125">
    <w:name w:val="xl76"/>
    <w:basedOn w:val="1"/>
    <w:qFormat/>
    <w:uiPriority w:val="0"/>
    <w:pPr>
      <w:widowControl/>
      <w:pBdr>
        <w:top w:val="single" w:color="auto" w:sz="8" w:space="0"/>
        <w:bottom w:val="single" w:color="auto" w:sz="8" w:space="0"/>
      </w:pBdr>
      <w:spacing w:before="100" w:beforeAutospacing="1" w:after="100" w:afterAutospacing="1"/>
      <w:jc w:val="center"/>
    </w:pPr>
    <w:rPr>
      <w:rFonts w:ascii="宋体" w:hAnsi="宋体" w:cs="宋体"/>
      <w:b/>
      <w:bCs/>
      <w:kern w:val="0"/>
      <w:szCs w:val="21"/>
    </w:rPr>
  </w:style>
  <w:style w:type="paragraph" w:customStyle="1" w:styleId="126">
    <w:name w:val="xl77"/>
    <w:basedOn w:val="1"/>
    <w:qFormat/>
    <w:uiPriority w:val="0"/>
    <w:pPr>
      <w:widowControl/>
      <w:pBdr>
        <w:top w:val="single" w:color="auto" w:sz="8" w:space="0"/>
        <w:left w:val="single" w:color="auto" w:sz="8" w:space="0"/>
        <w:bottom w:val="single" w:color="auto" w:sz="8" w:space="0"/>
      </w:pBdr>
      <w:spacing w:before="100" w:beforeAutospacing="1" w:after="100" w:afterAutospacing="1"/>
      <w:jc w:val="center"/>
    </w:pPr>
    <w:rPr>
      <w:rFonts w:ascii="宋体" w:hAnsi="宋体" w:cs="宋体"/>
      <w:b/>
      <w:bCs/>
      <w:kern w:val="0"/>
      <w:szCs w:val="21"/>
    </w:rPr>
  </w:style>
  <w:style w:type="paragraph" w:customStyle="1" w:styleId="127">
    <w:name w:val="xl78"/>
    <w:basedOn w:val="1"/>
    <w:qFormat/>
    <w:uiPriority w:val="0"/>
    <w:pPr>
      <w:widowControl/>
      <w:pBdr>
        <w:top w:val="single" w:color="auto" w:sz="8" w:space="0"/>
        <w:left w:val="single" w:color="auto" w:sz="8" w:space="0"/>
        <w:right w:val="single" w:color="auto" w:sz="8" w:space="0"/>
      </w:pBdr>
      <w:shd w:val="clear" w:color="000000" w:fill="FFFFFF"/>
      <w:spacing w:before="100" w:beforeAutospacing="1" w:after="100" w:afterAutospacing="1"/>
      <w:jc w:val="center"/>
    </w:pPr>
    <w:rPr>
      <w:rFonts w:ascii="宋体" w:hAnsi="宋体" w:cs="宋体"/>
      <w:kern w:val="0"/>
      <w:sz w:val="24"/>
    </w:rPr>
  </w:style>
  <w:style w:type="paragraph" w:customStyle="1" w:styleId="128">
    <w:name w:val="xl79"/>
    <w:basedOn w:val="1"/>
    <w:qFormat/>
    <w:uiPriority w:val="0"/>
    <w:pPr>
      <w:widowControl/>
      <w:pBdr>
        <w:left w:val="single" w:color="auto" w:sz="8" w:space="0"/>
        <w:right w:val="single" w:color="auto" w:sz="8" w:space="0"/>
      </w:pBdr>
      <w:shd w:val="clear" w:color="000000" w:fill="FFFFFF"/>
      <w:spacing w:before="100" w:beforeAutospacing="1" w:after="100" w:afterAutospacing="1"/>
      <w:jc w:val="center"/>
    </w:pPr>
    <w:rPr>
      <w:rFonts w:ascii="宋体" w:hAnsi="宋体" w:cs="宋体"/>
      <w:kern w:val="0"/>
      <w:sz w:val="24"/>
    </w:rPr>
  </w:style>
  <w:style w:type="paragraph" w:customStyle="1" w:styleId="129">
    <w:name w:val="xl80"/>
    <w:basedOn w:val="1"/>
    <w:qFormat/>
    <w:uiPriority w:val="0"/>
    <w:pPr>
      <w:widowControl/>
      <w:pBdr>
        <w:left w:val="single" w:color="auto" w:sz="8" w:space="0"/>
        <w:bottom w:val="single" w:color="auto" w:sz="8" w:space="0"/>
        <w:right w:val="single" w:color="auto" w:sz="8" w:space="0"/>
      </w:pBdr>
      <w:shd w:val="clear" w:color="000000" w:fill="FFFFFF"/>
      <w:spacing w:before="100" w:beforeAutospacing="1" w:after="100" w:afterAutospacing="1"/>
      <w:jc w:val="center"/>
    </w:pPr>
    <w:rPr>
      <w:rFonts w:ascii="宋体" w:hAnsi="宋体" w:cs="宋体"/>
      <w:kern w:val="0"/>
      <w:sz w:val="24"/>
    </w:rPr>
  </w:style>
  <w:style w:type="paragraph" w:customStyle="1" w:styleId="130">
    <w:name w:val="xl8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Arial" w:hAnsi="Arial" w:cs="Arial"/>
      <w:color w:val="000000"/>
      <w:kern w:val="0"/>
      <w:sz w:val="20"/>
      <w:szCs w:val="20"/>
    </w:rPr>
  </w:style>
  <w:style w:type="paragraph" w:customStyle="1" w:styleId="131">
    <w:name w:val="xl82"/>
    <w:basedOn w:val="1"/>
    <w:qFormat/>
    <w:uiPriority w:val="0"/>
    <w:pPr>
      <w:widowControl/>
      <w:pBdr>
        <w:bottom w:val="single" w:color="auto" w:sz="8" w:space="0"/>
        <w:right w:val="single" w:color="auto" w:sz="8" w:space="0"/>
      </w:pBdr>
      <w:shd w:val="clear" w:color="000000" w:fill="FFFFFF"/>
      <w:spacing w:before="100" w:beforeAutospacing="1" w:after="100" w:afterAutospacing="1"/>
      <w:jc w:val="left"/>
    </w:pPr>
    <w:rPr>
      <w:rFonts w:ascii="Arial" w:hAnsi="Arial" w:cs="Arial"/>
      <w:color w:val="000000"/>
      <w:kern w:val="0"/>
      <w:sz w:val="20"/>
      <w:szCs w:val="20"/>
    </w:rPr>
  </w:style>
  <w:style w:type="paragraph" w:customStyle="1" w:styleId="132">
    <w:name w:val="xl83"/>
    <w:basedOn w:val="1"/>
    <w:qFormat/>
    <w:uiPriority w:val="0"/>
    <w:pPr>
      <w:widowControl/>
      <w:pBdr>
        <w:bottom w:val="single" w:color="auto" w:sz="8" w:space="0"/>
        <w:right w:val="single" w:color="auto" w:sz="8" w:space="0"/>
      </w:pBdr>
      <w:shd w:val="clear" w:color="000000" w:fill="FFFFFF"/>
      <w:spacing w:before="100" w:beforeAutospacing="1" w:after="100" w:afterAutospacing="1"/>
      <w:jc w:val="left"/>
    </w:pPr>
    <w:rPr>
      <w:rFonts w:ascii="Arial" w:hAnsi="Arial" w:cs="Arial"/>
      <w:color w:val="000000"/>
      <w:kern w:val="0"/>
      <w:sz w:val="20"/>
      <w:szCs w:val="20"/>
    </w:rPr>
  </w:style>
  <w:style w:type="paragraph" w:customStyle="1" w:styleId="133">
    <w:name w:val="修订3"/>
    <w:hidden/>
    <w:unhideWhenUsed/>
    <w:qFormat/>
    <w:uiPriority w:val="99"/>
    <w:rPr>
      <w:rFonts w:ascii="Times New Roman" w:hAnsi="Times New Roman" w:eastAsia="宋体" w:cs="Times New Roman"/>
      <w:kern w:val="2"/>
      <w:sz w:val="21"/>
      <w:szCs w:val="24"/>
      <w:lang w:val="en-US" w:eastAsia="zh-CN" w:bidi="ar-SA"/>
    </w:rPr>
  </w:style>
  <w:style w:type="paragraph" w:customStyle="1" w:styleId="134">
    <w:name w:val="xl84"/>
    <w:basedOn w:val="1"/>
    <w:qFormat/>
    <w:uiPriority w:val="0"/>
    <w:pPr>
      <w:widowControl/>
      <w:pBdr>
        <w:left w:val="single" w:color="auto" w:sz="8" w:space="0"/>
        <w:right w:val="single" w:color="auto" w:sz="8" w:space="0"/>
      </w:pBdr>
      <w:shd w:val="clear" w:color="000000" w:fill="FFFFFF"/>
      <w:spacing w:before="100" w:beforeAutospacing="1" w:after="100" w:afterAutospacing="1"/>
      <w:jc w:val="center"/>
    </w:pPr>
    <w:rPr>
      <w:rFonts w:ascii="宋体" w:hAnsi="宋体" w:cs="宋体"/>
      <w:color w:val="000000"/>
      <w:kern w:val="0"/>
      <w:sz w:val="24"/>
    </w:rPr>
  </w:style>
  <w:style w:type="paragraph" w:customStyle="1" w:styleId="135">
    <w:name w:val="xl85"/>
    <w:basedOn w:val="1"/>
    <w:qFormat/>
    <w:uiPriority w:val="0"/>
    <w:pPr>
      <w:widowControl/>
      <w:pBdr>
        <w:left w:val="single" w:color="auto" w:sz="8" w:space="0"/>
        <w:bottom w:val="single" w:color="auto" w:sz="8" w:space="0"/>
        <w:right w:val="single" w:color="auto" w:sz="8" w:space="0"/>
      </w:pBdr>
      <w:shd w:val="clear" w:color="000000" w:fill="FFFFFF"/>
      <w:spacing w:before="100" w:beforeAutospacing="1" w:after="100" w:afterAutospacing="1"/>
      <w:jc w:val="center"/>
    </w:pPr>
    <w:rPr>
      <w:rFonts w:ascii="宋体" w:hAnsi="宋体" w:cs="宋体"/>
      <w:color w:val="000000"/>
      <w:kern w:val="0"/>
      <w:sz w:val="24"/>
    </w:rPr>
  </w:style>
  <w:style w:type="paragraph" w:customStyle="1" w:styleId="136">
    <w:name w:val="修订4"/>
    <w:hidden/>
    <w:unhideWhenUsed/>
    <w:qFormat/>
    <w:uiPriority w:val="99"/>
    <w:rPr>
      <w:rFonts w:ascii="Times New Roman" w:hAnsi="Times New Roman" w:eastAsia="宋体" w:cs="Times New Roman"/>
      <w:kern w:val="2"/>
      <w:sz w:val="21"/>
      <w:szCs w:val="24"/>
      <w:lang w:val="en-US" w:eastAsia="zh-CN" w:bidi="ar-SA"/>
    </w:rPr>
  </w:style>
  <w:style w:type="paragraph" w:customStyle="1" w:styleId="137">
    <w:name w:val="修订5"/>
    <w:hidden/>
    <w:unhideWhenUsed/>
    <w:qFormat/>
    <w:uiPriority w:val="99"/>
    <w:rPr>
      <w:rFonts w:ascii="Times New Roman" w:hAnsi="Times New Roman" w:eastAsia="宋体" w:cs="Times New Roman"/>
      <w:kern w:val="2"/>
      <w:sz w:val="21"/>
      <w:szCs w:val="24"/>
      <w:lang w:val="en-US" w:eastAsia="zh-CN" w:bidi="ar-SA"/>
    </w:rPr>
  </w:style>
  <w:style w:type="character" w:customStyle="1" w:styleId="138">
    <w:name w:val="font61"/>
    <w:basedOn w:val="26"/>
    <w:qFormat/>
    <w:uiPriority w:val="0"/>
    <w:rPr>
      <w:rFonts w:hint="eastAsia" w:ascii="宋体" w:hAnsi="宋体" w:eastAsia="宋体" w:cs="宋体"/>
      <w:color w:val="000000"/>
      <w:sz w:val="18"/>
      <w:szCs w:val="18"/>
      <w:u w:val="none"/>
    </w:rPr>
  </w:style>
  <w:style w:type="character" w:customStyle="1" w:styleId="139">
    <w:name w:val="font71"/>
    <w:basedOn w:val="26"/>
    <w:qFormat/>
    <w:uiPriority w:val="0"/>
    <w:rPr>
      <w:rFonts w:hint="default" w:ascii="Times New Roman" w:hAnsi="Times New Roman" w:cs="Times New Roman"/>
      <w:color w:val="000000"/>
      <w:sz w:val="18"/>
      <w:szCs w:val="18"/>
      <w:u w:val="none"/>
    </w:rPr>
  </w:style>
  <w:style w:type="character" w:customStyle="1" w:styleId="140">
    <w:name w:val="font81"/>
    <w:basedOn w:val="26"/>
    <w:qFormat/>
    <w:uiPriority w:val="0"/>
    <w:rPr>
      <w:rFonts w:hint="default" w:ascii="Times New Roman" w:hAnsi="Times New Roman" w:cs="Times New Roman"/>
      <w:color w:val="000000"/>
      <w:sz w:val="18"/>
      <w:szCs w:val="18"/>
      <w:u w:val="none"/>
    </w:rPr>
  </w:style>
  <w:style w:type="character" w:customStyle="1" w:styleId="141">
    <w:name w:val="font91"/>
    <w:basedOn w:val="26"/>
    <w:qFormat/>
    <w:uiPriority w:val="0"/>
    <w:rPr>
      <w:rFonts w:ascii="Arial" w:hAnsi="Arial" w:cs="Arial"/>
      <w:color w:val="000000"/>
      <w:sz w:val="18"/>
      <w:szCs w:val="18"/>
      <w:u w:val="none"/>
    </w:rPr>
  </w:style>
  <w:style w:type="character" w:customStyle="1" w:styleId="142">
    <w:name w:val="font101"/>
    <w:basedOn w:val="26"/>
    <w:qFormat/>
    <w:uiPriority w:val="0"/>
    <w:rPr>
      <w:rFonts w:hint="default" w:ascii="Tahoma" w:hAnsi="Tahoma" w:eastAsia="Tahoma" w:cs="Tahoma"/>
      <w:color w:val="000000"/>
      <w:sz w:val="18"/>
      <w:szCs w:val="18"/>
      <w:u w:val="none"/>
    </w:rPr>
  </w:style>
  <w:style w:type="character" w:customStyle="1" w:styleId="143">
    <w:name w:val="font51"/>
    <w:basedOn w:val="26"/>
    <w:qFormat/>
    <w:uiPriority w:val="0"/>
    <w:rPr>
      <w:rFonts w:hint="default" w:ascii="Times New Roman" w:hAnsi="Times New Roman" w:cs="Times New Roman"/>
      <w:color w:val="000000"/>
      <w:sz w:val="18"/>
      <w:szCs w:val="18"/>
      <w:u w:val="none"/>
    </w:rPr>
  </w:style>
  <w:style w:type="character" w:customStyle="1" w:styleId="144">
    <w:name w:val="font41"/>
    <w:basedOn w:val="26"/>
    <w:qFormat/>
    <w:uiPriority w:val="0"/>
    <w:rPr>
      <w:rFonts w:hint="default" w:ascii="Times New Roman" w:hAnsi="Times New Roman" w:cs="Times New Roman"/>
      <w:color w:val="000000"/>
      <w:sz w:val="18"/>
      <w:szCs w:val="18"/>
      <w:u w:val="none"/>
    </w:rPr>
  </w:style>
  <w:style w:type="character" w:customStyle="1" w:styleId="145">
    <w:name w:val="font11"/>
    <w:basedOn w:val="26"/>
    <w:qFormat/>
    <w:uiPriority w:val="0"/>
    <w:rPr>
      <w:rFonts w:hint="eastAsia" w:ascii="宋体" w:hAnsi="宋体" w:eastAsia="宋体" w:cs="宋体"/>
      <w:color w:val="000000"/>
      <w:sz w:val="18"/>
      <w:szCs w:val="18"/>
      <w:u w:val="none"/>
    </w:rPr>
  </w:style>
  <w:style w:type="character" w:customStyle="1" w:styleId="146">
    <w:name w:val="font21"/>
    <w:basedOn w:val="26"/>
    <w:qFormat/>
    <w:uiPriority w:val="0"/>
    <w:rPr>
      <w:rFonts w:hint="default" w:ascii="Times New Roman" w:hAnsi="Times New Roman" w:cs="Times New Roman"/>
      <w:color w:val="000000"/>
      <w:sz w:val="18"/>
      <w:szCs w:val="18"/>
      <w:u w:val="none"/>
    </w:rPr>
  </w:style>
  <w:style w:type="character" w:customStyle="1" w:styleId="147">
    <w:name w:val="font31"/>
    <w:basedOn w:val="26"/>
    <w:qFormat/>
    <w:uiPriority w:val="0"/>
    <w:rPr>
      <w:rFonts w:hint="default" w:ascii="Times New Roman" w:hAnsi="Times New Roman" w:cs="Times New Roman"/>
      <w:color w:val="FF0000"/>
      <w:sz w:val="18"/>
      <w:szCs w:val="18"/>
      <w:u w:val="none"/>
    </w:rPr>
  </w:style>
  <w:style w:type="character" w:customStyle="1" w:styleId="148">
    <w:name w:val="font01"/>
    <w:basedOn w:val="26"/>
    <w:qFormat/>
    <w:uiPriority w:val="0"/>
    <w:rPr>
      <w:rFonts w:hint="eastAsia" w:ascii="宋体" w:hAnsi="宋体" w:eastAsia="宋体" w:cs="宋体"/>
      <w:color w:val="000000"/>
      <w:sz w:val="24"/>
      <w:szCs w:val="24"/>
      <w:u w:val="none"/>
    </w:rPr>
  </w:style>
  <w:style w:type="paragraph" w:customStyle="1" w:styleId="149">
    <w:name w:val="Revision"/>
    <w:hidden/>
    <w:unhideWhenUsed/>
    <w:qFormat/>
    <w:uiPriority w:val="99"/>
    <w:rPr>
      <w:rFonts w:ascii="Times New Roman" w:hAnsi="Times New Roman" w:eastAsia="宋体" w:cs="Times New Roman"/>
      <w:kern w:val="2"/>
      <w:sz w:val="21"/>
      <w:szCs w:val="24"/>
      <w:lang w:val="en-US" w:eastAsia="zh-CN" w:bidi="ar-SA"/>
    </w:rPr>
  </w:style>
  <w:style w:type="paragraph" w:customStyle="1" w:styleId="150">
    <w:name w:val="B正文"/>
    <w:basedOn w:val="1"/>
    <w:qFormat/>
    <w:uiPriority w:val="0"/>
    <w:pPr>
      <w:keepNext w:val="0"/>
      <w:keepLines w:val="0"/>
      <w:widowControl w:val="0"/>
      <w:suppressLineNumbers w:val="0"/>
      <w:adjustRightInd/>
      <w:snapToGrid/>
      <w:spacing w:before="0" w:beforeAutospacing="0" w:after="0" w:afterAutospacing="0" w:line="360" w:lineRule="auto"/>
      <w:ind w:left="0" w:right="0" w:firstLine="200" w:firstLineChars="200"/>
      <w:contextualSpacing/>
      <w:jc w:val="both"/>
    </w:pPr>
    <w:rPr>
      <w:rFonts w:hint="default" w:ascii="Times New Roman" w:hAnsi="Times New Roman" w:eastAsia="宋体" w:cs="Times New Roman"/>
      <w:snapToGrid/>
      <w:kern w:val="2"/>
      <w:sz w:val="24"/>
      <w:szCs w:val="24"/>
      <w:lang w:val="en-US" w:eastAsia="zh-CN" w:bidi="ar"/>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numbering" Target="numbering.xml"/><Relationship Id="rId15" Type="http://schemas.openxmlformats.org/officeDocument/2006/relationships/image" Target="media/image6.jpe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jpe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soa\wdzx97.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21EE1A-7C47-4C4C-9DE0-9899D1A06727}">
  <ds:schemaRefs/>
</ds:datastoreItem>
</file>

<file path=docProps/app.xml><?xml version="1.0" encoding="utf-8"?>
<Properties xmlns="http://schemas.openxmlformats.org/officeDocument/2006/extended-properties" xmlns:vt="http://schemas.openxmlformats.org/officeDocument/2006/docPropsVTypes">
  <Template>wdzx97.dot</Template>
  <Company>微软中国</Company>
  <Pages>69</Pages>
  <Words>16692</Words>
  <Characters>18338</Characters>
  <Lines>1840</Lines>
  <Paragraphs>4043</Paragraphs>
  <TotalTime>76</TotalTime>
  <ScaleCrop>false</ScaleCrop>
  <LinksUpToDate>false</LinksUpToDate>
  <CharactersWithSpaces>18484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2026-02-13T09:35:00Z</dcterms:created>
  <dc:creator>lhj</dc:creator>
  <cp:lastModifiedBy>朱自煜</cp:lastModifiedBy>
  <cp:lastPrinted>2023-09-06T06:48:00Z</cp:lastPrinted>
  <dcterms:modified xsi:type="dcterms:W3CDTF">2026-10-16T08:07:39Z</dcterms:modified>
  <dc:title>附件2</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D5BE745D85E041BCBC103D388166A4D7_13</vt:lpwstr>
  </property>
  <property fmtid="{D5CDD505-2E9C-101B-9397-08002B2CF9AE}" pid="4" name="KSOTemplateDocerSaveRecord">
    <vt:lpwstr>eyJoZGlkIjoiOGE3NWI0MGFmYTZkNGVkMzI2MTU4MmE0NWRlNzBjNTYiLCJ1c2VySWQiOiIyNjI4NzkzNjQifQ==</vt:lpwstr>
  </property>
</Properties>
</file>